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rFonts w:ascii="Calibri" w:hAnsi="Calibri"/>
          <w:b/>
          <w:color w:val="004B87"/>
          <w:sz w:val="56"/>
        </w:rPr>
        <w:t>Sky Claims</w:t>
      </w:r>
    </w:p>
    <w:p>
      <w:pPr>
        <w:spacing w:after="80"/>
        <w:jc w:val="center"/>
      </w:pPr>
      <w:r>
        <w:rPr>
          <w:rFonts w:ascii="Calibri" w:hAnsi="Calibri"/>
          <w:b/>
          <w:color w:val="00878A"/>
          <w:sz w:val="36"/>
        </w:rPr>
        <w:t>Provincial Provider Onboarding Guide</w:t>
      </w:r>
    </w:p>
    <w:p>
      <w:pPr>
        <w:jc w:val="center"/>
      </w:pPr>
      <w:r>
        <w:rPr>
          <w:rFonts w:ascii="Calibri" w:hAnsi="Calibri"/>
          <w:color w:val="555555"/>
          <w:sz w:val="24"/>
        </w:rPr>
        <w:t>British Columbia  ·  Alberta  ·  Ontario  ·  Manitoba  ·  National Architecture</w:t>
      </w:r>
    </w:p>
    <w:p>
      <w:r>
        <w:br w:type="page"/>
      </w:r>
    </w:p>
    <w:p>
      <w:pPr>
        <w:spacing w:before="360" w:after="120"/>
        <w:pBdr>
          <w:bottom w:val="single" w:sz="6" w:space="4" w:color="004B87"/>
        </w:pBdr>
      </w:pPr>
      <w:r>
        <w:rPr>
          <w:rFonts w:ascii="Calibri" w:hAnsi="Calibri"/>
          <w:b/>
          <w:color w:val="004B87"/>
          <w:sz w:val="30"/>
        </w:rPr>
        <w:t>Overview — Three-Layer Registration Framework</w:t>
      </w:r>
    </w:p>
    <w:p>
      <w:pPr>
        <w:spacing w:after="80"/>
        <w:ind w:left="0"/>
      </w:pPr>
      <w:r>
        <w:rPr>
          <w:rFonts w:ascii="Calibri" w:hAnsi="Calibri"/>
          <w:sz w:val="21"/>
        </w:rPr>
        <w:t>Sky Claims provincial onboarding is structured around three registration layers that apply across all provinces, though the specific forms and processes differ by jurisdiction.</w:t>
      </w:r>
    </w:p>
    <w:p>
      <w:pPr>
        <w:spacing w:after="40"/>
      </w:pPr>
    </w:p>
    <w:p>
      <w:pPr>
        <w:spacing w:before="140" w:after="40"/>
      </w:pPr>
      <w:r>
        <w:rPr>
          <w:rFonts w:ascii="Calibri" w:hAnsi="Calibri"/>
          <w:b/>
          <w:color w:val="333333"/>
          <w:sz w:val="22"/>
        </w:rPr>
        <w:t>Layer 1 — Practitioner Registration</w:t>
      </w:r>
    </w:p>
    <w:p>
      <w:pPr>
        <w:spacing w:after="80"/>
        <w:ind w:left="0"/>
      </w:pPr>
      <w:r>
        <w:rPr>
          <w:rFonts w:ascii="Calibri" w:hAnsi="Calibri"/>
          <w:sz w:val="21"/>
        </w:rPr>
        <w:t>Establishes the provider with the provincial payer. Confirms the practitioner holds a valid billing number and is enrolled with the provincial health authority.</w:t>
      </w:r>
    </w:p>
    <w:p>
      <w:pPr>
        <w:spacing w:before="140" w:after="40"/>
      </w:pPr>
      <w:r>
        <w:rPr>
          <w:rFonts w:ascii="Calibri" w:hAnsi="Calibri"/>
          <w:b/>
          <w:color w:val="333333"/>
          <w:sz w:val="22"/>
        </w:rPr>
        <w:t>Layer 2 — Clinic / Payee / Business Arrangement</w:t>
      </w:r>
    </w:p>
    <w:p>
      <w:pPr>
        <w:spacing w:after="80"/>
        <w:ind w:left="0"/>
      </w:pPr>
      <w:r>
        <w:rPr>
          <w:rFonts w:ascii="Calibri" w:hAnsi="Calibri"/>
          <w:sz w:val="21"/>
        </w:rPr>
        <w:t>Establishes where and how the provider is paid. Sets up the clinic (if the clinic receives payment on behalf of the provider), or the private practice, so the government knows who to pay.</w:t>
      </w:r>
    </w:p>
    <w:p>
      <w:pPr>
        <w:spacing w:before="140" w:after="40"/>
      </w:pPr>
      <w:r>
        <w:rPr>
          <w:rFonts w:ascii="Calibri" w:hAnsi="Calibri"/>
          <w:b/>
          <w:color w:val="333333"/>
          <w:sz w:val="22"/>
        </w:rPr>
        <w:t>Layer 3 — Electronic Claims Authorization</w:t>
      </w:r>
    </w:p>
    <w:p>
      <w:pPr>
        <w:spacing w:after="80"/>
        <w:ind w:left="0"/>
      </w:pPr>
      <w:r>
        <w:rPr>
          <w:rFonts w:ascii="Calibri" w:hAnsi="Calibri"/>
          <w:sz w:val="21"/>
        </w:rPr>
        <w:t>Authorizes Sky Claims (or the appropriate submitter) to transmit claims electronically on the provider's behalf. This is where Sky Claims enters the picture after Layers 1 and 2 are confirmed.</w:t>
      </w:r>
    </w:p>
    <w:p>
      <w:pPr>
        <w:spacing w:after="40"/>
      </w:pPr>
    </w:p>
    <w:p>
      <w:pPr>
        <w:spacing w:after="80"/>
        <w:ind w:left="360"/>
      </w:pPr>
      <w:r>
        <w:rPr>
          <w:rFonts w:ascii="Calibri" w:hAnsi="Calibri"/>
          <w:b/>
          <w:i/>
          <w:color w:val="666666"/>
          <w:sz w:val="20"/>
        </w:rPr>
        <w:t xml:space="preserve">Note: </w:t>
      </w:r>
      <w:r>
        <w:rPr>
          <w:rFonts w:ascii="Calibri" w:hAnsi="Calibri"/>
          <w:i/>
          <w:color w:val="666666"/>
          <w:sz w:val="20"/>
        </w:rPr>
        <w:t>Sky Claims requires a password and a 42-day rotation reminder for every registered practitioner account.</w:t>
      </w:r>
    </w:p>
    <w:p>
      <w:r>
        <w:br w:type="page"/>
      </w:r>
    </w:p>
    <w:p>
      <w:pPr>
        <w:spacing w:before="360" w:after="120"/>
        <w:pBdr>
          <w:bottom w:val="single" w:sz="6" w:space="4" w:color="004B87"/>
        </w:pBdr>
      </w:pPr>
      <w:r>
        <w:rPr>
          <w:rFonts w:ascii="Calibri" w:hAnsi="Calibri"/>
          <w:b/>
          <w:color w:val="004B87"/>
          <w:sz w:val="30"/>
        </w:rPr>
        <w:t>Alberta</w:t>
      </w:r>
    </w:p>
    <w:p>
      <w:pPr>
        <w:spacing w:before="200" w:after="60"/>
      </w:pPr>
      <w:r>
        <w:rPr>
          <w:rFonts w:ascii="Calibri" w:hAnsi="Calibri"/>
          <w:b/>
          <w:color w:val="00878A"/>
          <w:sz w:val="24"/>
        </w:rPr>
        <w:t>Registration Forms</w:t>
      </w:r>
    </w:p>
    <w:p>
      <w:pPr>
        <w:spacing w:before="140" w:after="40"/>
      </w:pPr>
      <w:r>
        <w:rPr>
          <w:rFonts w:ascii="Calibri" w:hAnsi="Calibri"/>
          <w:b/>
          <w:color w:val="333333"/>
          <w:sz w:val="22"/>
        </w:rPr>
        <w:t>1.  Practitioner Request — AHC 11234</w:t>
      </w:r>
    </w:p>
    <w:p>
      <w:pPr>
        <w:spacing w:after="80"/>
        <w:ind w:left="0"/>
      </w:pPr>
      <w:r>
        <w:rPr>
          <w:rFonts w:ascii="Calibri" w:hAnsi="Calibri"/>
          <w:sz w:val="21"/>
        </w:rPr>
        <w:t>Required for newly licensed physicians who do not yet have a PRAC ID (Alberta Billing ID). Most practitioners will already have one.</w:t>
      </w:r>
    </w:p>
    <w:p>
      <w:pPr>
        <w:spacing w:before="140" w:after="40"/>
      </w:pPr>
      <w:r>
        <w:rPr>
          <w:rFonts w:ascii="Calibri" w:hAnsi="Calibri"/>
          <w:b/>
          <w:color w:val="333333"/>
          <w:sz w:val="22"/>
        </w:rPr>
        <w:t>2.  Facility Registration — AHC 0910A</w:t>
      </w:r>
    </w:p>
    <w:p>
      <w:pPr>
        <w:spacing w:after="80"/>
        <w:ind w:left="0"/>
      </w:pPr>
      <w:r>
        <w:rPr>
          <w:rFonts w:ascii="Calibri" w:hAnsi="Calibri"/>
          <w:sz w:val="21"/>
        </w:rPr>
        <w:t>Usually required. Registers the facility, clinic, or hospital under which billing will be made. Also used to update existing facility information.</w:t>
      </w:r>
    </w:p>
    <w:p>
      <w:pPr>
        <w:spacing w:before="140" w:after="40"/>
      </w:pPr>
      <w:r>
        <w:rPr>
          <w:rFonts w:ascii="Calibri" w:hAnsi="Calibri"/>
          <w:b/>
          <w:color w:val="333333"/>
          <w:sz w:val="22"/>
        </w:rPr>
        <w:t>3.  Business Arrangement and Relationships — AHC 11236</w:t>
      </w:r>
    </w:p>
    <w:p>
      <w:pPr>
        <w:spacing w:after="80"/>
        <w:ind w:left="0"/>
      </w:pPr>
      <w:r>
        <w:rPr>
          <w:rFonts w:ascii="Calibri" w:hAnsi="Calibri"/>
          <w:sz w:val="21"/>
        </w:rPr>
        <w:t>Usually required. Links the PRAC ID to a business arrangement/facility and authorizes Sky Claims to submit on the client's behalf. Always confirm whether the practitioner has an existing business arrangement or needs a new one.</w:t>
      </w:r>
    </w:p>
    <w:p>
      <w:pPr>
        <w:spacing w:before="140" w:after="40"/>
      </w:pPr>
      <w:r>
        <w:rPr>
          <w:rFonts w:ascii="Calibri" w:hAnsi="Calibri"/>
          <w:b/>
          <w:color w:val="333333"/>
          <w:sz w:val="22"/>
        </w:rPr>
        <w:t>4.  Notification of Business Address Change — AHC 11459</w:t>
      </w:r>
    </w:p>
    <w:p>
      <w:pPr>
        <w:spacing w:after="80"/>
        <w:ind w:left="0"/>
      </w:pPr>
      <w:r>
        <w:rPr>
          <w:rFonts w:ascii="Calibri" w:hAnsi="Calibri"/>
          <w:sz w:val="21"/>
        </w:rPr>
        <w:t>As needed. Updates the business mailing address on file.</w:t>
      </w:r>
    </w:p>
    <w:p>
      <w:pPr>
        <w:spacing w:before="140" w:after="40"/>
      </w:pPr>
      <w:r>
        <w:rPr>
          <w:rFonts w:ascii="Calibri" w:hAnsi="Calibri"/>
          <w:b/>
          <w:color w:val="333333"/>
          <w:sz w:val="22"/>
        </w:rPr>
        <w:t>5.  Direct Deposit Request — AHC 1143</w:t>
      </w:r>
    </w:p>
    <w:p>
      <w:pPr>
        <w:spacing w:after="80"/>
        <w:ind w:left="0"/>
      </w:pPr>
      <w:r>
        <w:rPr>
          <w:rFonts w:ascii="Calibri" w:hAnsi="Calibri"/>
          <w:sz w:val="21"/>
        </w:rPr>
        <w:t>Required for independent practitioners. Sets up banking information for claim payment deposits.</w:t>
      </w:r>
    </w:p>
    <w:p>
      <w:pPr>
        <w:spacing w:after="40"/>
      </w:pPr>
    </w:p>
    <w:p>
      <w:pPr>
        <w:spacing w:before="200" w:after="60"/>
      </w:pPr>
      <w:r>
        <w:rPr>
          <w:rFonts w:ascii="Calibri" w:hAnsi="Calibri"/>
          <w:b/>
          <w:color w:val="00878A"/>
          <w:sz w:val="24"/>
        </w:rPr>
        <w:t>H-Link Submission: Decision Tree</w:t>
      </w:r>
    </w:p>
    <w:p>
      <w:pPr>
        <w:spacing w:after="80"/>
        <w:ind w:left="0"/>
      </w:pPr>
      <w:r>
        <w:rPr>
          <w:rFonts w:ascii="Calibri" w:hAnsi="Calibri"/>
          <w:sz w:val="21"/>
        </w:rPr>
        <w:t>The key question at Alberta onboarding is who will be the H-Link submitter.</w:t>
      </w:r>
    </w:p>
    <w:p>
      <w:pPr>
        <w:spacing w:before="140" w:after="40"/>
      </w:pPr>
      <w:r>
        <w:rPr>
          <w:rFonts w:ascii="Calibri" w:hAnsi="Calibri"/>
          <w:b/>
          <w:color w:val="333333"/>
          <w:sz w:val="22"/>
        </w:rPr>
        <w:t>Scenario A — Client is the Submitter</w:t>
      </w:r>
    </w:p>
    <w:p>
      <w:pPr>
        <w:pStyle w:val="ListBullet"/>
        <w:spacing w:after="60"/>
        <w:ind w:left="360"/>
      </w:pPr>
      <w:r>
        <w:rPr>
          <w:rFonts w:ascii="Calibri" w:hAnsi="Calibri"/>
          <w:sz w:val="21"/>
        </w:rPr>
        <w:t>Complete AHC 2210 — H-Link connectivity application</w:t>
      </w:r>
    </w:p>
    <w:p>
      <w:pPr>
        <w:pStyle w:val="ListBullet"/>
        <w:spacing w:after="60"/>
        <w:ind w:left="360"/>
      </w:pPr>
      <w:r>
        <w:rPr>
          <w:rFonts w:ascii="Calibri" w:hAnsi="Calibri"/>
          <w:sz w:val="21"/>
        </w:rPr>
        <w:t>Complete AHC 11236 — business arrangement/relationship</w:t>
      </w:r>
    </w:p>
    <w:p>
      <w:pPr>
        <w:pStyle w:val="ListBullet"/>
        <w:spacing w:after="60"/>
        <w:ind w:left="360"/>
      </w:pPr>
      <w:r>
        <w:rPr>
          <w:rFonts w:ascii="Calibri" w:hAnsi="Calibri"/>
          <w:sz w:val="21"/>
        </w:rPr>
        <w:t>Connectivity testing with AHCIP</w:t>
      </w:r>
    </w:p>
    <w:p>
      <w:pPr>
        <w:pStyle w:val="ListBullet"/>
        <w:spacing w:after="60"/>
        <w:ind w:left="360"/>
      </w:pPr>
      <w:r>
        <w:rPr>
          <w:rFonts w:ascii="Calibri" w:hAnsi="Calibri"/>
          <w:sz w:val="21"/>
        </w:rPr>
        <w:t>Sky Claims configuration using client's own H-Link credentials</w:t>
      </w:r>
    </w:p>
    <w:p>
      <w:pPr>
        <w:spacing w:after="80"/>
        <w:ind w:left="360"/>
      </w:pPr>
      <w:r>
        <w:rPr>
          <w:rFonts w:ascii="Calibri" w:hAnsi="Calibri"/>
          <w:b/>
          <w:i/>
          <w:color w:val="666666"/>
          <w:sz w:val="20"/>
        </w:rPr>
        <w:t xml:space="preserve">Note: </w:t>
      </w:r>
      <w:r>
        <w:rPr>
          <w:rFonts w:ascii="Calibri" w:hAnsi="Calibri"/>
          <w:i/>
          <w:color w:val="666666"/>
          <w:sz w:val="20"/>
        </w:rPr>
        <w:t>The clinic independently becomes an AHCIP-accredited H-Link submitter. Sky Claims serves as the billing software interface.</w:t>
      </w:r>
    </w:p>
    <w:p>
      <w:pPr>
        <w:spacing w:after="40"/>
      </w:pPr>
    </w:p>
    <w:p>
      <w:pPr>
        <w:spacing w:before="140" w:after="40"/>
      </w:pPr>
      <w:r>
        <w:rPr>
          <w:rFonts w:ascii="Calibri" w:hAnsi="Calibri"/>
          <w:b/>
          <w:color w:val="333333"/>
          <w:sz w:val="22"/>
        </w:rPr>
        <w:t>Scenario B — Sky Health is the Submitter (Recommended)</w:t>
      </w:r>
    </w:p>
    <w:p>
      <w:pPr>
        <w:pStyle w:val="ListBullet"/>
        <w:spacing w:after="60"/>
        <w:ind w:left="360"/>
      </w:pPr>
      <w:r>
        <w:rPr>
          <w:rFonts w:ascii="Calibri" w:hAnsi="Calibri"/>
          <w:sz w:val="21"/>
        </w:rPr>
        <w:t>Client completes AHC 11234 (if needed), AHC 0910A, AHC 11236</w:t>
      </w:r>
    </w:p>
    <w:p>
      <w:pPr>
        <w:pStyle w:val="ListBullet"/>
        <w:spacing w:after="60"/>
        <w:ind w:left="360"/>
      </w:pPr>
      <w:r>
        <w:rPr>
          <w:rFonts w:ascii="Calibri" w:hAnsi="Calibri"/>
          <w:sz w:val="21"/>
        </w:rPr>
        <w:t>Sky Health maintains accredited H-Link submitter status (prefix HZV)</w:t>
      </w:r>
    </w:p>
    <w:p>
      <w:pPr>
        <w:pStyle w:val="ListBullet"/>
        <w:spacing w:after="60"/>
        <w:ind w:left="360"/>
      </w:pPr>
      <w:r>
        <w:rPr>
          <w:rFonts w:ascii="Calibri" w:hAnsi="Calibri"/>
          <w:sz w:val="21"/>
        </w:rPr>
        <w:t>Client business arrangement is linked to Sky Health's submitter infrastructure</w:t>
      </w:r>
    </w:p>
    <w:p>
      <w:pPr>
        <w:pStyle w:val="ListBullet"/>
        <w:spacing w:after="60"/>
        <w:ind w:left="360"/>
      </w:pPr>
      <w:r>
        <w:rPr>
          <w:rFonts w:ascii="Calibri" w:hAnsi="Calibri"/>
          <w:sz w:val="21"/>
        </w:rPr>
        <w:t>Client does not independently become an H-Link submitter</w:t>
      </w:r>
    </w:p>
    <w:p>
      <w:pPr>
        <w:spacing w:after="80"/>
        <w:ind w:left="360"/>
      </w:pPr>
      <w:r>
        <w:rPr>
          <w:rFonts w:ascii="Calibri" w:hAnsi="Calibri"/>
          <w:b/>
          <w:i/>
          <w:color w:val="666666"/>
          <w:sz w:val="20"/>
        </w:rPr>
        <w:t xml:space="preserve">Note: </w:t>
      </w:r>
      <w:r>
        <w:rPr>
          <w:rFonts w:ascii="Calibri" w:hAnsi="Calibri"/>
          <w:i/>
          <w:color w:val="666666"/>
          <w:sz w:val="20"/>
        </w:rPr>
        <w:t>Flow: Clinic → Sky Claims → Sky Health H-Link (HZV) → AHCIP. Sky Claims is the billing software; Sky Health handles the transmission.</w:t>
      </w:r>
    </w:p>
    <w:p>
      <w:pPr>
        <w:spacing w:after="40"/>
      </w:pPr>
    </w:p>
    <w:p>
      <w:pPr>
        <w:spacing w:before="200" w:after="60"/>
      </w:pPr>
      <w:r>
        <w:rPr>
          <w:rFonts w:ascii="Calibri" w:hAnsi="Calibri"/>
          <w:b/>
          <w:color w:val="00878A"/>
          <w:sz w:val="24"/>
        </w:rPr>
        <w:t>Example: Dr. Jane Doe / ABC Optometry Inc.</w:t>
      </w:r>
    </w:p>
    <w:tbl>
      <w:tblPr>
        <w:tblStyle w:val="TableGrid"/>
        <w:tblW w:type="auto" w:w="0"/>
        <w:jc w:val="left"/>
        <w:tblLook w:firstColumn="1" w:firstRow="1" w:lastColumn="0" w:lastRow="0" w:noHBand="0" w:noVBand="1" w:val="04A0"/>
      </w:tblPr>
      <w:tblGrid>
        <w:gridCol w:w="3024"/>
        <w:gridCol w:w="3024"/>
        <w:gridCol w:w="3024"/>
      </w:tblGrid>
      <w:tr>
        <w:tc>
          <w:tcPr>
            <w:tcW w:type="dxa" w:w="1728"/>
            <w:shd w:val="clear" w:color="auto" w:fill="004B87"/>
          </w:tcPr>
          <w:p>
            <w:r>
              <w:rPr>
                <w:rFonts w:ascii="Calibri" w:hAnsi="Calibri"/>
                <w:b/>
                <w:color w:val="FFFFFF"/>
                <w:sz w:val="19"/>
              </w:rPr>
              <w:t>Step</w:t>
            </w:r>
          </w:p>
        </w:tc>
        <w:tc>
          <w:tcPr>
            <w:tcW w:type="dxa" w:w="3312"/>
            <w:shd w:val="clear" w:color="auto" w:fill="004B87"/>
          </w:tcPr>
          <w:p>
            <w:r>
              <w:rPr>
                <w:rFonts w:ascii="Calibri" w:hAnsi="Calibri"/>
                <w:b/>
                <w:color w:val="FFFFFF"/>
                <w:sz w:val="19"/>
              </w:rPr>
              <w:t>Scenario A (ABC self-submits)</w:t>
            </w:r>
          </w:p>
        </w:tc>
        <w:tc>
          <w:tcPr>
            <w:tcW w:type="dxa" w:w="3312"/>
            <w:shd w:val="clear" w:color="auto" w:fill="004B87"/>
          </w:tcPr>
          <w:p>
            <w:r>
              <w:rPr>
                <w:rFonts w:ascii="Calibri" w:hAnsi="Calibri"/>
                <w:b/>
                <w:color w:val="FFFFFF"/>
                <w:sz w:val="19"/>
              </w:rPr>
              <w:t>Scenario B (Sky Health submits)</w:t>
            </w:r>
          </w:p>
        </w:tc>
      </w:tr>
      <w:tr>
        <w:tc>
          <w:tcPr>
            <w:tcW w:type="dxa" w:w="1728"/>
          </w:tcPr>
          <w:p>
            <w:r>
              <w:rPr>
                <w:rFonts w:ascii="Calibri" w:hAnsi="Calibri"/>
                <w:b/>
                <w:sz w:val="19"/>
              </w:rPr>
              <w:t>Practitioner</w:t>
            </w:r>
          </w:p>
        </w:tc>
        <w:tc>
          <w:tcPr>
            <w:tcW w:type="dxa" w:w="3312"/>
          </w:tcPr>
          <w:p>
            <w:r>
              <w:rPr>
                <w:rFonts w:ascii="Calibri" w:hAnsi="Calibri"/>
                <w:sz w:val="19"/>
              </w:rPr>
              <w:t>AHC 11234 (if newly licensed)</w:t>
            </w:r>
          </w:p>
        </w:tc>
        <w:tc>
          <w:tcPr>
            <w:tcW w:type="dxa" w:w="3312"/>
          </w:tcPr>
          <w:p>
            <w:r>
              <w:rPr>
                <w:rFonts w:ascii="Calibri" w:hAnsi="Calibri"/>
                <w:sz w:val="19"/>
              </w:rPr>
              <w:t>AHC 11234 (if newly licensed)</w:t>
            </w:r>
          </w:p>
        </w:tc>
      </w:tr>
      <w:tr>
        <w:tc>
          <w:tcPr>
            <w:tcW w:type="dxa" w:w="1728"/>
          </w:tcPr>
          <w:p>
            <w:r>
              <w:rPr>
                <w:rFonts w:ascii="Calibri" w:hAnsi="Calibri"/>
                <w:b/>
                <w:sz w:val="19"/>
              </w:rPr>
              <w:t>Facility</w:t>
            </w:r>
          </w:p>
        </w:tc>
        <w:tc>
          <w:tcPr>
            <w:tcW w:type="dxa" w:w="3312"/>
          </w:tcPr>
          <w:p>
            <w:r>
              <w:rPr>
                <w:rFonts w:ascii="Calibri" w:hAnsi="Calibri"/>
                <w:sz w:val="19"/>
              </w:rPr>
              <w:t>AHC 0910A (where applicable)</w:t>
            </w:r>
          </w:p>
        </w:tc>
        <w:tc>
          <w:tcPr>
            <w:tcW w:type="dxa" w:w="3312"/>
          </w:tcPr>
          <w:p>
            <w:r>
              <w:rPr>
                <w:rFonts w:ascii="Calibri" w:hAnsi="Calibri"/>
                <w:sz w:val="19"/>
              </w:rPr>
              <w:t>AHC 0910A (where applicable)</w:t>
            </w:r>
          </w:p>
        </w:tc>
      </w:tr>
      <w:tr>
        <w:tc>
          <w:tcPr>
            <w:tcW w:type="dxa" w:w="1728"/>
          </w:tcPr>
          <w:p>
            <w:r>
              <w:rPr>
                <w:rFonts w:ascii="Calibri" w:hAnsi="Calibri"/>
                <w:b/>
                <w:sz w:val="19"/>
              </w:rPr>
              <w:t>Business Arrangement</w:t>
            </w:r>
          </w:p>
        </w:tc>
        <w:tc>
          <w:tcPr>
            <w:tcW w:type="dxa" w:w="3312"/>
          </w:tcPr>
          <w:p>
            <w:r>
              <w:rPr>
                <w:rFonts w:ascii="Calibri" w:hAnsi="Calibri"/>
                <w:sz w:val="19"/>
              </w:rPr>
              <w:t>AHC 11236</w:t>
            </w:r>
          </w:p>
        </w:tc>
        <w:tc>
          <w:tcPr>
            <w:tcW w:type="dxa" w:w="3312"/>
          </w:tcPr>
          <w:p>
            <w:r>
              <w:rPr>
                <w:rFonts w:ascii="Calibri" w:hAnsi="Calibri"/>
                <w:sz w:val="19"/>
              </w:rPr>
              <w:t>AHC 11236</w:t>
            </w:r>
          </w:p>
        </w:tc>
      </w:tr>
      <w:tr>
        <w:tc>
          <w:tcPr>
            <w:tcW w:type="dxa" w:w="1728"/>
          </w:tcPr>
          <w:p>
            <w:r>
              <w:rPr>
                <w:rFonts w:ascii="Calibri" w:hAnsi="Calibri"/>
                <w:b/>
                <w:sz w:val="19"/>
              </w:rPr>
              <w:t>Submitter</w:t>
            </w:r>
          </w:p>
        </w:tc>
        <w:tc>
          <w:tcPr>
            <w:tcW w:type="dxa" w:w="3312"/>
          </w:tcPr>
          <w:p>
            <w:r>
              <w:rPr>
                <w:rFonts w:ascii="Calibri" w:hAnsi="Calibri"/>
                <w:sz w:val="19"/>
              </w:rPr>
              <w:t>AHC 2210 → ABC's own H-Link credentials</w:t>
            </w:r>
          </w:p>
        </w:tc>
        <w:tc>
          <w:tcPr>
            <w:tcW w:type="dxa" w:w="3312"/>
          </w:tcPr>
          <w:p>
            <w:r>
              <w:rPr>
                <w:rFonts w:ascii="Calibri" w:hAnsi="Calibri"/>
                <w:sz w:val="19"/>
              </w:rPr>
              <w:t>Sky Health accredited submitter (HZV)</w:t>
            </w:r>
          </w:p>
        </w:tc>
      </w:tr>
      <w:tr>
        <w:tc>
          <w:tcPr>
            <w:tcW w:type="dxa" w:w="1728"/>
          </w:tcPr>
          <w:p>
            <w:r>
              <w:rPr>
                <w:rFonts w:ascii="Calibri" w:hAnsi="Calibri"/>
                <w:b/>
                <w:sz w:val="19"/>
              </w:rPr>
              <w:t>Sky Claims Role</w:t>
            </w:r>
          </w:p>
        </w:tc>
        <w:tc>
          <w:tcPr>
            <w:tcW w:type="dxa" w:w="3312"/>
          </w:tcPr>
          <w:p>
            <w:r>
              <w:rPr>
                <w:rFonts w:ascii="Calibri" w:hAnsi="Calibri"/>
                <w:sz w:val="19"/>
              </w:rPr>
              <w:t>Billing software using ABC's credentials</w:t>
            </w:r>
          </w:p>
        </w:tc>
        <w:tc>
          <w:tcPr>
            <w:tcW w:type="dxa" w:w="3312"/>
          </w:tcPr>
          <w:p>
            <w:r>
              <w:rPr>
                <w:rFonts w:ascii="Calibri" w:hAnsi="Calibri"/>
                <w:sz w:val="19"/>
              </w:rPr>
              <w:t>Billing software + submitter infrastructure</w:t>
            </w:r>
          </w:p>
        </w:tc>
      </w:tr>
    </w:tbl>
    <w:p>
      <w:r>
        <w:br w:type="page"/>
      </w:r>
    </w:p>
    <w:p>
      <w:pPr>
        <w:spacing w:before="360" w:after="120"/>
        <w:pBdr>
          <w:bottom w:val="single" w:sz="6" w:space="4" w:color="004B87"/>
        </w:pBdr>
      </w:pPr>
      <w:r>
        <w:rPr>
          <w:rFonts w:ascii="Calibri" w:hAnsi="Calibri"/>
          <w:b/>
          <w:color w:val="004B87"/>
          <w:sz w:val="30"/>
        </w:rPr>
        <w:t>British Columbia</w:t>
      </w:r>
    </w:p>
    <w:p>
      <w:pPr>
        <w:spacing w:after="80"/>
        <w:ind w:left="0"/>
      </w:pPr>
      <w:r>
        <w:rPr>
          <w:rFonts w:ascii="Calibri" w:hAnsi="Calibri"/>
          <w:sz w:val="21"/>
        </w:rPr>
        <w:t>BC is form-driven. Teleplan has confirmed that vendors connect software directly to the production environment — there is no separate API test phase. Client registration uses the Teleplan Service Application form (HLTH 2820 or HLTH 2771), indicating Sky Claims as the vendor.</w:t>
      </w:r>
    </w:p>
    <w:p>
      <w:pPr>
        <w:spacing w:after="40"/>
      </w:pPr>
    </w:p>
    <w:p>
      <w:pPr>
        <w:spacing w:before="200" w:after="60"/>
      </w:pPr>
      <w:r>
        <w:rPr>
          <w:rFonts w:ascii="Calibri" w:hAnsi="Calibri"/>
          <w:b/>
          <w:color w:val="00878A"/>
          <w:sz w:val="24"/>
        </w:rPr>
        <w:t>Teleplan Service Application Forms</w:t>
      </w:r>
    </w:p>
    <w:p>
      <w:pPr>
        <w:spacing w:before="140" w:after="40"/>
      </w:pPr>
      <w:r>
        <w:rPr>
          <w:rFonts w:ascii="Calibri" w:hAnsi="Calibri"/>
          <w:b/>
          <w:color w:val="333333"/>
          <w:sz w:val="22"/>
        </w:rPr>
        <w:t>HLTH 2820 — Opted-In Practitioners</w:t>
      </w:r>
    </w:p>
    <w:p>
      <w:pPr>
        <w:spacing w:after="80"/>
        <w:ind w:left="0"/>
      </w:pPr>
      <w:r>
        <w:rPr>
          <w:rFonts w:ascii="Calibri" w:hAnsi="Calibri"/>
          <w:sz w:val="21"/>
        </w:rPr>
        <w:t>Primary form for opted-in MSP practitioners. Captures:</w:t>
      </w:r>
    </w:p>
    <w:p>
      <w:pPr>
        <w:pStyle w:val="ListBullet"/>
        <w:spacing w:after="60"/>
        <w:ind w:left="360"/>
      </w:pPr>
      <w:r>
        <w:rPr>
          <w:rFonts w:ascii="Calibri" w:hAnsi="Calibri"/>
          <w:sz w:val="21"/>
        </w:rPr>
        <w:t>Practitioner name and MSP payment number</w:t>
      </w:r>
    </w:p>
    <w:p>
      <w:pPr>
        <w:pStyle w:val="ListBullet"/>
        <w:spacing w:after="60"/>
        <w:ind w:left="360"/>
      </w:pPr>
      <w:r>
        <w:rPr>
          <w:rFonts w:ascii="Calibri" w:hAnsi="Calibri"/>
          <w:sz w:val="21"/>
        </w:rPr>
        <w:t>Practice type</w:t>
      </w:r>
    </w:p>
    <w:p>
      <w:pPr>
        <w:pStyle w:val="ListBullet"/>
        <w:spacing w:after="60"/>
        <w:ind w:left="360"/>
      </w:pPr>
      <w:r>
        <w:rPr>
          <w:rFonts w:ascii="Calibri" w:hAnsi="Calibri"/>
          <w:sz w:val="21"/>
        </w:rPr>
        <w:t>Data centre: Sky Claims V0127 (or client's own DC number if they have one)</w:t>
      </w:r>
    </w:p>
    <w:p>
      <w:pPr>
        <w:pStyle w:val="ListBullet"/>
        <w:spacing w:after="60"/>
        <w:ind w:left="360"/>
      </w:pPr>
      <w:r>
        <w:rPr>
          <w:rFonts w:ascii="Calibri" w:hAnsi="Calibri"/>
          <w:sz w:val="21"/>
        </w:rPr>
        <w:t>Software: Sky Claims  |  Vendor: Sky Health Technologies</w:t>
      </w:r>
    </w:p>
    <w:p>
      <w:pPr>
        <w:spacing w:after="80"/>
        <w:ind w:left="360"/>
      </w:pPr>
      <w:r>
        <w:rPr>
          <w:rFonts w:ascii="Calibri" w:hAnsi="Calibri"/>
          <w:b/>
          <w:i/>
          <w:color w:val="666666"/>
          <w:sz w:val="20"/>
        </w:rPr>
        <w:t xml:space="preserve">Note: </w:t>
      </w:r>
      <w:r>
        <w:rPr>
          <w:rFonts w:ascii="Calibri" w:hAnsi="Calibri"/>
          <w:i/>
          <w:color w:val="666666"/>
          <w:sz w:val="20"/>
        </w:rPr>
        <w:t>The form requires the software to be MSP tested and approved. Sky Claims holds vendor approval.</w:t>
      </w:r>
    </w:p>
    <w:p>
      <w:pPr>
        <w:spacing w:after="40"/>
      </w:pPr>
    </w:p>
    <w:p>
      <w:pPr>
        <w:spacing w:before="140" w:after="40"/>
      </w:pPr>
      <w:r>
        <w:rPr>
          <w:rFonts w:ascii="Calibri" w:hAnsi="Calibri"/>
          <w:b/>
          <w:color w:val="333333"/>
          <w:sz w:val="22"/>
        </w:rPr>
        <w:t>HLTH 2771 — Opted-Out Practitioners</w:t>
      </w:r>
    </w:p>
    <w:p>
      <w:pPr>
        <w:spacing w:after="80"/>
        <w:ind w:left="0"/>
      </w:pPr>
      <w:r>
        <w:rPr>
          <w:rFonts w:ascii="Calibri" w:hAnsi="Calibri"/>
          <w:sz w:val="21"/>
        </w:rPr>
        <w:t>Same structure as HLTH 2820, for opted-out practitioners. Also requires MSP-approved software.</w:t>
      </w:r>
    </w:p>
    <w:p>
      <w:pPr>
        <w:spacing w:after="40"/>
      </w:pPr>
    </w:p>
    <w:p>
      <w:pPr>
        <w:spacing w:after="80"/>
        <w:ind w:left="0"/>
      </w:pPr>
      <w:r>
        <w:rPr>
          <w:rFonts w:ascii="Calibri" w:hAnsi="Calibri"/>
          <w:sz w:val="21"/>
        </w:rPr>
        <w:t>At onboarding, ask: Are you opted-in or opted-out?</w:t>
      </w:r>
    </w:p>
    <w:p>
      <w:pPr>
        <w:pStyle w:val="ListBullet"/>
        <w:spacing w:after="60"/>
        <w:ind w:left="360"/>
      </w:pPr>
      <w:r>
        <w:rPr>
          <w:rFonts w:ascii="Calibri" w:hAnsi="Calibri"/>
          <w:sz w:val="21"/>
        </w:rPr>
        <w:t>Opted-in  →  HLTH 2820</w:t>
      </w:r>
    </w:p>
    <w:p>
      <w:pPr>
        <w:pStyle w:val="ListBullet"/>
        <w:spacing w:after="60"/>
        <w:ind w:left="360"/>
      </w:pPr>
      <w:r>
        <w:rPr>
          <w:rFonts w:ascii="Calibri" w:hAnsi="Calibri"/>
          <w:sz w:val="21"/>
        </w:rPr>
        <w:t>Opted-out  →  HLTH 2771</w:t>
      </w:r>
    </w:p>
    <w:p>
      <w:pPr>
        <w:spacing w:after="40"/>
      </w:pPr>
    </w:p>
    <w:p>
      <w:pPr>
        <w:spacing w:before="200" w:after="60"/>
      </w:pPr>
      <w:r>
        <w:rPr>
          <w:rFonts w:ascii="Calibri" w:hAnsi="Calibri"/>
          <w:b/>
          <w:color w:val="00878A"/>
          <w:sz w:val="24"/>
        </w:rPr>
        <w:t>BC Onboarding Steps</w:t>
      </w:r>
    </w:p>
    <w:tbl>
      <w:tblPr>
        <w:tblStyle w:val="TableGrid"/>
        <w:tblW w:type="auto" w:w="0"/>
        <w:jc w:val="left"/>
        <w:tblLook w:firstColumn="1" w:firstRow="1" w:lastColumn="0" w:lastRow="0" w:noHBand="0" w:noVBand="1" w:val="04A0"/>
      </w:tblPr>
      <w:tblGrid>
        <w:gridCol w:w="3024"/>
        <w:gridCol w:w="3024"/>
        <w:gridCol w:w="3024"/>
      </w:tblGrid>
      <w:tr>
        <w:tc>
          <w:tcPr>
            <w:tcW w:type="dxa" w:w="936"/>
            <w:shd w:val="clear" w:color="auto" w:fill="004B87"/>
          </w:tcPr>
          <w:p>
            <w:r>
              <w:rPr>
                <w:rFonts w:ascii="Calibri" w:hAnsi="Calibri"/>
                <w:b/>
                <w:color w:val="FFFFFF"/>
                <w:sz w:val="19"/>
              </w:rPr>
              <w:t>Step</w:t>
            </w:r>
          </w:p>
        </w:tc>
        <w:tc>
          <w:tcPr>
            <w:tcW w:type="dxa" w:w="2160"/>
            <w:shd w:val="clear" w:color="auto" w:fill="004B87"/>
          </w:tcPr>
          <w:p>
            <w:r>
              <w:rPr>
                <w:rFonts w:ascii="Calibri" w:hAnsi="Calibri"/>
                <w:b/>
                <w:color w:val="FFFFFF"/>
                <w:sz w:val="19"/>
              </w:rPr>
              <w:t>Action</w:t>
            </w:r>
          </w:p>
        </w:tc>
        <w:tc>
          <w:tcPr>
            <w:tcW w:type="dxa" w:w="5256"/>
            <w:shd w:val="clear" w:color="auto" w:fill="004B87"/>
          </w:tcPr>
          <w:p>
            <w:r>
              <w:rPr>
                <w:rFonts w:ascii="Calibri" w:hAnsi="Calibri"/>
                <w:b/>
                <w:color w:val="FFFFFF"/>
                <w:sz w:val="19"/>
              </w:rPr>
              <w:t>Details</w:t>
            </w:r>
          </w:p>
        </w:tc>
      </w:tr>
      <w:tr>
        <w:tc>
          <w:tcPr>
            <w:tcW w:type="dxa" w:w="936"/>
          </w:tcPr>
          <w:p>
            <w:r>
              <w:rPr>
                <w:rFonts w:ascii="Calibri" w:hAnsi="Calibri"/>
                <w:b/>
                <w:sz w:val="19"/>
              </w:rPr>
              <w:t>1</w:t>
            </w:r>
          </w:p>
        </w:tc>
        <w:tc>
          <w:tcPr>
            <w:tcW w:type="dxa" w:w="2160"/>
          </w:tcPr>
          <w:p>
            <w:r>
              <w:rPr>
                <w:rFonts w:ascii="Calibri" w:hAnsi="Calibri"/>
                <w:sz w:val="19"/>
              </w:rPr>
              <w:t>Obtain MSP practitioner/payee number</w:t>
            </w:r>
          </w:p>
        </w:tc>
        <w:tc>
          <w:tcPr>
            <w:tcW w:type="dxa" w:w="5256"/>
          </w:tcPr>
          <w:p>
            <w:r>
              <w:rPr>
                <w:rFonts w:ascii="Calibri" w:hAnsi="Calibri"/>
                <w:sz w:val="19"/>
              </w:rPr>
              <w:t>Must be in place before Teleplan registration. Form varies by profession — see gov.bc.ca/health/forms/msp</w:t>
            </w:r>
          </w:p>
        </w:tc>
      </w:tr>
      <w:tr>
        <w:tc>
          <w:tcPr>
            <w:tcW w:type="dxa" w:w="936"/>
          </w:tcPr>
          <w:p>
            <w:r>
              <w:rPr>
                <w:rFonts w:ascii="Calibri" w:hAnsi="Calibri"/>
                <w:b/>
                <w:sz w:val="19"/>
              </w:rPr>
              <w:t>2</w:t>
            </w:r>
          </w:p>
        </w:tc>
        <w:tc>
          <w:tcPr>
            <w:tcW w:type="dxa" w:w="2160"/>
          </w:tcPr>
          <w:p>
            <w:r>
              <w:rPr>
                <w:rFonts w:ascii="Calibri" w:hAnsi="Calibri"/>
                <w:sz w:val="19"/>
              </w:rPr>
              <w:t>Complete Teleplan application</w:t>
            </w:r>
          </w:p>
        </w:tc>
        <w:tc>
          <w:tcPr>
            <w:tcW w:type="dxa" w:w="5256"/>
          </w:tcPr>
          <w:p>
            <w:r>
              <w:rPr>
                <w:rFonts w:ascii="Calibri" w:hAnsi="Calibri"/>
                <w:sz w:val="19"/>
              </w:rPr>
              <w:t>HLTH 2820 (opted-in) or HLTH 2771 (opted-out). Indicate Sky Claims as billing software and Sky Health Technologies as vendor. Data centre: V0127 or client's own DC.</w:t>
            </w:r>
          </w:p>
        </w:tc>
      </w:tr>
      <w:tr>
        <w:tc>
          <w:tcPr>
            <w:tcW w:type="dxa" w:w="936"/>
          </w:tcPr>
          <w:p>
            <w:r>
              <w:rPr>
                <w:rFonts w:ascii="Calibri" w:hAnsi="Calibri"/>
                <w:b/>
                <w:sz w:val="19"/>
              </w:rPr>
              <w:t>3</w:t>
            </w:r>
          </w:p>
        </w:tc>
        <w:tc>
          <w:tcPr>
            <w:tcW w:type="dxa" w:w="2160"/>
          </w:tcPr>
          <w:p>
            <w:r>
              <w:rPr>
                <w:rFonts w:ascii="Calibri" w:hAnsi="Calibri"/>
                <w:sz w:val="19"/>
              </w:rPr>
              <w:t>Configure Sky Claims</w:t>
            </w:r>
          </w:p>
        </w:tc>
        <w:tc>
          <w:tcPr>
            <w:tcW w:type="dxa" w:w="5256"/>
          </w:tcPr>
          <w:p>
            <w:r>
              <w:rPr>
                <w:rFonts w:ascii="Calibri" w:hAnsi="Calibri"/>
                <w:sz w:val="19"/>
              </w:rPr>
              <w:t>Enter MSP billing number, payee number, opted-in/out status, and practice details into the Sky Claims provider profile.</w:t>
            </w:r>
          </w:p>
        </w:tc>
      </w:tr>
      <w:tr>
        <w:tc>
          <w:tcPr>
            <w:tcW w:type="dxa" w:w="936"/>
          </w:tcPr>
          <w:p>
            <w:r>
              <w:rPr>
                <w:rFonts w:ascii="Calibri" w:hAnsi="Calibri"/>
                <w:b/>
                <w:sz w:val="19"/>
              </w:rPr>
              <w:t>4</w:t>
            </w:r>
          </w:p>
        </w:tc>
        <w:tc>
          <w:tcPr>
            <w:tcW w:type="dxa" w:w="2160"/>
          </w:tcPr>
          <w:p>
            <w:r>
              <w:rPr>
                <w:rFonts w:ascii="Calibri" w:hAnsi="Calibri"/>
                <w:sz w:val="19"/>
              </w:rPr>
              <w:t>Activate</w:t>
            </w:r>
          </w:p>
        </w:tc>
        <w:tc>
          <w:tcPr>
            <w:tcW w:type="dxa" w:w="5256"/>
          </w:tcPr>
          <w:p>
            <w:r>
              <w:rPr>
                <w:rFonts w:ascii="Calibri" w:hAnsi="Calibri"/>
                <w:sz w:val="19"/>
              </w:rPr>
              <w:t>Sky Claims connects to Teleplan production (teleplan.hnet.bc.ca). No separate API test phase required.</w:t>
            </w:r>
          </w:p>
        </w:tc>
      </w:tr>
    </w:tbl>
    <w:p>
      <w:pPr>
        <w:spacing w:after="40"/>
      </w:pPr>
    </w:p>
    <w:p>
      <w:pPr>
        <w:spacing w:before="200" w:after="60"/>
      </w:pPr>
      <w:r>
        <w:rPr>
          <w:rFonts w:ascii="Calibri" w:hAnsi="Calibri"/>
          <w:b/>
          <w:color w:val="00878A"/>
          <w:sz w:val="24"/>
        </w:rPr>
        <w:t>Direct Deposit</w:t>
      </w:r>
    </w:p>
    <w:p>
      <w:pPr>
        <w:spacing w:after="80"/>
        <w:ind w:left="0"/>
      </w:pPr>
      <w:r>
        <w:rPr>
          <w:rFonts w:ascii="Calibri" w:hAnsi="Calibri"/>
          <w:sz w:val="21"/>
        </w:rPr>
        <w:t>Complete BC Ministry of Health form HLTH 2832. Available at gov.bc.ca/assets/gov/health/forms/2832fil.pdf</w:t>
      </w:r>
    </w:p>
    <w:p>
      <w:r>
        <w:br w:type="page"/>
      </w:r>
    </w:p>
    <w:p>
      <w:pPr>
        <w:spacing w:before="360" w:after="120"/>
        <w:pBdr>
          <w:bottom w:val="single" w:sz="6" w:space="4" w:color="004B87"/>
        </w:pBdr>
      </w:pPr>
      <w:r>
        <w:rPr>
          <w:rFonts w:ascii="Calibri" w:hAnsi="Calibri"/>
          <w:b/>
          <w:color w:val="004B87"/>
          <w:sz w:val="30"/>
        </w:rPr>
        <w:t>Ontario</w:t>
      </w:r>
    </w:p>
    <w:p>
      <w:pPr>
        <w:spacing w:after="80"/>
        <w:ind w:left="0"/>
      </w:pPr>
      <w:r>
        <w:rPr>
          <w:rFonts w:ascii="Calibri" w:hAnsi="Calibri"/>
          <w:sz w:val="21"/>
        </w:rPr>
        <w:t>Ontario provider registration is fully electronic as of April 1, 2026. The Ministry no longer accepts paper forms. All registration and maintenance is submitted through the Ministry's secure electronic application.</w:t>
      </w:r>
    </w:p>
    <w:p>
      <w:pPr>
        <w:spacing w:after="40"/>
      </w:pPr>
    </w:p>
    <w:p>
      <w:pPr>
        <w:spacing w:before="200" w:after="60"/>
      </w:pPr>
      <w:r>
        <w:rPr>
          <w:rFonts w:ascii="Calibri" w:hAnsi="Calibri"/>
          <w:b/>
          <w:color w:val="00878A"/>
          <w:sz w:val="24"/>
        </w:rPr>
        <w:t>Registration Steps</w:t>
      </w:r>
    </w:p>
    <w:p>
      <w:pPr>
        <w:spacing w:before="140" w:after="40"/>
      </w:pPr>
      <w:r>
        <w:rPr>
          <w:rFonts w:ascii="Calibri" w:hAnsi="Calibri"/>
          <w:b/>
          <w:color w:val="333333"/>
          <w:sz w:val="22"/>
        </w:rPr>
        <w:t>A.  OHIP Billing Number</w:t>
      </w:r>
    </w:p>
    <w:p>
      <w:pPr>
        <w:spacing w:after="80"/>
        <w:ind w:left="0"/>
      </w:pPr>
      <w:r>
        <w:rPr>
          <w:rFonts w:ascii="Calibri" w:hAnsi="Calibri"/>
          <w:sz w:val="21"/>
        </w:rPr>
        <w:t>Must be obtained before any other enrollment. Requirements:</w:t>
      </w:r>
    </w:p>
    <w:p>
      <w:pPr>
        <w:pStyle w:val="ListBullet"/>
        <w:spacing w:after="60"/>
        <w:ind w:left="360"/>
      </w:pPr>
      <w:r>
        <w:rPr>
          <w:rFonts w:ascii="Calibri" w:hAnsi="Calibri"/>
          <w:sz w:val="21"/>
        </w:rPr>
        <w:t>Valid certificate/registration with the applicable regulatory college</w:t>
      </w:r>
    </w:p>
    <w:p>
      <w:pPr>
        <w:pStyle w:val="ListBullet"/>
        <w:spacing w:after="60"/>
        <w:ind w:left="360"/>
      </w:pPr>
      <w:r>
        <w:rPr>
          <w:rFonts w:ascii="Calibri" w:hAnsi="Calibri"/>
          <w:sz w:val="21"/>
        </w:rPr>
        <w:t>Ontario practice address</w:t>
      </w:r>
    </w:p>
    <w:p>
      <w:pPr>
        <w:pStyle w:val="ListBullet"/>
        <w:spacing w:after="60"/>
        <w:ind w:left="360"/>
      </w:pPr>
      <w:r>
        <w:rPr>
          <w:rFonts w:ascii="Calibri" w:hAnsi="Calibri"/>
          <w:sz w:val="21"/>
        </w:rPr>
        <w:t>Online application: ontario.ca/page/ohip-billing-number-registration</w:t>
      </w:r>
    </w:p>
    <w:p>
      <w:pPr>
        <w:pStyle w:val="ListBullet"/>
        <w:spacing w:after="60"/>
        <w:ind w:left="360"/>
      </w:pPr>
      <w:r>
        <w:rPr>
          <w:rFonts w:ascii="Calibri" w:hAnsi="Calibri"/>
          <w:sz w:val="21"/>
        </w:rPr>
        <w:t>Banking information for direct payment</w:t>
      </w:r>
    </w:p>
    <w:p>
      <w:pPr>
        <w:spacing w:after="80"/>
        <w:ind w:left="360"/>
      </w:pPr>
      <w:r>
        <w:rPr>
          <w:rFonts w:ascii="Calibri" w:hAnsi="Calibri"/>
          <w:b/>
          <w:i/>
          <w:color w:val="666666"/>
          <w:sz w:val="20"/>
        </w:rPr>
        <w:t xml:space="preserve">Note: </w:t>
      </w:r>
      <w:r>
        <w:rPr>
          <w:rFonts w:ascii="Calibri" w:hAnsi="Calibri"/>
          <w:i/>
          <w:color w:val="666666"/>
          <w:sz w:val="20"/>
        </w:rPr>
        <w:t>Since April 1, 2026, all new provider registration and maintenance is handled electronically only.</w:t>
      </w:r>
    </w:p>
    <w:p>
      <w:pPr>
        <w:spacing w:after="40"/>
      </w:pPr>
    </w:p>
    <w:p>
      <w:pPr>
        <w:spacing w:before="140" w:after="40"/>
      </w:pPr>
      <w:r>
        <w:rPr>
          <w:rFonts w:ascii="Calibri" w:hAnsi="Calibri"/>
          <w:b/>
          <w:color w:val="333333"/>
          <w:sz w:val="22"/>
        </w:rPr>
        <w:t>B.  Health Care Group Registration (if applicable)</w:t>
      </w:r>
    </w:p>
    <w:p>
      <w:pPr>
        <w:spacing w:after="80"/>
        <w:ind w:left="0"/>
      </w:pPr>
      <w:r>
        <w:rPr>
          <w:rFonts w:ascii="Calibri" w:hAnsi="Calibri"/>
          <w:sz w:val="21"/>
        </w:rPr>
        <w:t>Required if the practitioner bills through a group or clinic. A group number is distinct from an individual billing number. Ask whether the practitioner bills individually, through a professional corporation, through a clinic/group, or under an existing group number.</w:t>
      </w:r>
    </w:p>
    <w:p>
      <w:pPr>
        <w:spacing w:after="40"/>
      </w:pPr>
    </w:p>
    <w:p>
      <w:pPr>
        <w:spacing w:before="140" w:after="40"/>
      </w:pPr>
      <w:r>
        <w:rPr>
          <w:rFonts w:ascii="Calibri" w:hAnsi="Calibri"/>
          <w:b/>
          <w:color w:val="333333"/>
          <w:sz w:val="22"/>
        </w:rPr>
        <w:t>C.  Consent and Authorization for Group Membership/Payment (if applicable)</w:t>
      </w:r>
    </w:p>
    <w:p>
      <w:pPr>
        <w:spacing w:after="80"/>
        <w:ind w:left="0"/>
      </w:pPr>
      <w:r>
        <w:rPr>
          <w:rFonts w:ascii="Calibri" w:hAnsi="Calibri"/>
          <w:sz w:val="21"/>
        </w:rPr>
        <w:t>Where group billing applies, the Ministry's electronic Consent and Authorization form establishes the relationship between the individual provider and the group/payee arrangement.</w:t>
      </w:r>
    </w:p>
    <w:p>
      <w:pPr>
        <w:spacing w:after="40"/>
      </w:pPr>
    </w:p>
    <w:p>
      <w:pPr>
        <w:spacing w:before="140" w:after="40"/>
      </w:pPr>
      <w:r>
        <w:rPr>
          <w:rFonts w:ascii="Calibri" w:hAnsi="Calibri"/>
          <w:b/>
          <w:color w:val="333333"/>
          <w:sz w:val="22"/>
        </w:rPr>
        <w:t>D.  MCEDT Enrollment</w:t>
      </w:r>
    </w:p>
    <w:p>
      <w:pPr>
        <w:spacing w:after="80"/>
        <w:ind w:left="0"/>
      </w:pPr>
      <w:r>
        <w:rPr>
          <w:rFonts w:ascii="Calibri" w:hAnsi="Calibri"/>
          <w:sz w:val="21"/>
        </w:rPr>
        <w:t>Once the OHIP billing number is issued, the practitioner registers for MCEDT:</w:t>
      </w:r>
    </w:p>
    <w:p>
      <w:pPr>
        <w:pStyle w:val="ListBullet"/>
        <w:spacing w:after="60"/>
        <w:ind w:left="360"/>
      </w:pPr>
      <w:r>
        <w:rPr>
          <w:rFonts w:ascii="Calibri" w:hAnsi="Calibri"/>
          <w:sz w:val="21"/>
        </w:rPr>
        <w:t>Register for an OPS BPS Secure account at login.security.gov.on.ca</w:t>
      </w:r>
    </w:p>
    <w:p>
      <w:pPr>
        <w:pStyle w:val="ListBullet"/>
        <w:spacing w:after="60"/>
        <w:ind w:left="360"/>
      </w:pPr>
      <w:r>
        <w:rPr>
          <w:rFonts w:ascii="Calibri" w:hAnsi="Calibri"/>
          <w:sz w:val="21"/>
        </w:rPr>
        <w:t>Use Ministry-issued unique identifiers to enrol via the eBSE portal (ebse.health.gov.on.ca)</w:t>
      </w:r>
    </w:p>
    <w:p>
      <w:pPr>
        <w:spacing w:after="80"/>
        <w:ind w:left="360"/>
      </w:pPr>
      <w:r>
        <w:rPr>
          <w:rFonts w:ascii="Calibri" w:hAnsi="Calibri"/>
          <w:b/>
          <w:i/>
          <w:color w:val="666666"/>
          <w:sz w:val="20"/>
        </w:rPr>
        <w:t xml:space="preserve">Note: </w:t>
      </w:r>
      <w:r>
        <w:rPr>
          <w:rFonts w:ascii="Calibri" w:hAnsi="Calibri"/>
          <w:i/>
          <w:color w:val="666666"/>
          <w:sz w:val="20"/>
        </w:rPr>
        <w:t>MCEDT enrollment is the step that connects the practitioner to Sky Claims' submission workflow.</w:t>
      </w:r>
    </w:p>
    <w:p>
      <w:pPr>
        <w:spacing w:after="40"/>
      </w:pPr>
    </w:p>
    <w:p>
      <w:pPr>
        <w:spacing w:before="140" w:after="40"/>
      </w:pPr>
      <w:r>
        <w:rPr>
          <w:rFonts w:ascii="Calibri" w:hAnsi="Calibri"/>
          <w:b/>
          <w:color w:val="333333"/>
          <w:sz w:val="22"/>
        </w:rPr>
        <w:t>E.  Health Card Validation (HCV) Enrollment (if applicable)</w:t>
      </w:r>
    </w:p>
    <w:p>
      <w:pPr>
        <w:spacing w:after="80"/>
        <w:ind w:left="0"/>
      </w:pPr>
      <w:r>
        <w:rPr>
          <w:rFonts w:ascii="Calibri" w:hAnsi="Calibri"/>
          <w:sz w:val="21"/>
        </w:rPr>
        <w:t>Enrolled separately via the eBSE portal. Required if Sky Claims will provide real-time eligibility checking for this practitioner.</w:t>
      </w:r>
    </w:p>
    <w:p>
      <w:pPr>
        <w:spacing w:after="40"/>
      </w:pPr>
    </w:p>
    <w:p>
      <w:pPr>
        <w:spacing w:before="200" w:after="60"/>
      </w:pPr>
      <w:r>
        <w:rPr>
          <w:rFonts w:ascii="Calibri" w:hAnsi="Calibri"/>
          <w:b/>
          <w:color w:val="00878A"/>
          <w:sz w:val="24"/>
        </w:rPr>
        <w:t>Ontario New Practitioner Checklist</w:t>
      </w:r>
    </w:p>
    <w:p>
      <w:pPr>
        <w:spacing w:before="140" w:after="40"/>
      </w:pPr>
      <w:r>
        <w:rPr>
          <w:rFonts w:ascii="Calibri" w:hAnsi="Calibri"/>
          <w:b/>
          <w:color w:val="333333"/>
          <w:sz w:val="22"/>
        </w:rPr>
        <w:t>Government Registration</w:t>
      </w:r>
    </w:p>
    <w:p>
      <w:pPr>
        <w:spacing w:after="60"/>
        <w:ind w:left="360"/>
      </w:pPr>
      <w:r>
        <w:rPr>
          <w:rFonts w:ascii="Calibri" w:hAnsi="Calibri"/>
        </w:rPr>
        <w:t xml:space="preserve">☐  </w:t>
      </w:r>
      <w:r>
        <w:rPr>
          <w:rFonts w:ascii="Calibri" w:hAnsi="Calibri"/>
          <w:sz w:val="21"/>
        </w:rPr>
        <w:t>OHIP Billing Number — electronic application</w:t>
      </w:r>
    </w:p>
    <w:p>
      <w:pPr>
        <w:spacing w:after="60"/>
        <w:ind w:left="360"/>
      </w:pPr>
      <w:r>
        <w:rPr>
          <w:rFonts w:ascii="Calibri" w:hAnsi="Calibri"/>
        </w:rPr>
        <w:t xml:space="preserve">☐  </w:t>
      </w:r>
      <w:r>
        <w:rPr>
          <w:rFonts w:ascii="Calibri" w:hAnsi="Calibri"/>
          <w:b/>
          <w:sz w:val="21"/>
        </w:rPr>
        <w:t xml:space="preserve">if applicable: </w:t>
      </w:r>
      <w:r>
        <w:rPr>
          <w:rFonts w:ascii="Calibri" w:hAnsi="Calibri"/>
          <w:sz w:val="21"/>
        </w:rPr>
        <w:t xml:space="preserve">Health Care Group Registration — </w:t>
      </w:r>
    </w:p>
    <w:p>
      <w:pPr>
        <w:spacing w:after="60"/>
        <w:ind w:left="360"/>
      </w:pPr>
      <w:r>
        <w:rPr>
          <w:rFonts w:ascii="Calibri" w:hAnsi="Calibri"/>
        </w:rPr>
        <w:t xml:space="preserve">☐  </w:t>
      </w:r>
      <w:r>
        <w:rPr>
          <w:rFonts w:ascii="Calibri" w:hAnsi="Calibri"/>
          <w:b/>
          <w:sz w:val="21"/>
        </w:rPr>
        <w:t xml:space="preserve">if applicable: </w:t>
      </w:r>
      <w:r>
        <w:rPr>
          <w:rFonts w:ascii="Calibri" w:hAnsi="Calibri"/>
          <w:sz w:val="21"/>
        </w:rPr>
        <w:t xml:space="preserve">Consent &amp; Authorization for Group Membership/Payment — </w:t>
      </w:r>
    </w:p>
    <w:p>
      <w:pPr>
        <w:spacing w:after="60"/>
        <w:ind w:left="360"/>
      </w:pPr>
      <w:r>
        <w:rPr>
          <w:rFonts w:ascii="Calibri" w:hAnsi="Calibri"/>
        </w:rPr>
        <w:t xml:space="preserve">☐  </w:t>
      </w:r>
      <w:r>
        <w:rPr>
          <w:rFonts w:ascii="Calibri" w:hAnsi="Calibri"/>
          <w:sz w:val="21"/>
        </w:rPr>
        <w:t>MCEDT enrollment — eBSE portal</w:t>
      </w:r>
    </w:p>
    <w:p>
      <w:pPr>
        <w:spacing w:after="60"/>
        <w:ind w:left="360"/>
      </w:pPr>
      <w:r>
        <w:rPr>
          <w:rFonts w:ascii="Calibri" w:hAnsi="Calibri"/>
        </w:rPr>
        <w:t xml:space="preserve">☐  </w:t>
      </w:r>
      <w:r>
        <w:rPr>
          <w:rFonts w:ascii="Calibri" w:hAnsi="Calibri"/>
          <w:b/>
          <w:sz w:val="21"/>
        </w:rPr>
        <w:t xml:space="preserve">if Sky Claims provides eligibility: </w:t>
      </w:r>
      <w:r>
        <w:rPr>
          <w:rFonts w:ascii="Calibri" w:hAnsi="Calibri"/>
          <w:sz w:val="21"/>
        </w:rPr>
        <w:t xml:space="preserve">HCV enrollment — </w:t>
      </w:r>
    </w:p>
    <w:p>
      <w:pPr>
        <w:spacing w:after="60"/>
        <w:ind w:left="360"/>
      </w:pPr>
      <w:r>
        <w:rPr>
          <w:rFonts w:ascii="Calibri" w:hAnsi="Calibri"/>
        </w:rPr>
        <w:t xml:space="preserve">☐  </w:t>
      </w:r>
      <w:r>
        <w:rPr>
          <w:rFonts w:ascii="Calibri" w:hAnsi="Calibri"/>
          <w:sz w:val="21"/>
        </w:rPr>
        <w:t>Banking / direct-deposit information</w:t>
      </w:r>
    </w:p>
    <w:p>
      <w:pPr>
        <w:spacing w:after="60"/>
        <w:ind w:left="360"/>
      </w:pPr>
      <w:r>
        <w:rPr>
          <w:rFonts w:ascii="Calibri" w:hAnsi="Calibri"/>
        </w:rPr>
        <w:t xml:space="preserve">☐  </w:t>
      </w:r>
      <w:r>
        <w:rPr>
          <w:rFonts w:ascii="Calibri" w:hAnsi="Calibri"/>
          <w:sz w:val="21"/>
        </w:rPr>
        <w:t>Ontario practice address confirmed</w:t>
      </w:r>
    </w:p>
    <w:p>
      <w:pPr>
        <w:spacing w:after="60"/>
        <w:ind w:left="360"/>
      </w:pPr>
      <w:r>
        <w:rPr>
          <w:rFonts w:ascii="Calibri" w:hAnsi="Calibri"/>
        </w:rPr>
        <w:t xml:space="preserve">☐  </w:t>
      </w:r>
      <w:r>
        <w:rPr>
          <w:rFonts w:ascii="Calibri" w:hAnsi="Calibri"/>
          <w:sz w:val="21"/>
        </w:rPr>
        <w:t>Regulatory college registration verified</w:t>
      </w:r>
    </w:p>
    <w:p>
      <w:pPr>
        <w:spacing w:after="40"/>
      </w:pPr>
    </w:p>
    <w:p>
      <w:pPr>
        <w:spacing w:before="140" w:after="40"/>
      </w:pPr>
      <w:r>
        <w:rPr>
          <w:rFonts w:ascii="Calibri" w:hAnsi="Calibri"/>
          <w:b/>
          <w:color w:val="333333"/>
          <w:sz w:val="22"/>
        </w:rPr>
        <w:t>Sky Claims Setup</w:t>
      </w:r>
    </w:p>
    <w:p>
      <w:pPr>
        <w:spacing w:after="60"/>
        <w:ind w:left="360"/>
      </w:pPr>
      <w:r>
        <w:rPr>
          <w:rFonts w:ascii="Calibri" w:hAnsi="Calibri"/>
        </w:rPr>
        <w:t xml:space="preserve">☐  </w:t>
      </w:r>
      <w:r>
        <w:rPr>
          <w:rFonts w:ascii="Calibri" w:hAnsi="Calibri"/>
          <w:sz w:val="21"/>
        </w:rPr>
        <w:t>Provider OHIP billing number entered</w:t>
      </w:r>
    </w:p>
    <w:p>
      <w:pPr>
        <w:spacing w:after="60"/>
        <w:ind w:left="360"/>
      </w:pPr>
      <w:r>
        <w:rPr>
          <w:rFonts w:ascii="Calibri" w:hAnsi="Calibri"/>
        </w:rPr>
        <w:t xml:space="preserve">☐  </w:t>
      </w:r>
      <w:r>
        <w:rPr>
          <w:rFonts w:ascii="Calibri" w:hAnsi="Calibri"/>
          <w:b/>
          <w:sz w:val="21"/>
        </w:rPr>
        <w:t xml:space="preserve">if applicable: </w:t>
      </w:r>
      <w:r>
        <w:rPr>
          <w:rFonts w:ascii="Calibri" w:hAnsi="Calibri"/>
          <w:sz w:val="21"/>
        </w:rPr>
        <w:t xml:space="preserve">Group number — </w:t>
      </w:r>
    </w:p>
    <w:p>
      <w:pPr>
        <w:spacing w:after="60"/>
        <w:ind w:left="360"/>
      </w:pPr>
      <w:r>
        <w:rPr>
          <w:rFonts w:ascii="Calibri" w:hAnsi="Calibri"/>
        </w:rPr>
        <w:t xml:space="preserve">☐  </w:t>
      </w:r>
      <w:r>
        <w:rPr>
          <w:rFonts w:ascii="Calibri" w:hAnsi="Calibri"/>
          <w:sz w:val="21"/>
        </w:rPr>
        <w:t>MCEDT credentials configured</w:t>
      </w:r>
    </w:p>
    <w:p>
      <w:pPr>
        <w:spacing w:after="60"/>
        <w:ind w:left="360"/>
      </w:pPr>
      <w:r>
        <w:rPr>
          <w:rFonts w:ascii="Calibri" w:hAnsi="Calibri"/>
        </w:rPr>
        <w:t xml:space="preserve">☐  </w:t>
      </w:r>
      <w:r>
        <w:rPr>
          <w:rFonts w:ascii="Calibri" w:hAnsi="Calibri"/>
          <w:sz w:val="21"/>
        </w:rPr>
        <w:t>Provider specialty and service locations</w:t>
      </w:r>
    </w:p>
    <w:p>
      <w:pPr>
        <w:spacing w:after="60"/>
        <w:ind w:left="360"/>
      </w:pPr>
      <w:r>
        <w:rPr>
          <w:rFonts w:ascii="Calibri" w:hAnsi="Calibri"/>
        </w:rPr>
        <w:t xml:space="preserve">☐  </w:t>
      </w:r>
      <w:r>
        <w:rPr>
          <w:rFonts w:ascii="Calibri" w:hAnsi="Calibri"/>
          <w:sz w:val="21"/>
        </w:rPr>
        <w:t>Banking / payee configuration</w:t>
      </w:r>
    </w:p>
    <w:p>
      <w:pPr>
        <w:spacing w:after="60"/>
        <w:ind w:left="360"/>
      </w:pPr>
      <w:r>
        <w:rPr>
          <w:rFonts w:ascii="Calibri" w:hAnsi="Calibri"/>
        </w:rPr>
        <w:t xml:space="preserve">☐  </w:t>
      </w:r>
      <w:r>
        <w:rPr>
          <w:rFonts w:ascii="Calibri" w:hAnsi="Calibri"/>
          <w:sz w:val="21"/>
        </w:rPr>
        <w:t>Effective date set</w:t>
      </w:r>
    </w:p>
    <w:p>
      <w:pPr>
        <w:spacing w:after="60"/>
        <w:ind w:left="360"/>
      </w:pPr>
      <w:r>
        <w:rPr>
          <w:rFonts w:ascii="Calibri" w:hAnsi="Calibri"/>
        </w:rPr>
        <w:t xml:space="preserve">☐  </w:t>
      </w:r>
      <w:r>
        <w:rPr>
          <w:rFonts w:ascii="Calibri" w:hAnsi="Calibri"/>
          <w:sz w:val="21"/>
        </w:rPr>
        <w:t>Fee schedule and billing rules applied</w:t>
      </w:r>
    </w:p>
    <w:p>
      <w:r>
        <w:br w:type="page"/>
      </w:r>
    </w:p>
    <w:p>
      <w:pPr>
        <w:spacing w:before="360" w:after="120"/>
        <w:pBdr>
          <w:bottom w:val="single" w:sz="6" w:space="4" w:color="004B87"/>
        </w:pBdr>
      </w:pPr>
      <w:r>
        <w:rPr>
          <w:rFonts w:ascii="Calibri" w:hAnsi="Calibri"/>
          <w:b/>
          <w:color w:val="004B87"/>
          <w:sz w:val="30"/>
        </w:rPr>
        <w:t>Manitoba</w:t>
      </w:r>
    </w:p>
    <w:p>
      <w:pPr>
        <w:spacing w:after="80"/>
        <w:ind w:left="0"/>
      </w:pPr>
      <w:r>
        <w:rPr>
          <w:rFonts w:ascii="Calibri" w:hAnsi="Calibri"/>
          <w:sz w:val="21"/>
        </w:rPr>
        <w:t>Manitoba operates an explicit vendor/service-bureau model with mandatory software testing before any new site goes live.</w:t>
      </w:r>
    </w:p>
    <w:p>
      <w:pPr>
        <w:spacing w:after="40"/>
      </w:pPr>
    </w:p>
    <w:p>
      <w:pPr>
        <w:spacing w:before="200" w:after="60"/>
      </w:pPr>
      <w:r>
        <w:rPr>
          <w:rFonts w:ascii="Calibri" w:hAnsi="Calibri"/>
          <w:b/>
          <w:color w:val="00878A"/>
          <w:sz w:val="24"/>
        </w:rPr>
        <w:t>Key Registration Elements</w:t>
      </w:r>
    </w:p>
    <w:p>
      <w:pPr>
        <w:spacing w:before="140" w:after="40"/>
      </w:pPr>
      <w:r>
        <w:rPr>
          <w:rFonts w:ascii="Calibri" w:hAnsi="Calibri"/>
          <w:b/>
          <w:color w:val="333333"/>
          <w:sz w:val="22"/>
        </w:rPr>
        <w:t>Vendor Software Testing</w:t>
      </w:r>
    </w:p>
    <w:p>
      <w:pPr>
        <w:spacing w:after="80"/>
        <w:ind w:left="0"/>
      </w:pPr>
      <w:r>
        <w:rPr>
          <w:rFonts w:ascii="Calibri" w:hAnsi="Calibri"/>
          <w:sz w:val="21"/>
        </w:rPr>
        <w:t>All vendors must test new software with Manitoba Health before implementation. Each new user site — or a site changing billing software — must pass testing before claims can be submitted.</w:t>
      </w:r>
    </w:p>
    <w:p>
      <w:pPr>
        <w:spacing w:before="140" w:after="40"/>
      </w:pPr>
      <w:r>
        <w:rPr>
          <w:rFonts w:ascii="Calibri" w:hAnsi="Calibri"/>
          <w:b/>
          <w:color w:val="333333"/>
          <w:sz w:val="22"/>
        </w:rPr>
        <w:t>EPiCS Letter of Agreement</w:t>
      </w:r>
    </w:p>
    <w:p>
      <w:pPr>
        <w:spacing w:after="80"/>
        <w:ind w:left="0"/>
      </w:pPr>
      <w:r>
        <w:rPr>
          <w:rFonts w:ascii="Calibri" w:hAnsi="Calibri"/>
          <w:sz w:val="21"/>
        </w:rPr>
        <w:t>The practitioner's clinic/billing operation signs a Letter of Agreement with Manitoba Health's EPiCS (Electronic Physician Claims Submission) program, linking the practitioner to the user site.</w:t>
      </w:r>
    </w:p>
    <w:p>
      <w:pPr>
        <w:spacing w:before="140" w:after="40"/>
      </w:pPr>
      <w:r>
        <w:rPr>
          <w:rFonts w:ascii="Calibri" w:hAnsi="Calibri"/>
          <w:b/>
          <w:color w:val="333333"/>
          <w:sz w:val="22"/>
        </w:rPr>
        <w:t>User Site Number</w:t>
      </w:r>
    </w:p>
    <w:p>
      <w:pPr>
        <w:spacing w:after="80"/>
        <w:ind w:left="0"/>
      </w:pPr>
      <w:r>
        <w:rPr>
          <w:rFonts w:ascii="Calibri" w:hAnsi="Calibri"/>
          <w:sz w:val="21"/>
        </w:rPr>
        <w:t>The practitioner/billing operation is assigned a User Site Number that uniquely identifies the user within Manitoba's billing system.</w:t>
      </w:r>
    </w:p>
    <w:p>
      <w:pPr>
        <w:spacing w:before="140" w:after="40"/>
      </w:pPr>
      <w:r>
        <w:rPr>
          <w:rFonts w:ascii="Calibri" w:hAnsi="Calibri"/>
          <w:b/>
          <w:color w:val="333333"/>
          <w:sz w:val="22"/>
        </w:rPr>
        <w:t>Electronic User Number</w:t>
      </w:r>
    </w:p>
    <w:p>
      <w:pPr>
        <w:spacing w:after="80"/>
        <w:ind w:left="0"/>
      </w:pPr>
      <w:r>
        <w:rPr>
          <w:rFonts w:ascii="Calibri" w:hAnsi="Calibri"/>
          <w:sz w:val="21"/>
        </w:rPr>
        <w:t>A Request for Electronic User Number must be completed for each user who will submit claims electronically.</w:t>
      </w:r>
    </w:p>
    <w:p>
      <w:pPr>
        <w:spacing w:before="140" w:after="40"/>
      </w:pPr>
      <w:r>
        <w:rPr>
          <w:rFonts w:ascii="Calibri" w:hAnsi="Calibri"/>
          <w:b/>
          <w:color w:val="333333"/>
          <w:sz w:val="22"/>
        </w:rPr>
        <w:t>EPiCS User Change/Termination Form</w:t>
      </w:r>
    </w:p>
    <w:p>
      <w:pPr>
        <w:spacing w:after="80"/>
        <w:ind w:left="0"/>
      </w:pPr>
      <w:r>
        <w:rPr>
          <w:rFonts w:ascii="Calibri" w:hAnsi="Calibri"/>
          <w:sz w:val="21"/>
        </w:rPr>
        <w:t>Used when changing or terminating authorized users at a site.</w:t>
      </w:r>
    </w:p>
    <w:p>
      <w:r>
        <w:br w:type="page"/>
      </w:r>
    </w:p>
    <w:p>
      <w:pPr>
        <w:spacing w:before="360" w:after="120"/>
        <w:pBdr>
          <w:bottom w:val="single" w:sz="6" w:space="4" w:color="004B87"/>
        </w:pBdr>
      </w:pPr>
      <w:r>
        <w:rPr>
          <w:rFonts w:ascii="Calibri" w:hAnsi="Calibri"/>
          <w:b/>
          <w:color w:val="004B87"/>
          <w:sz w:val="30"/>
        </w:rPr>
        <w:t>National Sky Claims Architecture</w:t>
      </w:r>
    </w:p>
    <w:p>
      <w:pPr>
        <w:spacing w:after="80"/>
        <w:ind w:left="0"/>
      </w:pPr>
      <w:r>
        <w:rPr>
          <w:rFonts w:ascii="Calibri" w:hAnsi="Calibri"/>
          <w:sz w:val="21"/>
        </w:rPr>
        <w:t>Sky Claims is built on a four-object model that maps cleanly across all provinces:</w:t>
      </w:r>
    </w:p>
    <w:p>
      <w:pPr>
        <w:spacing w:after="200"/>
        <w:ind w:left="576"/>
      </w:pPr>
      <w:r>
        <w:rPr>
          <w:rFonts w:ascii="Calibri" w:hAnsi="Calibri"/>
          <w:b/>
          <w:color w:val="004B87"/>
          <w:sz w:val="22"/>
        </w:rPr>
        <w:t>Provider  →  Practice/Facility  →  Payee/Business Arrangement  →  Submitter/Electronic Claims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368"/>
            <w:shd w:val="clear" w:color="auto" w:fill="004B87"/>
          </w:tcPr>
          <w:p>
            <w:r>
              <w:rPr>
                <w:rFonts w:ascii="Calibri" w:hAnsi="Calibri"/>
                <w:b/>
                <w:color w:val="FFFFFF"/>
                <w:sz w:val="19"/>
              </w:rPr>
              <w:t>Province</w:t>
            </w:r>
          </w:p>
        </w:tc>
        <w:tc>
          <w:tcPr>
            <w:tcW w:type="dxa" w:w="1584"/>
            <w:shd w:val="clear" w:color="auto" w:fill="004B87"/>
          </w:tcPr>
          <w:p>
            <w:r>
              <w:rPr>
                <w:rFonts w:ascii="Calibri" w:hAnsi="Calibri"/>
                <w:b/>
                <w:color w:val="FFFFFF"/>
                <w:sz w:val="19"/>
              </w:rPr>
              <w:t>Provider ID</w:t>
            </w:r>
          </w:p>
        </w:tc>
        <w:tc>
          <w:tcPr>
            <w:tcW w:type="dxa" w:w="1944"/>
            <w:shd w:val="clear" w:color="auto" w:fill="004B87"/>
          </w:tcPr>
          <w:p>
            <w:r>
              <w:rPr>
                <w:rFonts w:ascii="Calibri" w:hAnsi="Calibri"/>
                <w:b/>
                <w:color w:val="FFFFFF"/>
                <w:sz w:val="19"/>
              </w:rPr>
              <w:t>Payee / Group</w:t>
            </w:r>
          </w:p>
        </w:tc>
        <w:tc>
          <w:tcPr>
            <w:tcW w:type="dxa" w:w="1584"/>
            <w:shd w:val="clear" w:color="auto" w:fill="004B87"/>
          </w:tcPr>
          <w:p>
            <w:r>
              <w:rPr>
                <w:rFonts w:ascii="Calibri" w:hAnsi="Calibri"/>
                <w:b/>
                <w:color w:val="FFFFFF"/>
                <w:sz w:val="19"/>
              </w:rPr>
              <w:t>Electronic System</w:t>
            </w:r>
          </w:p>
        </w:tc>
        <w:tc>
          <w:tcPr>
            <w:tcW w:type="dxa" w:w="2592"/>
            <w:shd w:val="clear" w:color="auto" w:fill="004B87"/>
          </w:tcPr>
          <w:p>
            <w:r>
              <w:rPr>
                <w:rFonts w:ascii="Calibri" w:hAnsi="Calibri"/>
                <w:b/>
                <w:color w:val="FFFFFF"/>
                <w:sz w:val="19"/>
              </w:rPr>
              <w:t>Vendor / Submitter</w:t>
            </w:r>
          </w:p>
        </w:tc>
      </w:tr>
      <w:tr>
        <w:tc>
          <w:tcPr>
            <w:tcW w:type="dxa" w:w="1368"/>
          </w:tcPr>
          <w:p>
            <w:r>
              <w:rPr>
                <w:rFonts w:ascii="Calibri" w:hAnsi="Calibri"/>
                <w:b/>
                <w:sz w:val="19"/>
              </w:rPr>
              <w:t>BC</w:t>
            </w:r>
          </w:p>
        </w:tc>
        <w:tc>
          <w:tcPr>
            <w:tcW w:type="dxa" w:w="1584"/>
          </w:tcPr>
          <w:p>
            <w:r>
              <w:rPr>
                <w:rFonts w:ascii="Calibri" w:hAnsi="Calibri"/>
                <w:sz w:val="19"/>
              </w:rPr>
              <w:t>MSP Practitioner #</w:t>
            </w:r>
          </w:p>
        </w:tc>
        <w:tc>
          <w:tcPr>
            <w:tcW w:type="dxa" w:w="1944"/>
          </w:tcPr>
          <w:p>
            <w:r>
              <w:rPr>
                <w:rFonts w:ascii="Calibri" w:hAnsi="Calibri"/>
                <w:sz w:val="19"/>
              </w:rPr>
              <w:t>MSP Payment #</w:t>
            </w:r>
          </w:p>
        </w:tc>
        <w:tc>
          <w:tcPr>
            <w:tcW w:type="dxa" w:w="1584"/>
          </w:tcPr>
          <w:p>
            <w:r>
              <w:rPr>
                <w:rFonts w:ascii="Calibri" w:hAnsi="Calibri"/>
                <w:sz w:val="19"/>
              </w:rPr>
              <w:t>Teleplan</w:t>
            </w:r>
          </w:p>
        </w:tc>
        <w:tc>
          <w:tcPr>
            <w:tcW w:type="dxa" w:w="2592"/>
          </w:tcPr>
          <w:p>
            <w:r>
              <w:rPr>
                <w:rFonts w:ascii="Calibri" w:hAnsi="Calibri"/>
                <w:sz w:val="19"/>
              </w:rPr>
              <w:t>Sky Claims / Teleplan vendor V0127</w:t>
            </w:r>
          </w:p>
        </w:tc>
      </w:tr>
      <w:tr>
        <w:tc>
          <w:tcPr>
            <w:tcW w:type="dxa" w:w="1368"/>
          </w:tcPr>
          <w:p>
            <w:r>
              <w:rPr>
                <w:rFonts w:ascii="Calibri" w:hAnsi="Calibri"/>
                <w:b/>
                <w:sz w:val="19"/>
              </w:rPr>
              <w:t>Alberta</w:t>
            </w:r>
          </w:p>
        </w:tc>
        <w:tc>
          <w:tcPr>
            <w:tcW w:type="dxa" w:w="1584"/>
          </w:tcPr>
          <w:p>
            <w:r>
              <w:rPr>
                <w:rFonts w:ascii="Calibri" w:hAnsi="Calibri"/>
                <w:sz w:val="19"/>
              </w:rPr>
              <w:t>Practitioner ID (PRAC)</w:t>
            </w:r>
          </w:p>
        </w:tc>
        <w:tc>
          <w:tcPr>
            <w:tcW w:type="dxa" w:w="1944"/>
          </w:tcPr>
          <w:p>
            <w:r>
              <w:rPr>
                <w:rFonts w:ascii="Calibri" w:hAnsi="Calibri"/>
                <w:sz w:val="19"/>
              </w:rPr>
              <w:t>Business Arrangement</w:t>
            </w:r>
          </w:p>
        </w:tc>
        <w:tc>
          <w:tcPr>
            <w:tcW w:type="dxa" w:w="1584"/>
          </w:tcPr>
          <w:p>
            <w:r>
              <w:rPr>
                <w:rFonts w:ascii="Calibri" w:hAnsi="Calibri"/>
                <w:sz w:val="19"/>
              </w:rPr>
              <w:t>AHCIP H-Link</w:t>
            </w:r>
          </w:p>
        </w:tc>
        <w:tc>
          <w:tcPr>
            <w:tcW w:type="dxa" w:w="2592"/>
          </w:tcPr>
          <w:p>
            <w:r>
              <w:rPr>
                <w:rFonts w:ascii="Calibri" w:hAnsi="Calibri"/>
                <w:sz w:val="19"/>
              </w:rPr>
              <w:t>Sky Health (HZV) or client submitter</w:t>
            </w:r>
          </w:p>
        </w:tc>
      </w:tr>
      <w:tr>
        <w:tc>
          <w:tcPr>
            <w:tcW w:type="dxa" w:w="1368"/>
          </w:tcPr>
          <w:p>
            <w:r>
              <w:rPr>
                <w:rFonts w:ascii="Calibri" w:hAnsi="Calibri"/>
                <w:b/>
                <w:sz w:val="19"/>
              </w:rPr>
              <w:t>Saskatchewan</w:t>
            </w:r>
          </w:p>
        </w:tc>
        <w:tc>
          <w:tcPr>
            <w:tcW w:type="dxa" w:w="1584"/>
          </w:tcPr>
          <w:p>
            <w:r>
              <w:rPr>
                <w:rFonts w:ascii="Calibri" w:hAnsi="Calibri"/>
                <w:sz w:val="19"/>
              </w:rPr>
              <w:t>Practitioner/claims reg.</w:t>
            </w:r>
          </w:p>
        </w:tc>
        <w:tc>
          <w:tcPr>
            <w:tcW w:type="dxa" w:w="1944"/>
          </w:tcPr>
          <w:p>
            <w:r>
              <w:rPr>
                <w:rFonts w:ascii="Calibri" w:hAnsi="Calibri"/>
                <w:sz w:val="19"/>
              </w:rPr>
              <w:t>MSB arrangement</w:t>
            </w:r>
          </w:p>
        </w:tc>
        <w:tc>
          <w:tcPr>
            <w:tcW w:type="dxa" w:w="1584"/>
          </w:tcPr>
          <w:p>
            <w:r>
              <w:rPr>
                <w:rFonts w:ascii="Calibri" w:hAnsi="Calibri"/>
                <w:sz w:val="19"/>
              </w:rPr>
              <w:t>MSB electronic</w:t>
            </w:r>
          </w:p>
        </w:tc>
        <w:tc>
          <w:tcPr>
            <w:tcW w:type="dxa" w:w="2592"/>
          </w:tcPr>
          <w:p>
            <w:r>
              <w:rPr>
                <w:rFonts w:ascii="Calibri" w:hAnsi="Calibri"/>
                <w:sz w:val="19"/>
              </w:rPr>
              <w:t>Approved vendor / service bureau</w:t>
            </w:r>
          </w:p>
        </w:tc>
      </w:tr>
      <w:tr>
        <w:tc>
          <w:tcPr>
            <w:tcW w:type="dxa" w:w="1368"/>
          </w:tcPr>
          <w:p>
            <w:r>
              <w:rPr>
                <w:rFonts w:ascii="Calibri" w:hAnsi="Calibri"/>
                <w:b/>
                <w:sz w:val="19"/>
              </w:rPr>
              <w:t>Manitoba</w:t>
            </w:r>
          </w:p>
        </w:tc>
        <w:tc>
          <w:tcPr>
            <w:tcW w:type="dxa" w:w="1584"/>
          </w:tcPr>
          <w:p>
            <w:r>
              <w:rPr>
                <w:rFonts w:ascii="Calibri" w:hAnsi="Calibri"/>
                <w:sz w:val="19"/>
              </w:rPr>
              <w:t>MB Health Billing #</w:t>
            </w:r>
          </w:p>
        </w:tc>
        <w:tc>
          <w:tcPr>
            <w:tcW w:type="dxa" w:w="1944"/>
          </w:tcPr>
          <w:p>
            <w:r>
              <w:rPr>
                <w:rFonts w:ascii="Calibri" w:hAnsi="Calibri"/>
                <w:sz w:val="19"/>
              </w:rPr>
              <w:t>User Site</w:t>
            </w:r>
          </w:p>
        </w:tc>
        <w:tc>
          <w:tcPr>
            <w:tcW w:type="dxa" w:w="1584"/>
          </w:tcPr>
          <w:p>
            <w:r>
              <w:rPr>
                <w:rFonts w:ascii="Calibri" w:hAnsi="Calibri"/>
                <w:sz w:val="19"/>
              </w:rPr>
              <w:t>EPiCS</w:t>
            </w:r>
          </w:p>
        </w:tc>
        <w:tc>
          <w:tcPr>
            <w:tcW w:type="dxa" w:w="2592"/>
          </w:tcPr>
          <w:p>
            <w:r>
              <w:rPr>
                <w:rFonts w:ascii="Calibri" w:hAnsi="Calibri"/>
                <w:sz w:val="19"/>
              </w:rPr>
              <w:t>Approved vendor / service bureau</w:t>
            </w:r>
          </w:p>
        </w:tc>
      </w:tr>
      <w:tr>
        <w:tc>
          <w:tcPr>
            <w:tcW w:type="dxa" w:w="1368"/>
          </w:tcPr>
          <w:p>
            <w:r>
              <w:rPr>
                <w:rFonts w:ascii="Calibri" w:hAnsi="Calibri"/>
                <w:b/>
                <w:sz w:val="19"/>
              </w:rPr>
              <w:t>Ontario</w:t>
            </w:r>
          </w:p>
        </w:tc>
        <w:tc>
          <w:tcPr>
            <w:tcW w:type="dxa" w:w="1584"/>
          </w:tcPr>
          <w:p>
            <w:r>
              <w:rPr>
                <w:rFonts w:ascii="Calibri" w:hAnsi="Calibri"/>
                <w:sz w:val="19"/>
              </w:rPr>
              <w:t>OHIP Billing #</w:t>
            </w:r>
          </w:p>
        </w:tc>
        <w:tc>
          <w:tcPr>
            <w:tcW w:type="dxa" w:w="1944"/>
          </w:tcPr>
          <w:p>
            <w:r>
              <w:rPr>
                <w:rFonts w:ascii="Calibri" w:hAnsi="Calibri"/>
                <w:sz w:val="19"/>
              </w:rPr>
              <w:t>Group # (if applicable)</w:t>
            </w:r>
          </w:p>
        </w:tc>
        <w:tc>
          <w:tcPr>
            <w:tcW w:type="dxa" w:w="1584"/>
          </w:tcPr>
          <w:p>
            <w:r>
              <w:rPr>
                <w:rFonts w:ascii="Calibri" w:hAnsi="Calibri"/>
                <w:sz w:val="19"/>
              </w:rPr>
              <w:t>MCEDT / HCV</w:t>
            </w:r>
          </w:p>
        </w:tc>
        <w:tc>
          <w:tcPr>
            <w:tcW w:type="dxa" w:w="2592"/>
          </w:tcPr>
          <w:p>
            <w:r>
              <w:rPr>
                <w:rFonts w:ascii="Calibri" w:hAnsi="Calibri"/>
                <w:sz w:val="19"/>
              </w:rPr>
              <w:t>Conformant vendor / submitter</w:t>
            </w:r>
          </w:p>
        </w:tc>
      </w:tr>
      <w:tr>
        <w:tc>
          <w:tcPr>
            <w:tcW w:type="dxa" w:w="1368"/>
          </w:tcPr>
          <w:p>
            <w:r>
              <w:rPr>
                <w:rFonts w:ascii="Calibri" w:hAnsi="Calibri"/>
                <w:b/>
                <w:sz w:val="19"/>
              </w:rPr>
              <w:t>Quebec</w:t>
            </w:r>
          </w:p>
        </w:tc>
        <w:tc>
          <w:tcPr>
            <w:tcW w:type="dxa" w:w="1584"/>
          </w:tcPr>
          <w:p>
            <w:r>
              <w:rPr>
                <w:rFonts w:ascii="Calibri" w:hAnsi="Calibri"/>
                <w:sz w:val="19"/>
              </w:rPr>
              <w:t>RAMQ provider #</w:t>
            </w:r>
          </w:p>
        </w:tc>
        <w:tc>
          <w:tcPr>
            <w:tcW w:type="dxa" w:w="1944"/>
          </w:tcPr>
          <w:p>
            <w:r>
              <w:rPr>
                <w:rFonts w:ascii="Calibri" w:hAnsi="Calibri"/>
                <w:sz w:val="19"/>
              </w:rPr>
              <w:t>Group/clinic</w:t>
            </w:r>
          </w:p>
        </w:tc>
        <w:tc>
          <w:tcPr>
            <w:tcW w:type="dxa" w:w="1584"/>
          </w:tcPr>
          <w:p>
            <w:r>
              <w:rPr>
                <w:rFonts w:ascii="Calibri" w:hAnsi="Calibri"/>
                <w:sz w:val="19"/>
              </w:rPr>
              <w:t>RAMQ electronic</w:t>
            </w:r>
          </w:p>
        </w:tc>
        <w:tc>
          <w:tcPr>
            <w:tcW w:type="dxa" w:w="2592"/>
          </w:tcPr>
          <w:p>
            <w:r>
              <w:rPr>
                <w:rFonts w:ascii="Calibri" w:hAnsi="Calibri"/>
                <w:sz w:val="19"/>
              </w:rPr>
              <w:t>Approved billing pathway</w:t>
            </w:r>
          </w:p>
        </w:tc>
      </w:tr>
      <w:tr>
        <w:tc>
          <w:tcPr>
            <w:tcW w:type="dxa" w:w="1368"/>
          </w:tcPr>
          <w:p>
            <w:r>
              <w:rPr>
                <w:rFonts w:ascii="Calibri" w:hAnsi="Calibri"/>
                <w:b/>
                <w:sz w:val="19"/>
              </w:rPr>
              <w:t>New Brunswick</w:t>
            </w:r>
          </w:p>
        </w:tc>
        <w:tc>
          <w:tcPr>
            <w:tcW w:type="dxa" w:w="1584"/>
          </w:tcPr>
          <w:p>
            <w:r>
              <w:rPr>
                <w:rFonts w:ascii="Calibri" w:hAnsi="Calibri"/>
                <w:sz w:val="19"/>
              </w:rPr>
              <w:t>Medicare provider #</w:t>
            </w:r>
          </w:p>
        </w:tc>
        <w:tc>
          <w:tcPr>
            <w:tcW w:type="dxa" w:w="1944"/>
          </w:tcPr>
          <w:p>
            <w:r>
              <w:rPr>
                <w:rFonts w:ascii="Calibri" w:hAnsi="Calibri"/>
                <w:sz w:val="19"/>
              </w:rPr>
              <w:t>Billing/payee arrangement</w:t>
            </w:r>
          </w:p>
        </w:tc>
        <w:tc>
          <w:tcPr>
            <w:tcW w:type="dxa" w:w="1584"/>
          </w:tcPr>
          <w:p>
            <w:r>
              <w:rPr>
                <w:rFonts w:ascii="Calibri" w:hAnsi="Calibri"/>
                <w:sz w:val="19"/>
              </w:rPr>
              <w:t>Provincial claims</w:t>
            </w:r>
          </w:p>
        </w:tc>
        <w:tc>
          <w:tcPr>
            <w:tcW w:type="dxa" w:w="2592"/>
          </w:tcPr>
          <w:p>
            <w:r>
              <w:rPr>
                <w:rFonts w:ascii="Calibri" w:hAnsi="Calibri"/>
                <w:sz w:val="19"/>
              </w:rPr>
              <w:t>Provincial/vendor pathway</w:t>
            </w:r>
          </w:p>
        </w:tc>
      </w:tr>
      <w:tr>
        <w:tc>
          <w:tcPr>
            <w:tcW w:type="dxa" w:w="1368"/>
          </w:tcPr>
          <w:p>
            <w:r>
              <w:rPr>
                <w:rFonts w:ascii="Calibri" w:hAnsi="Calibri"/>
                <w:b/>
                <w:sz w:val="19"/>
              </w:rPr>
              <w:t>Nova Scotia</w:t>
            </w:r>
          </w:p>
        </w:tc>
        <w:tc>
          <w:tcPr>
            <w:tcW w:type="dxa" w:w="1584"/>
          </w:tcPr>
          <w:p>
            <w:r>
              <w:rPr>
                <w:rFonts w:ascii="Calibri" w:hAnsi="Calibri"/>
                <w:sz w:val="19"/>
              </w:rPr>
              <w:t>MSI provider #</w:t>
            </w:r>
          </w:p>
        </w:tc>
        <w:tc>
          <w:tcPr>
            <w:tcW w:type="dxa" w:w="1944"/>
          </w:tcPr>
          <w:p>
            <w:r>
              <w:rPr>
                <w:rFonts w:ascii="Calibri" w:hAnsi="Calibri"/>
                <w:sz w:val="19"/>
              </w:rPr>
              <w:t>Billing arrangement</w:t>
            </w:r>
          </w:p>
        </w:tc>
        <w:tc>
          <w:tcPr>
            <w:tcW w:type="dxa" w:w="1584"/>
          </w:tcPr>
          <w:p>
            <w:r>
              <w:rPr>
                <w:rFonts w:ascii="Calibri" w:hAnsi="Calibri"/>
                <w:sz w:val="19"/>
              </w:rPr>
              <w:t>Electronic claims</w:t>
            </w:r>
          </w:p>
        </w:tc>
        <w:tc>
          <w:tcPr>
            <w:tcW w:type="dxa" w:w="2592"/>
          </w:tcPr>
          <w:p>
            <w:r>
              <w:rPr>
                <w:rFonts w:ascii="Calibri" w:hAnsi="Calibri"/>
                <w:sz w:val="19"/>
              </w:rPr>
              <w:t>Provincial/vendor pathway</w:t>
            </w:r>
          </w:p>
        </w:tc>
      </w:tr>
      <w:tr>
        <w:tc>
          <w:tcPr>
            <w:tcW w:type="dxa" w:w="1368"/>
          </w:tcPr>
          <w:p>
            <w:r>
              <w:rPr>
                <w:rFonts w:ascii="Calibri" w:hAnsi="Calibri"/>
                <w:b/>
                <w:sz w:val="19"/>
              </w:rPr>
              <w:t>PEI</w:t>
            </w:r>
          </w:p>
        </w:tc>
        <w:tc>
          <w:tcPr>
            <w:tcW w:type="dxa" w:w="1584"/>
          </w:tcPr>
          <w:p>
            <w:r>
              <w:rPr>
                <w:rFonts w:ascii="Calibri" w:hAnsi="Calibri"/>
                <w:sz w:val="19"/>
              </w:rPr>
              <w:t>Health PEI provider #</w:t>
            </w:r>
          </w:p>
        </w:tc>
        <w:tc>
          <w:tcPr>
            <w:tcW w:type="dxa" w:w="1944"/>
          </w:tcPr>
          <w:p>
            <w:r>
              <w:rPr>
                <w:rFonts w:ascii="Calibri" w:hAnsi="Calibri"/>
                <w:sz w:val="19"/>
              </w:rPr>
              <w:t>Billing arrangement</w:t>
            </w:r>
          </w:p>
        </w:tc>
        <w:tc>
          <w:tcPr>
            <w:tcW w:type="dxa" w:w="1584"/>
          </w:tcPr>
          <w:p>
            <w:r>
              <w:rPr>
                <w:rFonts w:ascii="Calibri" w:hAnsi="Calibri"/>
                <w:sz w:val="19"/>
              </w:rPr>
              <w:t>Electronic claims</w:t>
            </w:r>
          </w:p>
        </w:tc>
        <w:tc>
          <w:tcPr>
            <w:tcW w:type="dxa" w:w="2592"/>
          </w:tcPr>
          <w:p>
            <w:r>
              <w:rPr>
                <w:rFonts w:ascii="Calibri" w:hAnsi="Calibri"/>
                <w:sz w:val="19"/>
              </w:rPr>
              <w:t>Provincial pathway</w:t>
            </w:r>
          </w:p>
        </w:tc>
      </w:tr>
      <w:tr>
        <w:tc>
          <w:tcPr>
            <w:tcW w:type="dxa" w:w="1368"/>
          </w:tcPr>
          <w:p>
            <w:r>
              <w:rPr>
                <w:rFonts w:ascii="Calibri" w:hAnsi="Calibri"/>
                <w:b/>
                <w:sz w:val="19"/>
              </w:rPr>
              <w:t>NL</w:t>
            </w:r>
          </w:p>
        </w:tc>
        <w:tc>
          <w:tcPr>
            <w:tcW w:type="dxa" w:w="1584"/>
          </w:tcPr>
          <w:p>
            <w:r>
              <w:rPr>
                <w:rFonts w:ascii="Calibri" w:hAnsi="Calibri"/>
                <w:sz w:val="19"/>
              </w:rPr>
              <w:t>MCP provider #</w:t>
            </w:r>
          </w:p>
        </w:tc>
        <w:tc>
          <w:tcPr>
            <w:tcW w:type="dxa" w:w="1944"/>
          </w:tcPr>
          <w:p>
            <w:r>
              <w:rPr>
                <w:rFonts w:ascii="Calibri" w:hAnsi="Calibri"/>
                <w:sz w:val="19"/>
              </w:rPr>
              <w:t>Billing arrangement</w:t>
            </w:r>
          </w:p>
        </w:tc>
        <w:tc>
          <w:tcPr>
            <w:tcW w:type="dxa" w:w="1584"/>
          </w:tcPr>
          <w:p>
            <w:r>
              <w:rPr>
                <w:rFonts w:ascii="Calibri" w:hAnsi="Calibri"/>
                <w:sz w:val="19"/>
              </w:rPr>
              <w:t>Electronic claims</w:t>
            </w:r>
          </w:p>
        </w:tc>
        <w:tc>
          <w:tcPr>
            <w:tcW w:type="dxa" w:w="2592"/>
          </w:tcPr>
          <w:p>
            <w:r>
              <w:rPr>
                <w:rFonts w:ascii="Calibri" w:hAnsi="Calibri"/>
                <w:sz w:val="19"/>
              </w:rPr>
              <w:t>Provincial pathway</w:t>
            </w:r>
          </w:p>
        </w:tc>
      </w:tr>
    </w:tbl>
    <w:p>
      <w:r>
        <w:br w:type="page"/>
      </w:r>
    </w:p>
    <w:p>
      <w:pPr>
        <w:spacing w:before="360" w:after="120"/>
        <w:pBdr>
          <w:bottom w:val="single" w:sz="6" w:space="4" w:color="004B87"/>
        </w:pBdr>
      </w:pPr>
      <w:r>
        <w:rPr>
          <w:rFonts w:ascii="Calibri" w:hAnsi="Calibri"/>
          <w:b/>
          <w:color w:val="004B87"/>
          <w:sz w:val="30"/>
        </w:rPr>
        <w:t>Sky Claims — Provincial Registration Wizard</w:t>
      </w:r>
    </w:p>
    <w:p>
      <w:pPr>
        <w:spacing w:after="80"/>
        <w:ind w:left="0"/>
      </w:pPr>
      <w:r>
        <w:rPr>
          <w:rFonts w:ascii="Calibri" w:hAnsi="Calibri"/>
          <w:sz w:val="21"/>
        </w:rPr>
        <w:t>Rather than presenting clients with a stack of forms, Sky Claims guides practitioners through a province-specific decision flow.</w:t>
      </w:r>
    </w:p>
    <w:p>
      <w:pPr>
        <w:spacing w:after="40"/>
      </w:pPr>
    </w:p>
    <w:p>
      <w:pPr>
        <w:spacing w:before="200" w:after="60"/>
      </w:pPr>
      <w:r>
        <w:rPr>
          <w:rFonts w:ascii="Calibri" w:hAnsi="Calibri"/>
          <w:b/>
          <w:color w:val="00878A"/>
          <w:sz w:val="24"/>
        </w:rPr>
        <w:t>British Columbia</w:t>
      </w:r>
    </w:p>
    <w:p>
      <w:pPr>
        <w:spacing w:before="140" w:after="40"/>
      </w:pPr>
      <w:r>
        <w:rPr>
          <w:rFonts w:ascii="Calibri" w:hAnsi="Calibri"/>
          <w:b/>
          <w:color w:val="333333"/>
          <w:sz w:val="22"/>
        </w:rPr>
        <w:t>Q1: MSP Practitioner / Payee Number?</w:t>
      </w:r>
    </w:p>
    <w:p>
      <w:pPr>
        <w:spacing w:after="40"/>
        <w:ind w:left="504"/>
      </w:pPr>
      <w:r>
        <w:rPr>
          <w:rFonts w:ascii="Calibri" w:hAnsi="Calibri"/>
          <w:sz w:val="21"/>
        </w:rPr>
        <w:t>YES → enter number and proceed</w:t>
      </w:r>
    </w:p>
    <w:p>
      <w:pPr>
        <w:spacing w:after="80"/>
        <w:ind w:left="504"/>
      </w:pPr>
      <w:r>
        <w:rPr>
          <w:rFonts w:ascii="Calibri" w:hAnsi="Calibri"/>
          <w:sz w:val="21"/>
        </w:rPr>
        <w:t>NO → direct to MSP registration (form varies by profession)</w:t>
      </w:r>
    </w:p>
    <w:p>
      <w:pPr>
        <w:spacing w:before="140" w:after="40"/>
      </w:pPr>
      <w:r>
        <w:rPr>
          <w:rFonts w:ascii="Calibri" w:hAnsi="Calibri"/>
          <w:b/>
          <w:color w:val="333333"/>
          <w:sz w:val="22"/>
        </w:rPr>
        <w:t>Q2: Opted-in or opted-out?</w:t>
      </w:r>
    </w:p>
    <w:p>
      <w:pPr>
        <w:spacing w:after="40"/>
        <w:ind w:left="504"/>
      </w:pPr>
      <w:r>
        <w:rPr>
          <w:rFonts w:ascii="Calibri" w:hAnsi="Calibri"/>
          <w:sz w:val="21"/>
        </w:rPr>
        <w:t>Opted-in → HLTH 2820 (Teleplan Service Application)</w:t>
      </w:r>
    </w:p>
    <w:p>
      <w:pPr>
        <w:spacing w:after="80"/>
        <w:ind w:left="504"/>
      </w:pPr>
      <w:r>
        <w:rPr>
          <w:rFonts w:ascii="Calibri" w:hAnsi="Calibri"/>
          <w:sz w:val="21"/>
        </w:rPr>
        <w:t>Opted-out → HLTH 2771</w:t>
      </w:r>
    </w:p>
    <w:p>
      <w:pPr>
        <w:spacing w:before="140" w:after="40"/>
      </w:pPr>
      <w:r>
        <w:rPr>
          <w:rFonts w:ascii="Calibri" w:hAnsi="Calibri"/>
          <w:b/>
          <w:color w:val="333333"/>
          <w:sz w:val="22"/>
        </w:rPr>
        <w:t>Q3: Data centre</w:t>
      </w:r>
    </w:p>
    <w:p>
      <w:pPr>
        <w:spacing w:after="40"/>
        <w:ind w:left="504"/>
      </w:pPr>
      <w:r>
        <w:rPr>
          <w:rFonts w:ascii="Calibri" w:hAnsi="Calibri"/>
          <w:sz w:val="21"/>
        </w:rPr>
        <w:t>Use Sky Claims DC V0127 (default)</w:t>
      </w:r>
    </w:p>
    <w:p>
      <w:pPr>
        <w:spacing w:after="80"/>
        <w:ind w:left="504"/>
      </w:pPr>
      <w:r>
        <w:rPr>
          <w:rFonts w:ascii="Calibri" w:hAnsi="Calibri"/>
          <w:sz w:val="21"/>
        </w:rPr>
        <w:t>Or client's own DC number if they already have one</w:t>
      </w:r>
    </w:p>
    <w:p>
      <w:pPr>
        <w:spacing w:before="140" w:after="40"/>
      </w:pPr>
      <w:r>
        <w:rPr>
          <w:rFonts w:ascii="Calibri" w:hAnsi="Calibri"/>
          <w:b/>
          <w:color w:val="333333"/>
          <w:sz w:val="22"/>
        </w:rPr>
        <w:t>Q4: Activation</w:t>
      </w:r>
    </w:p>
    <w:p>
      <w:pPr>
        <w:spacing w:after="40"/>
        <w:ind w:left="504"/>
      </w:pPr>
      <w:r>
        <w:rPr>
          <w:rFonts w:ascii="Calibri" w:hAnsi="Calibri"/>
          <w:sz w:val="21"/>
        </w:rPr>
        <w:t>Software: Sky Claims  |  Vendor: Sky Health Technologies</w:t>
      </w:r>
    </w:p>
    <w:p>
      <w:pPr>
        <w:spacing w:after="80"/>
        <w:ind w:left="504"/>
      </w:pPr>
      <w:r>
        <w:rPr>
          <w:rFonts w:ascii="Calibri" w:hAnsi="Calibri"/>
          <w:sz w:val="21"/>
        </w:rPr>
        <w:t>Sky Claims connects to Teleplan production — live immediately</w:t>
      </w:r>
    </w:p>
    <w:p>
      <w:pPr>
        <w:spacing w:after="40"/>
      </w:pPr>
    </w:p>
    <w:p>
      <w:pPr>
        <w:spacing w:before="200" w:after="60"/>
      </w:pPr>
      <w:r>
        <w:rPr>
          <w:rFonts w:ascii="Calibri" w:hAnsi="Calibri"/>
          <w:b/>
          <w:color w:val="00878A"/>
          <w:sz w:val="24"/>
        </w:rPr>
        <w:t>Alberta</w:t>
      </w:r>
    </w:p>
    <w:p>
      <w:pPr>
        <w:spacing w:before="140" w:after="40"/>
      </w:pPr>
      <w:r>
        <w:rPr>
          <w:rFonts w:ascii="Calibri" w:hAnsi="Calibri"/>
          <w:b/>
          <w:color w:val="333333"/>
          <w:sz w:val="22"/>
        </w:rPr>
        <w:t>Q1: Registered with AHCIP? (PRAC ID exists?)</w:t>
      </w:r>
    </w:p>
    <w:p>
      <w:pPr>
        <w:spacing w:after="40"/>
        <w:ind w:left="504"/>
      </w:pPr>
      <w:r>
        <w:rPr>
          <w:rFonts w:ascii="Calibri" w:hAnsi="Calibri"/>
          <w:sz w:val="21"/>
        </w:rPr>
        <w:t>YES → proceed</w:t>
      </w:r>
    </w:p>
    <w:p>
      <w:pPr>
        <w:spacing w:after="80"/>
        <w:ind w:left="504"/>
      </w:pPr>
      <w:r>
        <w:rPr>
          <w:rFonts w:ascii="Calibri" w:hAnsi="Calibri"/>
          <w:sz w:val="21"/>
        </w:rPr>
        <w:t>NO → AHC 11234 (Practitioner Request)</w:t>
      </w:r>
    </w:p>
    <w:p>
      <w:pPr>
        <w:spacing w:before="140" w:after="40"/>
      </w:pPr>
      <w:r>
        <w:rPr>
          <w:rFonts w:ascii="Calibri" w:hAnsi="Calibri"/>
          <w:b/>
          <w:color w:val="333333"/>
          <w:sz w:val="22"/>
        </w:rPr>
        <w:t>Q2: Facility registered?</w:t>
      </w:r>
    </w:p>
    <w:p>
      <w:pPr>
        <w:spacing w:after="40"/>
        <w:ind w:left="504"/>
      </w:pPr>
      <w:r>
        <w:rPr>
          <w:rFonts w:ascii="Calibri" w:hAnsi="Calibri"/>
          <w:sz w:val="21"/>
        </w:rPr>
        <w:t>YES → proceed</w:t>
      </w:r>
    </w:p>
    <w:p>
      <w:pPr>
        <w:spacing w:after="80"/>
        <w:ind w:left="504"/>
      </w:pPr>
      <w:r>
        <w:rPr>
          <w:rFonts w:ascii="Calibri" w:hAnsi="Calibri"/>
          <w:sz w:val="21"/>
        </w:rPr>
        <w:t>NO → AHC 0910A (Facility Registration)</w:t>
      </w:r>
    </w:p>
    <w:p>
      <w:pPr>
        <w:spacing w:before="140" w:after="40"/>
      </w:pPr>
      <w:r>
        <w:rPr>
          <w:rFonts w:ascii="Calibri" w:hAnsi="Calibri"/>
          <w:b/>
          <w:color w:val="333333"/>
          <w:sz w:val="22"/>
        </w:rPr>
        <w:t>Q3: Business arrangement in place?</w:t>
      </w:r>
    </w:p>
    <w:p>
      <w:pPr>
        <w:spacing w:after="40"/>
        <w:ind w:left="504"/>
      </w:pPr>
      <w:r>
        <w:rPr>
          <w:rFonts w:ascii="Calibri" w:hAnsi="Calibri"/>
          <w:sz w:val="21"/>
        </w:rPr>
        <w:t>Existing → AHC 11236 to link to Sky Claims as submitter</w:t>
      </w:r>
    </w:p>
    <w:p>
      <w:pPr>
        <w:spacing w:after="80"/>
        <w:ind w:left="504"/>
      </w:pPr>
      <w:r>
        <w:rPr>
          <w:rFonts w:ascii="Calibri" w:hAnsi="Calibri"/>
          <w:sz w:val="21"/>
        </w:rPr>
        <w:t>New → AHC 11236 (Business Arrangement)</w:t>
      </w:r>
    </w:p>
    <w:p>
      <w:pPr>
        <w:spacing w:before="140" w:after="40"/>
      </w:pPr>
      <w:r>
        <w:rPr>
          <w:rFonts w:ascii="Calibri" w:hAnsi="Calibri"/>
          <w:b/>
          <w:color w:val="333333"/>
          <w:sz w:val="22"/>
        </w:rPr>
        <w:t>Q4: Who is the H-Link submitter?</w:t>
      </w:r>
    </w:p>
    <w:p>
      <w:pPr>
        <w:spacing w:after="40"/>
        <w:ind w:left="504"/>
      </w:pPr>
      <w:r>
        <w:rPr>
          <w:rFonts w:ascii="Calibri" w:hAnsi="Calibri"/>
          <w:sz w:val="21"/>
        </w:rPr>
        <w:t>Sky Health submits (recommended) → Scenario B</w:t>
      </w:r>
    </w:p>
    <w:p>
      <w:pPr>
        <w:spacing w:after="80"/>
        <w:ind w:left="504"/>
      </w:pPr>
      <w:r>
        <w:rPr>
          <w:rFonts w:ascii="Calibri" w:hAnsi="Calibri"/>
          <w:sz w:val="21"/>
        </w:rPr>
        <w:t>Client self-submits → AHC 2210 + configure client's own H-Link credentials</w:t>
      </w:r>
    </w:p>
    <w:p>
      <w:pPr>
        <w:spacing w:before="140" w:after="40"/>
      </w:pPr>
      <w:r>
        <w:rPr>
          <w:rFonts w:ascii="Calibri" w:hAnsi="Calibri"/>
          <w:b/>
          <w:color w:val="333333"/>
          <w:sz w:val="22"/>
        </w:rPr>
        <w:t>Q5: Direct deposit set up?</w:t>
      </w:r>
    </w:p>
    <w:p>
      <w:pPr>
        <w:spacing w:after="40"/>
        <w:ind w:left="504"/>
      </w:pPr>
      <w:r>
        <w:rPr>
          <w:rFonts w:ascii="Calibri" w:hAnsi="Calibri"/>
          <w:sz w:val="21"/>
        </w:rPr>
        <w:t>YES → proceed</w:t>
      </w:r>
    </w:p>
    <w:p>
      <w:pPr>
        <w:spacing w:after="80"/>
        <w:ind w:left="504"/>
      </w:pPr>
      <w:r>
        <w:rPr>
          <w:rFonts w:ascii="Calibri" w:hAnsi="Calibri"/>
          <w:sz w:val="21"/>
        </w:rPr>
        <w:t>NO → AHC 1143 (Direct Deposit Request)</w:t>
      </w:r>
    </w:p>
    <w:p>
      <w:pPr>
        <w:spacing w:after="40"/>
      </w:pPr>
    </w:p>
    <w:p>
      <w:pPr>
        <w:spacing w:before="200" w:after="60"/>
      </w:pPr>
      <w:r>
        <w:rPr>
          <w:rFonts w:ascii="Calibri" w:hAnsi="Calibri"/>
          <w:b/>
          <w:color w:val="00878A"/>
          <w:sz w:val="24"/>
        </w:rPr>
        <w:t>Ontario</w:t>
      </w:r>
    </w:p>
    <w:p>
      <w:pPr>
        <w:spacing w:before="140" w:after="40"/>
      </w:pPr>
      <w:r>
        <w:rPr>
          <w:rFonts w:ascii="Calibri" w:hAnsi="Calibri"/>
          <w:b/>
          <w:color w:val="333333"/>
          <w:sz w:val="22"/>
        </w:rPr>
        <w:t>Q1: OHIP Billing Number?</w:t>
      </w:r>
    </w:p>
    <w:p>
      <w:pPr>
        <w:spacing w:after="40"/>
        <w:ind w:left="504"/>
      </w:pPr>
      <w:r>
        <w:rPr>
          <w:rFonts w:ascii="Calibri" w:hAnsi="Calibri"/>
          <w:sz w:val="21"/>
        </w:rPr>
        <w:t>YES → enter billing number</w:t>
      </w:r>
    </w:p>
    <w:p>
      <w:pPr>
        <w:spacing w:after="80"/>
        <w:ind w:left="504"/>
      </w:pPr>
      <w:r>
        <w:rPr>
          <w:rFonts w:ascii="Calibri" w:hAnsi="Calibri"/>
          <w:sz w:val="21"/>
        </w:rPr>
        <w:t>NO → electronic Provider Registration at ontario.ca/page/ohip-billing-number-registration</w:t>
      </w:r>
    </w:p>
    <w:p>
      <w:pPr>
        <w:spacing w:before="140" w:after="40"/>
      </w:pPr>
      <w:r>
        <w:rPr>
          <w:rFonts w:ascii="Calibri" w:hAnsi="Calibri"/>
          <w:b/>
          <w:color w:val="333333"/>
          <w:sz w:val="22"/>
        </w:rPr>
        <w:t>Q2: Individual or group billing?</w:t>
      </w:r>
    </w:p>
    <w:p>
      <w:pPr>
        <w:spacing w:after="40"/>
        <w:ind w:left="504"/>
      </w:pPr>
      <w:r>
        <w:rPr>
          <w:rFonts w:ascii="Calibri" w:hAnsi="Calibri"/>
          <w:sz w:val="21"/>
        </w:rPr>
        <w:t>Individual → proceed</w:t>
      </w:r>
    </w:p>
    <w:p>
      <w:pPr>
        <w:spacing w:after="80"/>
        <w:ind w:left="504"/>
      </w:pPr>
      <w:r>
        <w:rPr>
          <w:rFonts w:ascii="Calibri" w:hAnsi="Calibri"/>
          <w:sz w:val="21"/>
        </w:rPr>
        <w:t>Group → Health Care Group Registration + Consent &amp; Authorization</w:t>
      </w:r>
    </w:p>
    <w:p>
      <w:pPr>
        <w:spacing w:before="140" w:after="40"/>
      </w:pPr>
      <w:r>
        <w:rPr>
          <w:rFonts w:ascii="Calibri" w:hAnsi="Calibri"/>
          <w:b/>
          <w:color w:val="333333"/>
          <w:sz w:val="22"/>
        </w:rPr>
        <w:t>Q3: MCEDT enrollment?</w:t>
      </w:r>
    </w:p>
    <w:p>
      <w:pPr>
        <w:spacing w:after="40"/>
        <w:ind w:left="504"/>
      </w:pPr>
      <w:r>
        <w:rPr>
          <w:rFonts w:ascii="Calibri" w:hAnsi="Calibri"/>
          <w:sz w:val="21"/>
        </w:rPr>
        <w:t>YES → configure credentials in Sky Claims</w:t>
      </w:r>
    </w:p>
    <w:p>
      <w:pPr>
        <w:spacing w:after="80"/>
        <w:ind w:left="504"/>
      </w:pPr>
      <w:r>
        <w:rPr>
          <w:rFonts w:ascii="Calibri" w:hAnsi="Calibri"/>
          <w:sz w:val="21"/>
        </w:rPr>
        <w:t>NO → MCEDT registration via eBSE portal</w:t>
      </w:r>
    </w:p>
    <w:p>
      <w:pPr>
        <w:spacing w:before="140" w:after="40"/>
      </w:pPr>
      <w:r>
        <w:rPr>
          <w:rFonts w:ascii="Calibri" w:hAnsi="Calibri"/>
          <w:b/>
          <w:color w:val="333333"/>
          <w:sz w:val="22"/>
        </w:rPr>
        <w:t>Q4: HCV required?</w:t>
      </w:r>
    </w:p>
    <w:p>
      <w:pPr>
        <w:spacing w:after="40"/>
        <w:ind w:left="504"/>
      </w:pPr>
      <w:r>
        <w:rPr>
          <w:rFonts w:ascii="Calibri" w:hAnsi="Calibri"/>
          <w:sz w:val="21"/>
        </w:rPr>
        <w:t>YES → HCV enrollment via eBSE</w:t>
      </w:r>
    </w:p>
    <w:p>
      <w:pPr>
        <w:spacing w:after="80"/>
        <w:ind w:left="504"/>
      </w:pPr>
      <w:r>
        <w:rPr>
          <w:rFonts w:ascii="Calibri" w:hAnsi="Calibri"/>
          <w:sz w:val="21"/>
        </w:rPr>
        <w:t>NO → skip</w:t>
      </w:r>
    </w:p>
    <w:p>
      <w:pPr>
        <w:spacing w:after="40"/>
      </w:pPr>
    </w:p>
    <w:p>
      <w:pPr>
        <w:spacing w:before="200" w:after="60"/>
      </w:pPr>
      <w:r>
        <w:rPr>
          <w:rFonts w:ascii="Calibri" w:hAnsi="Calibri"/>
          <w:b/>
          <w:color w:val="00878A"/>
          <w:sz w:val="24"/>
        </w:rPr>
        <w:t>Development Notes</w:t>
      </w:r>
    </w:p>
    <w:p>
      <w:pPr>
        <w:spacing w:after="80"/>
        <w:ind w:left="360"/>
      </w:pPr>
      <w:r>
        <w:rPr>
          <w:rFonts w:ascii="Calibri" w:hAnsi="Calibri"/>
          <w:b/>
          <w:i/>
          <w:color w:val="666666"/>
          <w:sz w:val="20"/>
        </w:rPr>
        <w:t xml:space="preserve">Note: </w:t>
      </w:r>
      <w:r>
        <w:rPr>
          <w:rFonts w:ascii="Calibri" w:hAnsi="Calibri"/>
          <w:i/>
          <w:color w:val="666666"/>
          <w:sz w:val="20"/>
        </w:rPr>
        <w:t>Daily and monthly billing reporting features are planned for a future sprint.</w:t>
      </w:r>
    </w:p>
    <w:p>
      <w:pPr>
        <w:spacing w:after="80"/>
        <w:ind w:left="360"/>
      </w:pPr>
      <w:r>
        <w:rPr>
          <w:rFonts w:ascii="Calibri" w:hAnsi="Calibri"/>
          <w:b/>
          <w:i/>
          <w:color w:val="666666"/>
          <w:sz w:val="20"/>
        </w:rPr>
        <w:t xml:space="preserve">Note: </w:t>
      </w:r>
      <w:r>
        <w:rPr>
          <w:rFonts w:ascii="Calibri" w:hAnsi="Calibri"/>
          <w:i/>
          <w:color w:val="666666"/>
          <w:sz w:val="20"/>
        </w:rPr>
        <w:t>No tax registrations required in Newfoundland, New Brunswick, Ontario, PEI, or Nova Scotia.</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