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9CB" w:rsidRPr="00F309CB" w:rsidRDefault="00F309CB" w:rsidP="00F309CB">
      <w:pPr>
        <w:widowControl/>
        <w:jc w:val="center"/>
        <w:rPr>
          <w:rFonts w:ascii="宋体" w:eastAsia="宋体" w:hAnsi="宋体" w:cs="宋体"/>
          <w:color w:val="000000"/>
          <w:kern w:val="0"/>
          <w:sz w:val="18"/>
          <w:szCs w:val="18"/>
        </w:rPr>
      </w:pPr>
      <w:r w:rsidRPr="00F309CB">
        <w:rPr>
          <w:rFonts w:ascii="宋体" w:eastAsia="宋体" w:hAnsi="宋体" w:cs="宋体" w:hint="eastAsia"/>
          <w:b/>
          <w:bCs/>
          <w:color w:val="000000"/>
          <w:kern w:val="0"/>
          <w:sz w:val="45"/>
          <w:szCs w:val="45"/>
        </w:rPr>
        <w:t>浙江中医药大学关于调整成人高等教育收费标准的通知 </w:t>
      </w:r>
      <w:r w:rsidRPr="00F309CB">
        <w:rPr>
          <w:rFonts w:ascii="宋体" w:eastAsia="宋体" w:hAnsi="宋体" w:cs="宋体" w:hint="eastAsia"/>
          <w:color w:val="000000"/>
          <w:kern w:val="0"/>
          <w:sz w:val="18"/>
          <w:szCs w:val="18"/>
        </w:rPr>
        <w:br/>
        <w:t>浙中大发〔2015〕12号</w:t>
      </w:r>
      <w:r w:rsidR="00AC56C1">
        <w:rPr>
          <w:rFonts w:ascii="宋体" w:eastAsia="宋体" w:hAnsi="宋体" w:cs="宋体" w:hint="eastAsia"/>
          <w:color w:val="000000"/>
          <w:kern w:val="0"/>
          <w:sz w:val="18"/>
          <w:szCs w:val="18"/>
        </w:rPr>
        <w:t> </w:t>
      </w:r>
      <w:r w:rsidR="00AC56C1">
        <w:rPr>
          <w:rFonts w:ascii="宋体" w:eastAsia="宋体" w:hAnsi="宋体" w:cs="宋体" w:hint="eastAsia"/>
          <w:color w:val="000000"/>
          <w:kern w:val="0"/>
          <w:sz w:val="18"/>
          <w:szCs w:val="18"/>
        </w:rPr>
        <w:br/>
      </w:r>
      <w:r w:rsidR="00AC56C1">
        <w:rPr>
          <w:rFonts w:ascii="宋体" w:eastAsia="宋体" w:hAnsi="宋体" w:cs="宋体" w:hint="eastAsia"/>
          <w:color w:val="000000"/>
          <w:kern w:val="0"/>
          <w:sz w:val="18"/>
          <w:szCs w:val="18"/>
        </w:rPr>
        <w:br/>
        <w:t>   </w:t>
      </w:r>
      <w:bookmarkStart w:id="0" w:name="_GoBack"/>
      <w:bookmarkEnd w:id="0"/>
      <w:r w:rsidRPr="00F309CB">
        <w:rPr>
          <w:rFonts w:ascii="宋体" w:eastAsia="宋体" w:hAnsi="宋体" w:cs="宋体" w:hint="eastAsia"/>
          <w:color w:val="000000"/>
          <w:kern w:val="0"/>
          <w:sz w:val="18"/>
          <w:szCs w:val="18"/>
        </w:rPr>
        <w:t>发布时间：2015-02-05    </w:t>
      </w:r>
    </w:p>
    <w:p w:rsidR="00F309CB" w:rsidRPr="00F309CB" w:rsidRDefault="00F309CB" w:rsidP="00F309CB">
      <w:pPr>
        <w:widowControl/>
        <w:jc w:val="center"/>
        <w:rPr>
          <w:rFonts w:ascii="宋体" w:eastAsia="宋体" w:hAnsi="宋体" w:cs="宋体"/>
          <w:color w:val="000000"/>
          <w:kern w:val="0"/>
          <w:sz w:val="18"/>
          <w:szCs w:val="18"/>
        </w:rPr>
      </w:pPr>
      <w:bookmarkStart w:id="1" w:name="标题"/>
      <w:bookmarkEnd w:id="1"/>
      <w:r w:rsidRPr="00F309CB">
        <w:rPr>
          <w:rFonts w:ascii="方正小标宋简体" w:eastAsia="方正小标宋简体" w:hAnsi="宋体" w:cs="宋体" w:hint="eastAsia"/>
          <w:color w:val="000000"/>
          <w:kern w:val="0"/>
          <w:sz w:val="44"/>
          <w:szCs w:val="44"/>
        </w:rPr>
        <w:t>浙江中医药大学关于</w:t>
      </w:r>
    </w:p>
    <w:p w:rsidR="00F309CB" w:rsidRPr="00F309CB" w:rsidRDefault="00F309CB" w:rsidP="00F309CB">
      <w:pPr>
        <w:widowControl/>
        <w:jc w:val="center"/>
        <w:rPr>
          <w:rFonts w:ascii="宋体" w:eastAsia="宋体" w:hAnsi="宋体" w:cs="宋体"/>
          <w:color w:val="000000"/>
          <w:kern w:val="0"/>
          <w:sz w:val="18"/>
          <w:szCs w:val="18"/>
        </w:rPr>
      </w:pPr>
      <w:r w:rsidRPr="00F309CB">
        <w:rPr>
          <w:rFonts w:ascii="方正小标宋简体" w:eastAsia="方正小标宋简体" w:hAnsi="宋体" w:cs="宋体" w:hint="eastAsia"/>
          <w:color w:val="000000"/>
          <w:kern w:val="0"/>
          <w:sz w:val="44"/>
          <w:szCs w:val="44"/>
        </w:rPr>
        <w:t>调整成人高等教育收费标准的通知</w:t>
      </w:r>
    </w:p>
    <w:p w:rsidR="00F309CB" w:rsidRPr="00F309CB" w:rsidRDefault="00F309CB" w:rsidP="00F309CB">
      <w:pPr>
        <w:widowControl/>
        <w:jc w:val="left"/>
        <w:rPr>
          <w:rFonts w:ascii="宋体" w:eastAsia="宋体" w:hAnsi="宋体" w:cs="宋体"/>
          <w:color w:val="000000"/>
          <w:kern w:val="0"/>
          <w:sz w:val="18"/>
          <w:szCs w:val="18"/>
        </w:rPr>
      </w:pPr>
      <w:r w:rsidRPr="00F309CB">
        <w:rPr>
          <w:rFonts w:ascii="仿宋_GB2312" w:eastAsia="仿宋_GB2312" w:hAnsi="宋体" w:cs="宋体" w:hint="eastAsia"/>
          <w:color w:val="000000"/>
          <w:kern w:val="0"/>
          <w:sz w:val="32"/>
          <w:szCs w:val="32"/>
        </w:rPr>
        <w:t>各学院、医院，各处、室，直属各单位</w:t>
      </w:r>
      <w:r w:rsidRPr="00F309CB">
        <w:rPr>
          <w:rFonts w:ascii="仿宋_GB2312" w:eastAsia="仿宋_GB2312" w:hAnsi="宋体" w:cs="宋体" w:hint="eastAsia"/>
          <w:b/>
          <w:bCs/>
          <w:color w:val="000000"/>
          <w:kern w:val="0"/>
          <w:sz w:val="32"/>
          <w:szCs w:val="32"/>
        </w:rPr>
        <w:t>：</w:t>
      </w:r>
    </w:p>
    <w:p w:rsidR="00F309CB" w:rsidRPr="00F309CB" w:rsidRDefault="00F309CB" w:rsidP="00F309CB">
      <w:pPr>
        <w:widowControl/>
        <w:ind w:firstLine="640"/>
        <w:jc w:val="left"/>
        <w:rPr>
          <w:rFonts w:ascii="宋体" w:eastAsia="宋体" w:hAnsi="宋体" w:cs="宋体"/>
          <w:color w:val="000000"/>
          <w:kern w:val="0"/>
          <w:sz w:val="18"/>
          <w:szCs w:val="18"/>
        </w:rPr>
      </w:pPr>
      <w:r w:rsidRPr="00F309CB">
        <w:rPr>
          <w:rFonts w:ascii="仿宋_GB2312" w:eastAsia="仿宋_GB2312" w:hAnsi="宋体" w:cs="宋体" w:hint="eastAsia"/>
          <w:color w:val="000000"/>
          <w:kern w:val="0"/>
          <w:sz w:val="32"/>
          <w:szCs w:val="32"/>
        </w:rPr>
        <w:t>根据《浙江省物价局浙江省财政厅浙江省教育厅关于调整成人高等教育收费标准的通知》（浙价费〔2014〕245号）、《浙江省物价局浙江省财政厅浙江省教育厅关于高校学分制收费有关问题的通知》（浙价费〔2009〕292号）等文件精神，结合我校实际，经研究决定，对我校“非全日制”（成人业余</w:t>
      </w:r>
      <w:proofErr w:type="gramStart"/>
      <w:r w:rsidRPr="00F309CB">
        <w:rPr>
          <w:rFonts w:ascii="仿宋_GB2312" w:eastAsia="仿宋_GB2312" w:hAnsi="宋体" w:cs="宋体" w:hint="eastAsia"/>
          <w:color w:val="000000"/>
          <w:kern w:val="0"/>
          <w:sz w:val="32"/>
          <w:szCs w:val="32"/>
        </w:rPr>
        <w:t>班包括</w:t>
      </w:r>
      <w:proofErr w:type="gramEnd"/>
      <w:r w:rsidRPr="00F309CB">
        <w:rPr>
          <w:rFonts w:ascii="仿宋_GB2312" w:eastAsia="仿宋_GB2312" w:hAnsi="宋体" w:cs="宋体" w:hint="eastAsia"/>
          <w:color w:val="000000"/>
          <w:kern w:val="0"/>
          <w:sz w:val="32"/>
          <w:szCs w:val="32"/>
        </w:rPr>
        <w:t>函授、夜大）学分制学费进行调整，标准如下：</w:t>
      </w:r>
    </w:p>
    <w:tbl>
      <w:tblPr>
        <w:tblW w:w="8765" w:type="dxa"/>
        <w:tblCellSpacing w:w="0" w:type="dxa"/>
        <w:tblCellMar>
          <w:left w:w="0" w:type="dxa"/>
          <w:right w:w="0" w:type="dxa"/>
        </w:tblCellMar>
        <w:tblLook w:val="04A0" w:firstRow="1" w:lastRow="0" w:firstColumn="1" w:lastColumn="0" w:noHBand="0" w:noVBand="1"/>
      </w:tblPr>
      <w:tblGrid>
        <w:gridCol w:w="660"/>
        <w:gridCol w:w="1332"/>
        <w:gridCol w:w="4217"/>
        <w:gridCol w:w="2556"/>
      </w:tblGrid>
      <w:tr w:rsidR="00F309CB" w:rsidRPr="00F309CB" w:rsidTr="00F309CB">
        <w:trPr>
          <w:tblCellSpacing w:w="0" w:type="dxa"/>
        </w:trPr>
        <w:tc>
          <w:tcPr>
            <w:tcW w:w="660" w:type="dxa"/>
            <w:tcBorders>
              <w:top w:val="single" w:sz="8" w:space="0" w:color="auto"/>
              <w:left w:val="single" w:sz="8" w:space="0" w:color="auto"/>
              <w:bottom w:val="single" w:sz="8" w:space="0" w:color="auto"/>
              <w:right w:val="single" w:sz="8" w:space="0" w:color="auto"/>
            </w:tcBorders>
            <w:hideMark/>
          </w:tcPr>
          <w:p w:rsidR="00F309CB" w:rsidRPr="00F309CB" w:rsidRDefault="00F309CB" w:rsidP="00F309CB">
            <w:pPr>
              <w:widowControl/>
              <w:jc w:val="left"/>
              <w:rPr>
                <w:rFonts w:ascii="宋体" w:eastAsia="宋体" w:hAnsi="宋体" w:cs="宋体"/>
                <w:color w:val="000000"/>
                <w:kern w:val="0"/>
                <w:sz w:val="24"/>
                <w:szCs w:val="24"/>
              </w:rPr>
            </w:pPr>
            <w:r w:rsidRPr="00F309CB">
              <w:rPr>
                <w:rFonts w:ascii="黑体" w:eastAsia="黑体" w:hAnsi="黑体" w:cs="宋体" w:hint="eastAsia"/>
                <w:color w:val="000000"/>
                <w:kern w:val="0"/>
                <w:sz w:val="28"/>
                <w:szCs w:val="28"/>
              </w:rPr>
              <w:t>序号</w:t>
            </w:r>
          </w:p>
        </w:tc>
        <w:tc>
          <w:tcPr>
            <w:tcW w:w="1332" w:type="dxa"/>
            <w:tcBorders>
              <w:top w:val="single" w:sz="8" w:space="0" w:color="auto"/>
              <w:left w:val="single" w:sz="8" w:space="0" w:color="auto"/>
              <w:bottom w:val="single" w:sz="8" w:space="0" w:color="auto"/>
              <w:right w:val="single" w:sz="8" w:space="0" w:color="auto"/>
            </w:tcBorders>
            <w:hideMark/>
          </w:tcPr>
          <w:p w:rsidR="00F309CB" w:rsidRPr="00F309CB" w:rsidRDefault="00F309CB" w:rsidP="00F309CB">
            <w:pPr>
              <w:widowControl/>
              <w:jc w:val="center"/>
              <w:rPr>
                <w:rFonts w:ascii="宋体" w:eastAsia="宋体" w:hAnsi="宋体" w:cs="宋体"/>
                <w:color w:val="000000"/>
                <w:kern w:val="0"/>
                <w:sz w:val="24"/>
                <w:szCs w:val="24"/>
              </w:rPr>
            </w:pPr>
            <w:r w:rsidRPr="00F309CB">
              <w:rPr>
                <w:rFonts w:ascii="黑体" w:eastAsia="黑体" w:hAnsi="黑体" w:cs="宋体" w:hint="eastAsia"/>
                <w:color w:val="000000"/>
                <w:kern w:val="0"/>
                <w:sz w:val="28"/>
                <w:szCs w:val="28"/>
              </w:rPr>
              <w:t>专业名称</w:t>
            </w:r>
          </w:p>
        </w:tc>
        <w:tc>
          <w:tcPr>
            <w:tcW w:w="0" w:type="auto"/>
            <w:tcBorders>
              <w:top w:val="single" w:sz="8" w:space="0" w:color="auto"/>
              <w:left w:val="single" w:sz="8" w:space="0" w:color="auto"/>
              <w:bottom w:val="single" w:sz="8" w:space="0" w:color="auto"/>
              <w:right w:val="single" w:sz="8" w:space="0" w:color="auto"/>
            </w:tcBorders>
            <w:hideMark/>
          </w:tcPr>
          <w:p w:rsidR="00F309CB" w:rsidRPr="00F309CB" w:rsidRDefault="00F309CB" w:rsidP="00F309CB">
            <w:pPr>
              <w:widowControl/>
              <w:ind w:firstLine="206"/>
              <w:jc w:val="center"/>
              <w:rPr>
                <w:rFonts w:ascii="宋体" w:eastAsia="宋体" w:hAnsi="宋体" w:cs="宋体"/>
                <w:color w:val="000000"/>
                <w:kern w:val="0"/>
                <w:sz w:val="24"/>
                <w:szCs w:val="24"/>
              </w:rPr>
            </w:pPr>
            <w:r w:rsidRPr="00F309CB">
              <w:rPr>
                <w:rFonts w:ascii="黑体" w:eastAsia="黑体" w:hAnsi="黑体" w:cs="宋体" w:hint="eastAsia"/>
                <w:color w:val="000000"/>
                <w:kern w:val="0"/>
                <w:sz w:val="28"/>
                <w:szCs w:val="28"/>
              </w:rPr>
              <w:t>原收费标准</w:t>
            </w:r>
          </w:p>
        </w:tc>
        <w:tc>
          <w:tcPr>
            <w:tcW w:w="2556" w:type="dxa"/>
            <w:tcBorders>
              <w:top w:val="single" w:sz="8" w:space="0" w:color="auto"/>
              <w:left w:val="single" w:sz="8" w:space="0" w:color="auto"/>
              <w:bottom w:val="single" w:sz="8" w:space="0" w:color="auto"/>
              <w:right w:val="single" w:sz="8" w:space="0" w:color="auto"/>
            </w:tcBorders>
            <w:hideMark/>
          </w:tcPr>
          <w:p w:rsidR="00F309CB" w:rsidRPr="00F309CB" w:rsidRDefault="00F309CB" w:rsidP="00F309CB">
            <w:pPr>
              <w:widowControl/>
              <w:ind w:firstLine="18"/>
              <w:jc w:val="center"/>
              <w:rPr>
                <w:rFonts w:ascii="宋体" w:eastAsia="宋体" w:hAnsi="宋体" w:cs="宋体"/>
                <w:color w:val="000000"/>
                <w:kern w:val="0"/>
                <w:sz w:val="24"/>
                <w:szCs w:val="24"/>
              </w:rPr>
            </w:pPr>
            <w:r w:rsidRPr="00F309CB">
              <w:rPr>
                <w:rFonts w:ascii="黑体" w:eastAsia="黑体" w:hAnsi="黑体" w:cs="宋体" w:hint="eastAsia"/>
                <w:color w:val="000000"/>
                <w:kern w:val="0"/>
                <w:sz w:val="28"/>
                <w:szCs w:val="28"/>
              </w:rPr>
              <w:t>调整</w:t>
            </w:r>
            <w:proofErr w:type="gramStart"/>
            <w:r w:rsidRPr="00F309CB">
              <w:rPr>
                <w:rFonts w:ascii="黑体" w:eastAsia="黑体" w:hAnsi="黑体" w:cs="宋体" w:hint="eastAsia"/>
                <w:color w:val="000000"/>
                <w:kern w:val="0"/>
                <w:sz w:val="28"/>
                <w:szCs w:val="28"/>
              </w:rPr>
              <w:t>后标准</w:t>
            </w:r>
            <w:proofErr w:type="gramEnd"/>
          </w:p>
        </w:tc>
      </w:tr>
      <w:tr w:rsidR="00F309CB" w:rsidRPr="00F309CB" w:rsidTr="00F309CB">
        <w:trPr>
          <w:tblCellSpacing w:w="0" w:type="dxa"/>
        </w:trPr>
        <w:tc>
          <w:tcPr>
            <w:tcW w:w="660" w:type="dxa"/>
            <w:tcBorders>
              <w:top w:val="single" w:sz="8" w:space="0" w:color="auto"/>
              <w:left w:val="single" w:sz="8" w:space="0" w:color="auto"/>
              <w:bottom w:val="single" w:sz="8" w:space="0" w:color="auto"/>
              <w:right w:val="single" w:sz="8" w:space="0" w:color="auto"/>
            </w:tcBorders>
            <w:vAlign w:val="center"/>
            <w:hideMark/>
          </w:tcPr>
          <w:p w:rsidR="00F309CB" w:rsidRPr="00F309CB" w:rsidRDefault="00F309CB" w:rsidP="00F309CB">
            <w:pPr>
              <w:widowControl/>
              <w:jc w:val="center"/>
              <w:rPr>
                <w:rFonts w:ascii="宋体" w:eastAsia="宋体" w:hAnsi="宋体" w:cs="宋体"/>
                <w:color w:val="000000"/>
                <w:kern w:val="0"/>
                <w:sz w:val="24"/>
                <w:szCs w:val="24"/>
              </w:rPr>
            </w:pPr>
            <w:r w:rsidRPr="00F309CB">
              <w:rPr>
                <w:rFonts w:ascii="楷体_GB2312" w:eastAsia="楷体_GB2312" w:hAnsi="宋体" w:cs="宋体" w:hint="eastAsia"/>
                <w:color w:val="000000"/>
                <w:kern w:val="0"/>
                <w:sz w:val="24"/>
                <w:szCs w:val="24"/>
              </w:rPr>
              <w:t>1</w:t>
            </w:r>
          </w:p>
        </w:tc>
        <w:tc>
          <w:tcPr>
            <w:tcW w:w="1332" w:type="dxa"/>
            <w:tcBorders>
              <w:top w:val="outset" w:sz="6" w:space="0" w:color="auto"/>
              <w:left w:val="outset" w:sz="6" w:space="0" w:color="auto"/>
              <w:bottom w:val="outset" w:sz="6" w:space="0" w:color="auto"/>
              <w:right w:val="outset" w:sz="6" w:space="0" w:color="auto"/>
            </w:tcBorders>
            <w:vAlign w:val="center"/>
            <w:hideMark/>
          </w:tcPr>
          <w:p w:rsidR="00F309CB" w:rsidRPr="00F309CB" w:rsidRDefault="00F309CB" w:rsidP="00F309CB">
            <w:pPr>
              <w:widowControl/>
              <w:jc w:val="center"/>
              <w:rPr>
                <w:rFonts w:ascii="宋体" w:eastAsia="宋体" w:hAnsi="宋体" w:cs="宋体"/>
                <w:color w:val="000000"/>
                <w:kern w:val="0"/>
                <w:sz w:val="24"/>
                <w:szCs w:val="24"/>
              </w:rPr>
            </w:pPr>
            <w:r w:rsidRPr="00F309CB">
              <w:rPr>
                <w:rFonts w:ascii="楷体_GB2312" w:eastAsia="楷体_GB2312" w:hAnsi="宋体" w:cs="宋体" w:hint="eastAsia"/>
                <w:color w:val="000000"/>
                <w:kern w:val="0"/>
                <w:sz w:val="24"/>
                <w:szCs w:val="24"/>
              </w:rPr>
              <w:t>工科类、</w:t>
            </w:r>
          </w:p>
          <w:p w:rsidR="00F309CB" w:rsidRPr="00F309CB" w:rsidRDefault="00F309CB" w:rsidP="00F309CB">
            <w:pPr>
              <w:widowControl/>
              <w:jc w:val="center"/>
              <w:rPr>
                <w:rFonts w:ascii="宋体" w:eastAsia="宋体" w:hAnsi="宋体" w:cs="宋体"/>
                <w:color w:val="000000"/>
                <w:kern w:val="0"/>
                <w:sz w:val="24"/>
                <w:szCs w:val="24"/>
              </w:rPr>
            </w:pPr>
            <w:r w:rsidRPr="00F309CB">
              <w:rPr>
                <w:rFonts w:ascii="楷体_GB2312" w:eastAsia="楷体_GB2312" w:hAnsi="宋体" w:cs="宋体" w:hint="eastAsia"/>
                <w:color w:val="000000"/>
                <w:kern w:val="0"/>
                <w:sz w:val="24"/>
                <w:szCs w:val="24"/>
              </w:rPr>
              <w:t>医学类专业</w:t>
            </w:r>
          </w:p>
        </w:tc>
        <w:tc>
          <w:tcPr>
            <w:tcW w:w="0" w:type="auto"/>
            <w:tcBorders>
              <w:top w:val="outset" w:sz="6" w:space="0" w:color="auto"/>
              <w:left w:val="outset" w:sz="6" w:space="0" w:color="auto"/>
              <w:bottom w:val="outset" w:sz="6" w:space="0" w:color="auto"/>
              <w:right w:val="outset" w:sz="6" w:space="0" w:color="auto"/>
            </w:tcBorders>
            <w:vAlign w:val="center"/>
            <w:hideMark/>
          </w:tcPr>
          <w:p w:rsidR="00F309CB" w:rsidRPr="00F309CB" w:rsidRDefault="00F309CB" w:rsidP="00F309CB">
            <w:pPr>
              <w:widowControl/>
              <w:ind w:firstLine="360"/>
              <w:jc w:val="left"/>
              <w:rPr>
                <w:rFonts w:ascii="宋体" w:eastAsia="宋体" w:hAnsi="宋体" w:cs="宋体"/>
                <w:color w:val="000000"/>
                <w:kern w:val="0"/>
                <w:sz w:val="24"/>
                <w:szCs w:val="24"/>
              </w:rPr>
            </w:pPr>
            <w:r w:rsidRPr="00F309CB">
              <w:rPr>
                <w:rFonts w:ascii="楷体_GB2312" w:eastAsia="楷体_GB2312" w:hAnsi="宋体" w:cs="宋体" w:hint="eastAsia"/>
                <w:color w:val="000000"/>
                <w:kern w:val="0"/>
                <w:sz w:val="24"/>
                <w:szCs w:val="24"/>
              </w:rPr>
              <w:t>1、高中（中专）起点升专科， 学分学费66元/学分，计费总学分为100学分。</w:t>
            </w:r>
          </w:p>
          <w:p w:rsidR="00F309CB" w:rsidRPr="00F309CB" w:rsidRDefault="00F309CB" w:rsidP="00F309CB">
            <w:pPr>
              <w:widowControl/>
              <w:ind w:firstLine="360"/>
              <w:jc w:val="left"/>
              <w:rPr>
                <w:rFonts w:ascii="宋体" w:eastAsia="宋体" w:hAnsi="宋体" w:cs="宋体"/>
                <w:color w:val="000000"/>
                <w:kern w:val="0"/>
                <w:sz w:val="24"/>
                <w:szCs w:val="24"/>
              </w:rPr>
            </w:pPr>
            <w:r w:rsidRPr="00F309CB">
              <w:rPr>
                <w:rFonts w:ascii="楷体_GB2312" w:eastAsia="楷体_GB2312" w:hAnsi="宋体" w:cs="宋体" w:hint="eastAsia"/>
                <w:color w:val="000000"/>
                <w:kern w:val="0"/>
                <w:sz w:val="24"/>
                <w:szCs w:val="24"/>
              </w:rPr>
              <w:t>2、专科升本科，学分学费88元/学分，计费总学分75学分。</w:t>
            </w:r>
          </w:p>
        </w:tc>
        <w:tc>
          <w:tcPr>
            <w:tcW w:w="2556" w:type="dxa"/>
            <w:tcBorders>
              <w:top w:val="outset" w:sz="6" w:space="0" w:color="auto"/>
              <w:left w:val="outset" w:sz="6" w:space="0" w:color="auto"/>
              <w:bottom w:val="outset" w:sz="6" w:space="0" w:color="auto"/>
              <w:right w:val="outset" w:sz="6" w:space="0" w:color="auto"/>
            </w:tcBorders>
            <w:vAlign w:val="center"/>
            <w:hideMark/>
          </w:tcPr>
          <w:p w:rsidR="00F309CB" w:rsidRPr="00F309CB" w:rsidRDefault="00F309CB" w:rsidP="00F309CB">
            <w:pPr>
              <w:widowControl/>
              <w:ind w:firstLine="360"/>
              <w:jc w:val="left"/>
              <w:rPr>
                <w:rFonts w:ascii="宋体" w:eastAsia="宋体" w:hAnsi="宋体" w:cs="宋体"/>
                <w:color w:val="000000"/>
                <w:kern w:val="0"/>
                <w:sz w:val="24"/>
                <w:szCs w:val="24"/>
              </w:rPr>
            </w:pPr>
            <w:r w:rsidRPr="00F309CB">
              <w:rPr>
                <w:rFonts w:ascii="楷体_GB2312" w:eastAsia="楷体_GB2312" w:hAnsi="宋体" w:cs="宋体" w:hint="eastAsia"/>
                <w:color w:val="000000"/>
                <w:kern w:val="0"/>
                <w:sz w:val="24"/>
                <w:szCs w:val="24"/>
              </w:rPr>
              <w:t>1、高中（中专）起点升专科，学分学费99元/学分，计费总学分为100学分。</w:t>
            </w:r>
          </w:p>
          <w:p w:rsidR="00F309CB" w:rsidRPr="00F309CB" w:rsidRDefault="00F309CB" w:rsidP="00F309CB">
            <w:pPr>
              <w:widowControl/>
              <w:ind w:firstLine="360"/>
              <w:jc w:val="left"/>
              <w:rPr>
                <w:rFonts w:ascii="宋体" w:eastAsia="宋体" w:hAnsi="宋体" w:cs="宋体"/>
                <w:color w:val="000000"/>
                <w:kern w:val="0"/>
                <w:sz w:val="24"/>
                <w:szCs w:val="24"/>
              </w:rPr>
            </w:pPr>
            <w:r w:rsidRPr="00F309CB">
              <w:rPr>
                <w:rFonts w:ascii="楷体_GB2312" w:eastAsia="楷体_GB2312" w:hAnsi="宋体" w:cs="宋体" w:hint="eastAsia"/>
                <w:color w:val="000000"/>
                <w:kern w:val="0"/>
                <w:sz w:val="24"/>
                <w:szCs w:val="24"/>
              </w:rPr>
              <w:t>2、专科升本科，学分学费132元/学分，计费总学分75学分。</w:t>
            </w:r>
          </w:p>
        </w:tc>
      </w:tr>
      <w:tr w:rsidR="00F309CB" w:rsidRPr="00F309CB" w:rsidTr="00F309CB">
        <w:trPr>
          <w:tblCellSpacing w:w="0" w:type="dxa"/>
        </w:trPr>
        <w:tc>
          <w:tcPr>
            <w:tcW w:w="660" w:type="dxa"/>
            <w:tcBorders>
              <w:top w:val="single" w:sz="8" w:space="0" w:color="auto"/>
              <w:left w:val="single" w:sz="8" w:space="0" w:color="auto"/>
              <w:bottom w:val="single" w:sz="8" w:space="0" w:color="auto"/>
              <w:right w:val="single" w:sz="8" w:space="0" w:color="auto"/>
            </w:tcBorders>
            <w:vAlign w:val="center"/>
            <w:hideMark/>
          </w:tcPr>
          <w:p w:rsidR="00F309CB" w:rsidRPr="00F309CB" w:rsidRDefault="00F309CB" w:rsidP="00F309CB">
            <w:pPr>
              <w:widowControl/>
              <w:jc w:val="center"/>
              <w:rPr>
                <w:rFonts w:ascii="宋体" w:eastAsia="宋体" w:hAnsi="宋体" w:cs="宋体"/>
                <w:color w:val="000000"/>
                <w:kern w:val="0"/>
                <w:sz w:val="24"/>
                <w:szCs w:val="24"/>
              </w:rPr>
            </w:pPr>
            <w:r w:rsidRPr="00F309CB">
              <w:rPr>
                <w:rFonts w:ascii="楷体_GB2312" w:eastAsia="楷体_GB2312" w:hAnsi="宋体" w:cs="宋体" w:hint="eastAsia"/>
                <w:color w:val="000000"/>
                <w:kern w:val="0"/>
                <w:sz w:val="24"/>
                <w:szCs w:val="24"/>
              </w:rPr>
              <w:t>2</w:t>
            </w:r>
          </w:p>
        </w:tc>
        <w:tc>
          <w:tcPr>
            <w:tcW w:w="1332" w:type="dxa"/>
            <w:tcBorders>
              <w:top w:val="outset" w:sz="6" w:space="0" w:color="auto"/>
              <w:left w:val="outset" w:sz="6" w:space="0" w:color="auto"/>
              <w:bottom w:val="outset" w:sz="6" w:space="0" w:color="auto"/>
              <w:right w:val="outset" w:sz="6" w:space="0" w:color="auto"/>
            </w:tcBorders>
            <w:vAlign w:val="center"/>
            <w:hideMark/>
          </w:tcPr>
          <w:p w:rsidR="00F309CB" w:rsidRPr="00F309CB" w:rsidRDefault="00F309CB" w:rsidP="00F309CB">
            <w:pPr>
              <w:widowControl/>
              <w:jc w:val="center"/>
              <w:rPr>
                <w:rFonts w:ascii="宋体" w:eastAsia="宋体" w:hAnsi="宋体" w:cs="宋体"/>
                <w:color w:val="000000"/>
                <w:kern w:val="0"/>
                <w:sz w:val="24"/>
                <w:szCs w:val="24"/>
              </w:rPr>
            </w:pPr>
            <w:r w:rsidRPr="00F309CB">
              <w:rPr>
                <w:rFonts w:ascii="楷体_GB2312" w:eastAsia="楷体_GB2312" w:hAnsi="宋体" w:cs="宋体" w:hint="eastAsia"/>
                <w:color w:val="000000"/>
                <w:kern w:val="0"/>
                <w:sz w:val="24"/>
                <w:szCs w:val="24"/>
              </w:rPr>
              <w:t>其他类专业</w:t>
            </w:r>
          </w:p>
        </w:tc>
        <w:tc>
          <w:tcPr>
            <w:tcW w:w="0" w:type="auto"/>
            <w:tcBorders>
              <w:top w:val="outset" w:sz="6" w:space="0" w:color="auto"/>
              <w:left w:val="outset" w:sz="6" w:space="0" w:color="auto"/>
              <w:bottom w:val="outset" w:sz="6" w:space="0" w:color="auto"/>
              <w:right w:val="outset" w:sz="6" w:space="0" w:color="auto"/>
            </w:tcBorders>
            <w:vAlign w:val="center"/>
            <w:hideMark/>
          </w:tcPr>
          <w:p w:rsidR="00F309CB" w:rsidRPr="00F309CB" w:rsidRDefault="00F309CB" w:rsidP="00F309CB">
            <w:pPr>
              <w:widowControl/>
              <w:ind w:firstLine="360"/>
              <w:jc w:val="left"/>
              <w:rPr>
                <w:rFonts w:ascii="宋体" w:eastAsia="宋体" w:hAnsi="宋体" w:cs="宋体"/>
                <w:color w:val="000000"/>
                <w:kern w:val="0"/>
                <w:sz w:val="24"/>
                <w:szCs w:val="24"/>
              </w:rPr>
            </w:pPr>
            <w:r w:rsidRPr="00F309CB">
              <w:rPr>
                <w:rFonts w:ascii="楷体_GB2312" w:eastAsia="楷体_GB2312" w:hAnsi="宋体" w:cs="宋体" w:hint="eastAsia"/>
                <w:color w:val="000000"/>
                <w:kern w:val="0"/>
                <w:sz w:val="24"/>
                <w:szCs w:val="24"/>
              </w:rPr>
              <w:t>我校未招收此专业学生，参照浙价费[2009]292号文件标准。</w:t>
            </w:r>
          </w:p>
        </w:tc>
        <w:tc>
          <w:tcPr>
            <w:tcW w:w="2556" w:type="dxa"/>
            <w:tcBorders>
              <w:top w:val="outset" w:sz="6" w:space="0" w:color="auto"/>
              <w:left w:val="outset" w:sz="6" w:space="0" w:color="auto"/>
              <w:bottom w:val="outset" w:sz="6" w:space="0" w:color="auto"/>
              <w:right w:val="outset" w:sz="6" w:space="0" w:color="auto"/>
            </w:tcBorders>
            <w:vAlign w:val="center"/>
            <w:hideMark/>
          </w:tcPr>
          <w:p w:rsidR="00F309CB" w:rsidRPr="00F309CB" w:rsidRDefault="00F309CB" w:rsidP="00F309CB">
            <w:pPr>
              <w:widowControl/>
              <w:ind w:firstLine="360"/>
              <w:jc w:val="left"/>
              <w:rPr>
                <w:rFonts w:ascii="宋体" w:eastAsia="宋体" w:hAnsi="宋体" w:cs="宋体"/>
                <w:color w:val="000000"/>
                <w:kern w:val="0"/>
                <w:sz w:val="24"/>
                <w:szCs w:val="24"/>
              </w:rPr>
            </w:pPr>
            <w:r w:rsidRPr="00F309CB">
              <w:rPr>
                <w:rFonts w:ascii="楷体_GB2312" w:eastAsia="楷体_GB2312" w:hAnsi="宋体" w:cs="宋体" w:hint="eastAsia"/>
                <w:color w:val="000000"/>
                <w:kern w:val="0"/>
                <w:sz w:val="24"/>
                <w:szCs w:val="24"/>
              </w:rPr>
              <w:t>1、高中（中专）起点升专科，学分学费89.10元/学分，计费总学分为100学分。</w:t>
            </w:r>
          </w:p>
          <w:p w:rsidR="00F309CB" w:rsidRPr="00F309CB" w:rsidRDefault="00F309CB" w:rsidP="00F309CB">
            <w:pPr>
              <w:widowControl/>
              <w:ind w:firstLine="360"/>
              <w:jc w:val="left"/>
              <w:rPr>
                <w:rFonts w:ascii="宋体" w:eastAsia="宋体" w:hAnsi="宋体" w:cs="宋体"/>
                <w:color w:val="000000"/>
                <w:kern w:val="0"/>
                <w:sz w:val="24"/>
                <w:szCs w:val="24"/>
              </w:rPr>
            </w:pPr>
            <w:r w:rsidRPr="00F309CB">
              <w:rPr>
                <w:rFonts w:ascii="楷体_GB2312" w:eastAsia="楷体_GB2312" w:hAnsi="宋体" w:cs="宋体" w:hint="eastAsia"/>
                <w:color w:val="000000"/>
                <w:kern w:val="0"/>
                <w:sz w:val="24"/>
                <w:szCs w:val="24"/>
              </w:rPr>
              <w:t>2、专科升本科，学分学费118.8元/学分，计费总学分75学分。</w:t>
            </w:r>
          </w:p>
        </w:tc>
      </w:tr>
    </w:tbl>
    <w:p w:rsidR="00F309CB" w:rsidRPr="00F309CB" w:rsidRDefault="00F309CB" w:rsidP="00F309CB">
      <w:pPr>
        <w:widowControl/>
        <w:ind w:firstLine="640"/>
        <w:jc w:val="left"/>
        <w:rPr>
          <w:rFonts w:ascii="宋体" w:eastAsia="宋体" w:hAnsi="宋体" w:cs="宋体"/>
          <w:color w:val="000000"/>
          <w:kern w:val="0"/>
          <w:sz w:val="18"/>
          <w:szCs w:val="18"/>
        </w:rPr>
      </w:pPr>
      <w:r w:rsidRPr="00F309CB">
        <w:rPr>
          <w:rFonts w:ascii="仿宋_GB2312" w:eastAsia="仿宋_GB2312" w:hAnsi="宋体" w:cs="宋体" w:hint="eastAsia"/>
          <w:color w:val="000000"/>
          <w:kern w:val="0"/>
          <w:sz w:val="32"/>
          <w:szCs w:val="32"/>
        </w:rPr>
        <w:t>上述调整标准从2015年春季新生入学起执行，实行“老生老办法、新生新办法”。</w:t>
      </w:r>
    </w:p>
    <w:p w:rsidR="00F309CB" w:rsidRPr="00F309CB" w:rsidRDefault="00F309CB" w:rsidP="00F309CB">
      <w:pPr>
        <w:widowControl/>
        <w:ind w:firstLine="640"/>
        <w:jc w:val="left"/>
        <w:rPr>
          <w:rFonts w:ascii="宋体" w:eastAsia="宋体" w:hAnsi="宋体" w:cs="宋体"/>
          <w:color w:val="000000"/>
          <w:kern w:val="0"/>
          <w:sz w:val="18"/>
          <w:szCs w:val="18"/>
        </w:rPr>
      </w:pPr>
    </w:p>
    <w:p w:rsidR="00F309CB" w:rsidRPr="00F309CB" w:rsidRDefault="00F309CB" w:rsidP="00F309CB">
      <w:pPr>
        <w:widowControl/>
        <w:ind w:left="561" w:firstLine="480"/>
        <w:jc w:val="right"/>
        <w:rPr>
          <w:rFonts w:ascii="宋体" w:eastAsia="宋体" w:hAnsi="宋体" w:cs="宋体"/>
          <w:color w:val="000000"/>
          <w:kern w:val="0"/>
          <w:sz w:val="18"/>
          <w:szCs w:val="18"/>
        </w:rPr>
      </w:pPr>
      <w:r w:rsidRPr="00F309CB">
        <w:rPr>
          <w:rFonts w:ascii="仿宋_GB2312" w:eastAsia="仿宋_GB2312" w:hAnsi="宋体" w:cs="宋体" w:hint="eastAsia"/>
          <w:color w:val="000000"/>
          <w:kern w:val="0"/>
          <w:sz w:val="32"/>
          <w:szCs w:val="32"/>
        </w:rPr>
        <w:t>浙江中医药大学</w:t>
      </w:r>
    </w:p>
    <w:p w:rsidR="00F309CB" w:rsidRPr="00F309CB" w:rsidRDefault="00F309CB" w:rsidP="00F309CB">
      <w:pPr>
        <w:widowControl/>
        <w:ind w:firstLine="640"/>
        <w:jc w:val="right"/>
        <w:rPr>
          <w:rFonts w:ascii="宋体" w:eastAsia="宋体" w:hAnsi="宋体" w:cs="宋体"/>
          <w:color w:val="000000"/>
          <w:kern w:val="0"/>
          <w:sz w:val="18"/>
          <w:szCs w:val="18"/>
        </w:rPr>
      </w:pPr>
    </w:p>
    <w:p w:rsidR="00F309CB" w:rsidRPr="00F309CB" w:rsidRDefault="00F309CB" w:rsidP="00F309CB">
      <w:pPr>
        <w:widowControl/>
        <w:ind w:left="561" w:firstLine="480"/>
        <w:jc w:val="right"/>
        <w:rPr>
          <w:rFonts w:ascii="宋体" w:eastAsia="宋体" w:hAnsi="宋体" w:cs="宋体"/>
          <w:color w:val="000000"/>
          <w:kern w:val="0"/>
          <w:sz w:val="18"/>
          <w:szCs w:val="18"/>
        </w:rPr>
      </w:pPr>
      <w:r w:rsidRPr="00F309CB">
        <w:rPr>
          <w:rFonts w:ascii="仿宋_GB2312" w:eastAsia="仿宋_GB2312" w:hAnsi="宋体" w:cs="宋体" w:hint="eastAsia"/>
          <w:color w:val="000000"/>
          <w:kern w:val="0"/>
          <w:sz w:val="32"/>
          <w:szCs w:val="32"/>
        </w:rPr>
        <w:t>2015年2月5日</w:t>
      </w:r>
    </w:p>
    <w:p w:rsidR="004E50DB" w:rsidRDefault="00AC56C1"/>
    <w:sectPr w:rsidR="004E5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仿宋_GB2312">
    <w:altName w:val="仿宋"/>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24D"/>
    <w:rsid w:val="00913380"/>
    <w:rsid w:val="00AC56C1"/>
    <w:rsid w:val="00E25EBF"/>
    <w:rsid w:val="00E8324D"/>
    <w:rsid w:val="00F30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309CB"/>
    <w:rPr>
      <w:b/>
      <w:bCs/>
    </w:rPr>
  </w:style>
  <w:style w:type="character" w:customStyle="1" w:styleId="apple-converted-space">
    <w:name w:val="apple-converted-space"/>
    <w:basedOn w:val="a0"/>
    <w:rsid w:val="00F309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309CB"/>
    <w:rPr>
      <w:b/>
      <w:bCs/>
    </w:rPr>
  </w:style>
  <w:style w:type="character" w:customStyle="1" w:styleId="apple-converted-space">
    <w:name w:val="apple-converted-space"/>
    <w:basedOn w:val="a0"/>
    <w:rsid w:val="00F30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2017-11-24T12:47:00Z</dcterms:created>
  <dcterms:modified xsi:type="dcterms:W3CDTF">2017-11-24T13:36:00Z</dcterms:modified>
</cp:coreProperties>
</file>