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237" w:rsidRPr="00AE7237" w:rsidRDefault="00AE7237" w:rsidP="00AE7237">
      <w:pPr>
        <w:widowControl/>
        <w:jc w:val="center"/>
        <w:rPr>
          <w:rFonts w:ascii="宋体" w:eastAsia="宋体" w:hAnsi="宋体" w:cs="宋体"/>
          <w:color w:val="000000"/>
          <w:kern w:val="0"/>
          <w:sz w:val="18"/>
          <w:szCs w:val="18"/>
        </w:rPr>
      </w:pPr>
      <w:r w:rsidRPr="00AE7237">
        <w:rPr>
          <w:rFonts w:ascii="宋体" w:eastAsia="宋体" w:hAnsi="宋体" w:cs="宋体" w:hint="eastAsia"/>
          <w:b/>
          <w:bCs/>
          <w:color w:val="000000"/>
          <w:kern w:val="0"/>
          <w:sz w:val="45"/>
          <w:szCs w:val="45"/>
        </w:rPr>
        <w:t>浙江省物价局 浙江省教育厅关于规范和调整民办高校收费的通知 </w:t>
      </w:r>
      <w:r w:rsidRPr="00AE7237">
        <w:rPr>
          <w:rFonts w:ascii="宋体" w:eastAsia="宋体" w:hAnsi="宋体" w:cs="宋体" w:hint="eastAsia"/>
          <w:color w:val="000000"/>
          <w:kern w:val="0"/>
          <w:sz w:val="18"/>
          <w:szCs w:val="18"/>
        </w:rPr>
        <w:br/>
        <w:t>浙价费[2010]161号 </w:t>
      </w:r>
      <w:r w:rsidRPr="00AE7237">
        <w:rPr>
          <w:rFonts w:ascii="宋体" w:eastAsia="宋体" w:hAnsi="宋体" w:cs="宋体" w:hint="eastAsia"/>
          <w:color w:val="000000"/>
          <w:kern w:val="0"/>
          <w:sz w:val="18"/>
          <w:szCs w:val="18"/>
        </w:rPr>
        <w:br/>
      </w:r>
      <w:r w:rsidRPr="00AE7237">
        <w:rPr>
          <w:rFonts w:ascii="宋体" w:eastAsia="宋体" w:hAnsi="宋体" w:cs="宋体" w:hint="eastAsia"/>
          <w:color w:val="000000"/>
          <w:kern w:val="0"/>
          <w:sz w:val="18"/>
          <w:szCs w:val="18"/>
        </w:rPr>
        <w:br/>
        <w:t>    发布时间：2010-05-24    </w:t>
      </w:r>
      <w:bookmarkStart w:id="0" w:name="_GoBack"/>
      <w:bookmarkEnd w:id="0"/>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各民办高校、独立学院：</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为规范民办高校(</w:t>
      </w:r>
      <w:proofErr w:type="gramStart"/>
      <w:r w:rsidRPr="00AE7237">
        <w:rPr>
          <w:rFonts w:ascii="宋体" w:eastAsia="宋体" w:hAnsi="宋体" w:cs="宋体" w:hint="eastAsia"/>
          <w:color w:val="000000"/>
          <w:kern w:val="0"/>
          <w:sz w:val="28"/>
          <w:szCs w:val="28"/>
        </w:rPr>
        <w:t>含独立</w:t>
      </w:r>
      <w:proofErr w:type="gramEnd"/>
      <w:r w:rsidRPr="00AE7237">
        <w:rPr>
          <w:rFonts w:ascii="宋体" w:eastAsia="宋体" w:hAnsi="宋体" w:cs="宋体" w:hint="eastAsia"/>
          <w:color w:val="000000"/>
          <w:kern w:val="0"/>
          <w:sz w:val="28"/>
          <w:szCs w:val="28"/>
        </w:rPr>
        <w:t>学院，下同)的收费行为，保障民办高校和学生的合法权益，促进民办教育事业的健康发展，根据国家发展改革委、教育部、劳动和社会保障部印发的《民办教育收费管理暂行办法》，教育部、国家发展改革委等7部委《关于2009年规范教育收费进一步治理教育乱收费工作的实施意见》的规定，经省政府同意，现就规范和调整我省民办高校收费的有关问题通知如下：</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一、规范民办高校的收费管理形式。民办高校举办学历教育收取的学费和住宿费标准实行政府指导价管理。由省物价局会同省教育厅制定学费标准的基准价和浮动幅度、住宿费的最高标准和下浮的规定。学校在规定幅度内，根据生均教育成本等情况和宿舍住宿条件确定具体收费标准，报省物价局备案后执行。中外合作办学学历教育的学费标准，由学校提出书面申请，经省教育厅审核后报省物价局批准。</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二、适当调整学费和住宿费标准。根据培养成本和办学层次，适当调整各类专业和学校的收费标准，调整后的学费标准详见附件一；本通知下发以前已经审核备案的学费标准仍可按省物价局审核备案的标准执行。根据学生宿舍的住宿成本，适当调整民办高校宿舍住宿费标准，调整后的住宿费标准详见附件二。</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为保持收费标准的稳定性，各校调整学费标准后两年内不得提高。已享受财政补助的民办高校，其生均住宿收入(收费+补助)达到本通知标准的，住宿费暂不调整；独立学院与母体院校尚未分离的，执行母体院校同一住宿费政策。</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三、学费调整实行“老生老办法、新生新办法”的原则。2010年秋季新招收的学生按照规范和调整后的学费标准执行。以前招收的学生按原规定标准执行。</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四、各民办高校要加强教育收费管理，认真做好调整收费标准的宣传解释工作，建立健全收费管理制度，严格执行教育收费公示制度，自觉规范收费行为。</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附件：一、浙江省民办高校(</w:t>
      </w:r>
      <w:proofErr w:type="gramStart"/>
      <w:r w:rsidRPr="00AE7237">
        <w:rPr>
          <w:rFonts w:ascii="宋体" w:eastAsia="宋体" w:hAnsi="宋体" w:cs="宋体" w:hint="eastAsia"/>
          <w:color w:val="000000"/>
          <w:kern w:val="0"/>
          <w:sz w:val="28"/>
          <w:szCs w:val="28"/>
        </w:rPr>
        <w:t>含独立</w:t>
      </w:r>
      <w:proofErr w:type="gramEnd"/>
      <w:r w:rsidRPr="00AE7237">
        <w:rPr>
          <w:rFonts w:ascii="宋体" w:eastAsia="宋体" w:hAnsi="宋体" w:cs="宋体" w:hint="eastAsia"/>
          <w:color w:val="000000"/>
          <w:kern w:val="0"/>
          <w:sz w:val="28"/>
          <w:szCs w:val="28"/>
        </w:rPr>
        <w:t>学院)学费标准</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二、浙江省民办高校(</w:t>
      </w:r>
      <w:proofErr w:type="gramStart"/>
      <w:r w:rsidRPr="00AE7237">
        <w:rPr>
          <w:rFonts w:ascii="宋体" w:eastAsia="宋体" w:hAnsi="宋体" w:cs="宋体" w:hint="eastAsia"/>
          <w:color w:val="000000"/>
          <w:kern w:val="0"/>
          <w:sz w:val="28"/>
          <w:szCs w:val="28"/>
        </w:rPr>
        <w:t>含独立</w:t>
      </w:r>
      <w:proofErr w:type="gramEnd"/>
      <w:r w:rsidRPr="00AE7237">
        <w:rPr>
          <w:rFonts w:ascii="宋体" w:eastAsia="宋体" w:hAnsi="宋体" w:cs="宋体" w:hint="eastAsia"/>
          <w:color w:val="000000"/>
          <w:kern w:val="0"/>
          <w:sz w:val="28"/>
          <w:szCs w:val="28"/>
        </w:rPr>
        <w:t>学院)学生宿舍住宿费标准</w:t>
      </w:r>
    </w:p>
    <w:p w:rsidR="00AE7237" w:rsidRPr="00AE7237" w:rsidRDefault="00AE7237" w:rsidP="00AE7237">
      <w:pPr>
        <w:widowControl/>
        <w:jc w:val="righ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浙江省物价局 浙江省教育厅</w:t>
      </w:r>
    </w:p>
    <w:p w:rsidR="00AE7237" w:rsidRPr="00AE7237" w:rsidRDefault="00AE7237" w:rsidP="00AE7237">
      <w:pPr>
        <w:widowControl/>
        <w:jc w:val="righ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8"/>
          <w:szCs w:val="28"/>
        </w:rPr>
        <w:t>二○一○年五月二十四日</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附件一</w:t>
      </w:r>
    </w:p>
    <w:p w:rsidR="00AE7237" w:rsidRPr="00AE7237" w:rsidRDefault="00AE7237" w:rsidP="00AE7237">
      <w:pPr>
        <w:widowControl/>
        <w:jc w:val="center"/>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浙江省民办高校(</w:t>
      </w:r>
      <w:proofErr w:type="gramStart"/>
      <w:r w:rsidRPr="00AE7237">
        <w:rPr>
          <w:rFonts w:ascii="宋体" w:eastAsia="宋体" w:hAnsi="宋体" w:cs="宋体" w:hint="eastAsia"/>
          <w:color w:val="000000"/>
          <w:kern w:val="0"/>
          <w:sz w:val="24"/>
          <w:szCs w:val="24"/>
        </w:rPr>
        <w:t>含独立</w:t>
      </w:r>
      <w:proofErr w:type="gramEnd"/>
      <w:r w:rsidRPr="00AE7237">
        <w:rPr>
          <w:rFonts w:ascii="宋体" w:eastAsia="宋体" w:hAnsi="宋体" w:cs="宋体" w:hint="eastAsia"/>
          <w:color w:val="000000"/>
          <w:kern w:val="0"/>
          <w:sz w:val="24"/>
          <w:szCs w:val="24"/>
        </w:rPr>
        <w:t>学院)学费标准</w:t>
      </w:r>
    </w:p>
    <w:p w:rsidR="00AE7237" w:rsidRPr="00AE7237" w:rsidRDefault="00AE7237" w:rsidP="00AE7237">
      <w:pPr>
        <w:widowControl/>
        <w:jc w:val="righ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计费单位：元/生.学年</w:t>
      </w:r>
    </w:p>
    <w:tbl>
      <w:tblPr>
        <w:tblW w:w="9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2550"/>
        <w:gridCol w:w="2550"/>
        <w:gridCol w:w="2565"/>
      </w:tblGrid>
      <w:tr w:rsidR="00AE7237" w:rsidRPr="00AE7237" w:rsidTr="00AE7237">
        <w:trPr>
          <w:tblCellSpacing w:w="0" w:type="dxa"/>
        </w:trPr>
        <w:tc>
          <w:tcPr>
            <w:tcW w:w="1464" w:type="dxa"/>
            <w:vMerge w:val="restart"/>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b/>
                <w:bCs/>
                <w:color w:val="000000"/>
                <w:kern w:val="0"/>
                <w:sz w:val="24"/>
                <w:szCs w:val="24"/>
              </w:rPr>
              <w:t>类 别</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国家“211”工程高校</w:t>
            </w:r>
          </w:p>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合作举办的民办本科高校或独立学院</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其他民办本科高校</w:t>
            </w:r>
          </w:p>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或独立学院</w:t>
            </w:r>
          </w:p>
        </w:tc>
        <w:tc>
          <w:tcPr>
            <w:tcW w:w="2052"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民办职业技术学院</w:t>
            </w:r>
          </w:p>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或民办本科院校举办的高职专业</w:t>
            </w:r>
          </w:p>
        </w:tc>
      </w:tr>
      <w:tr w:rsidR="00AE7237" w:rsidRPr="00AE7237" w:rsidTr="00AE723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基准学费标准</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基准学费标准</w:t>
            </w:r>
          </w:p>
        </w:tc>
        <w:tc>
          <w:tcPr>
            <w:tcW w:w="2052"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基准学费标准</w:t>
            </w:r>
          </w:p>
        </w:tc>
      </w:tr>
      <w:tr w:rsidR="00AE7237" w:rsidRPr="00AE7237" w:rsidTr="00AE7237">
        <w:trPr>
          <w:tblCellSpacing w:w="0" w:type="dxa"/>
        </w:trPr>
        <w:tc>
          <w:tcPr>
            <w:tcW w:w="1464"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普通文理科专业</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15500</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14500</w:t>
            </w:r>
          </w:p>
        </w:tc>
        <w:tc>
          <w:tcPr>
            <w:tcW w:w="2052"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8500</w:t>
            </w:r>
          </w:p>
        </w:tc>
      </w:tr>
      <w:tr w:rsidR="00AE7237" w:rsidRPr="00AE7237" w:rsidTr="00AE7237">
        <w:trPr>
          <w:tblCellSpacing w:w="0" w:type="dxa"/>
        </w:trPr>
        <w:tc>
          <w:tcPr>
            <w:tcW w:w="1464"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艺术类专业、部分工科类专业、临床医学专业</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18500</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17500</w:t>
            </w:r>
          </w:p>
        </w:tc>
        <w:tc>
          <w:tcPr>
            <w:tcW w:w="2052"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11500</w:t>
            </w:r>
          </w:p>
        </w:tc>
      </w:tr>
      <w:tr w:rsidR="00AE7237" w:rsidRPr="00AE7237" w:rsidTr="00AE7237">
        <w:trPr>
          <w:tblCellSpacing w:w="0" w:type="dxa"/>
        </w:trPr>
        <w:tc>
          <w:tcPr>
            <w:tcW w:w="1464"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其他工科类专业、其他医学类专业、体育类专业、外语小语种专业</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16500</w:t>
            </w:r>
          </w:p>
        </w:tc>
        <w:tc>
          <w:tcPr>
            <w:tcW w:w="2040"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15500</w:t>
            </w:r>
          </w:p>
        </w:tc>
        <w:tc>
          <w:tcPr>
            <w:tcW w:w="2052"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color w:val="000000"/>
                <w:kern w:val="0"/>
                <w:sz w:val="24"/>
                <w:szCs w:val="24"/>
              </w:rPr>
            </w:pPr>
            <w:r w:rsidRPr="00AE7237">
              <w:rPr>
                <w:rFonts w:ascii="宋体" w:eastAsia="宋体" w:hAnsi="宋体" w:cs="宋体" w:hint="eastAsia"/>
                <w:color w:val="000000"/>
                <w:kern w:val="0"/>
                <w:sz w:val="24"/>
                <w:szCs w:val="24"/>
              </w:rPr>
              <w:t>9500</w:t>
            </w:r>
          </w:p>
        </w:tc>
      </w:tr>
    </w:tbl>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备注：</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1、上述学费标准是基准价，学校可在1500元/生.学年以内上下浮动。</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2、“艺术类专业”是指按规定通过艺术类招生的专业。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3、民办本科高校或独立学院的工科类专业</w:t>
      </w:r>
      <w:proofErr w:type="gramStart"/>
      <w:r w:rsidRPr="00AE7237">
        <w:rPr>
          <w:rFonts w:ascii="宋体" w:eastAsia="宋体" w:hAnsi="宋体" w:cs="宋体" w:hint="eastAsia"/>
          <w:color w:val="000000"/>
          <w:kern w:val="0"/>
          <w:sz w:val="24"/>
          <w:szCs w:val="24"/>
        </w:rPr>
        <w:t>是指省教育厅</w:t>
      </w:r>
      <w:proofErr w:type="gramEnd"/>
      <w:r w:rsidRPr="00AE7237">
        <w:rPr>
          <w:rFonts w:ascii="宋体" w:eastAsia="宋体" w:hAnsi="宋体" w:cs="宋体" w:hint="eastAsia"/>
          <w:color w:val="000000"/>
          <w:kern w:val="0"/>
          <w:sz w:val="24"/>
          <w:szCs w:val="24"/>
        </w:rPr>
        <w:t>规定的高校专业目录中可授予工学学位的专业(包括专业代码前二位为“08”或前一位为“8”的专业)；“部分工科类专业”为：建筑学、土木工程、工业设计、机械设计制造及其自动化、通信工程专业；“其他工科类专业”为“部分工科类专业”以外的其他工科类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4、民办职业技术学院或民办本科院校举办的高职专业的工科类专业</w:t>
      </w:r>
      <w:proofErr w:type="gramStart"/>
      <w:r w:rsidRPr="00AE7237">
        <w:rPr>
          <w:rFonts w:ascii="宋体" w:eastAsia="宋体" w:hAnsi="宋体" w:cs="宋体" w:hint="eastAsia"/>
          <w:color w:val="000000"/>
          <w:kern w:val="0"/>
          <w:sz w:val="24"/>
          <w:szCs w:val="24"/>
        </w:rPr>
        <w:t>是指省教育厅</w:t>
      </w:r>
      <w:proofErr w:type="gramEnd"/>
      <w:r w:rsidRPr="00AE7237">
        <w:rPr>
          <w:rFonts w:ascii="宋体" w:eastAsia="宋体" w:hAnsi="宋体" w:cs="宋体" w:hint="eastAsia"/>
          <w:color w:val="000000"/>
          <w:kern w:val="0"/>
          <w:sz w:val="24"/>
          <w:szCs w:val="24"/>
        </w:rPr>
        <w:t>规定的高校专业目录中专业代码前二位为“52”至“61”的专业(专业代码前四位为“5605”和“5607”的管理类专业除外)；“部分工科类专业”为：建筑设计技术、建筑工程技术、工业设计、模具设计与制造、机械制造与自动化、数控技术、汽车检测与维修技术、通信技术、移动通信技术、空中乘务专业；“其他工科类专业”为“部分工科类专业”以外的其他工科类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5、民办本科高校或独立学院的医学类专业</w:t>
      </w:r>
      <w:proofErr w:type="gramStart"/>
      <w:r w:rsidRPr="00AE7237">
        <w:rPr>
          <w:rFonts w:ascii="宋体" w:eastAsia="宋体" w:hAnsi="宋体" w:cs="宋体" w:hint="eastAsia"/>
          <w:color w:val="000000"/>
          <w:kern w:val="0"/>
          <w:sz w:val="24"/>
          <w:szCs w:val="24"/>
        </w:rPr>
        <w:t>是指省教育厅</w:t>
      </w:r>
      <w:proofErr w:type="gramEnd"/>
      <w:r w:rsidRPr="00AE7237">
        <w:rPr>
          <w:rFonts w:ascii="宋体" w:eastAsia="宋体" w:hAnsi="宋体" w:cs="宋体" w:hint="eastAsia"/>
          <w:color w:val="000000"/>
          <w:kern w:val="0"/>
          <w:sz w:val="24"/>
          <w:szCs w:val="24"/>
        </w:rPr>
        <w:t>规定的高校专业目录中专业代码前二位为“10”的专业；“临床医学专业”包括临床医学、麻醉学、医学影像学、眼视光学、医学检验专业及口腔医学、法医学、中医学、针灸推拿学专业；“其他医学类专业”为“临床医学专业”以外的其他医学类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6、民办职业技术学院或民办本科院校举办的高职专业的医学类专业</w:t>
      </w:r>
      <w:proofErr w:type="gramStart"/>
      <w:r w:rsidRPr="00AE7237">
        <w:rPr>
          <w:rFonts w:ascii="宋体" w:eastAsia="宋体" w:hAnsi="宋体" w:cs="宋体" w:hint="eastAsia"/>
          <w:color w:val="000000"/>
          <w:kern w:val="0"/>
          <w:sz w:val="24"/>
          <w:szCs w:val="24"/>
        </w:rPr>
        <w:t>是指省教育厅</w:t>
      </w:r>
      <w:proofErr w:type="gramEnd"/>
      <w:r w:rsidRPr="00AE7237">
        <w:rPr>
          <w:rFonts w:ascii="宋体" w:eastAsia="宋体" w:hAnsi="宋体" w:cs="宋体" w:hint="eastAsia"/>
          <w:color w:val="000000"/>
          <w:kern w:val="0"/>
          <w:sz w:val="24"/>
          <w:szCs w:val="24"/>
        </w:rPr>
        <w:t>规定的高校专业目录中专业代码前二位为“63”的专业(专业代码前四位为“6305”的管理类专业除外)；“临床医学专业”包括临床医学、医学影像技术、眼视光技术、医学检验技术、卫生检验与检疫技术、口腔医学、口腔医学技术专业；“其他医学类专业”为“临床医学专业”以外的其他医学类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7、“体育类专业”是指按规定通过体育类招生的专业。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8、“外语小语种专业”是指英语专业以外的其他外语专业。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9、“普通文理科专业”是指列表中后两大类以外的其他文理科专业。</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10、民办本科高校或独立学院中的专科专业分类按民办职业技术学院或民办本科院校举办的高职专业的分类执行；收费标准按民办本科高校或独立学院的收费标准执行。</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附件二</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浙江省民办高校(</w:t>
      </w:r>
      <w:proofErr w:type="gramStart"/>
      <w:r w:rsidRPr="00AE7237">
        <w:rPr>
          <w:rFonts w:ascii="宋体" w:eastAsia="宋体" w:hAnsi="宋体" w:cs="宋体" w:hint="eastAsia"/>
          <w:color w:val="000000"/>
          <w:kern w:val="0"/>
          <w:sz w:val="24"/>
          <w:szCs w:val="24"/>
        </w:rPr>
        <w:t>含独立</w:t>
      </w:r>
      <w:proofErr w:type="gramEnd"/>
      <w:r w:rsidRPr="00AE7237">
        <w:rPr>
          <w:rFonts w:ascii="宋体" w:eastAsia="宋体" w:hAnsi="宋体" w:cs="宋体" w:hint="eastAsia"/>
          <w:color w:val="000000"/>
          <w:kern w:val="0"/>
          <w:sz w:val="24"/>
          <w:szCs w:val="24"/>
        </w:rPr>
        <w:t>学院)学生宿舍住宿费标准</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单位：元/生·学年</w:t>
      </w:r>
    </w:p>
    <w:tbl>
      <w:tblPr>
        <w:tblW w:w="819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0"/>
        <w:gridCol w:w="4020"/>
      </w:tblGrid>
      <w:tr w:rsidR="00AE7237" w:rsidRPr="00AE7237" w:rsidTr="00AE7237">
        <w:trPr>
          <w:tblCellSpacing w:w="0" w:type="dxa"/>
          <w:jc w:val="center"/>
        </w:trPr>
        <w:tc>
          <w:tcPr>
            <w:tcW w:w="333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生均建筑面积</w:t>
            </w:r>
          </w:p>
        </w:tc>
        <w:tc>
          <w:tcPr>
            <w:tcW w:w="321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住宿费标准</w:t>
            </w:r>
          </w:p>
        </w:tc>
      </w:tr>
      <w:tr w:rsidR="00AE7237" w:rsidRPr="00AE7237" w:rsidTr="00AE7237">
        <w:trPr>
          <w:tblCellSpacing w:w="0" w:type="dxa"/>
          <w:jc w:val="center"/>
        </w:trPr>
        <w:tc>
          <w:tcPr>
            <w:tcW w:w="333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4M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以下(不含4M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w:t>
            </w:r>
          </w:p>
        </w:tc>
        <w:tc>
          <w:tcPr>
            <w:tcW w:w="321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800</w:t>
            </w:r>
          </w:p>
        </w:tc>
      </w:tr>
      <w:tr w:rsidR="00AE7237" w:rsidRPr="00AE7237" w:rsidTr="00AE7237">
        <w:trPr>
          <w:tblCellSpacing w:w="0" w:type="dxa"/>
          <w:jc w:val="center"/>
        </w:trPr>
        <w:tc>
          <w:tcPr>
            <w:tcW w:w="333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4-6M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(不含6M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w:t>
            </w:r>
          </w:p>
        </w:tc>
        <w:tc>
          <w:tcPr>
            <w:tcW w:w="321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1000</w:t>
            </w:r>
          </w:p>
        </w:tc>
      </w:tr>
      <w:tr w:rsidR="00AE7237" w:rsidRPr="00AE7237" w:rsidTr="00AE7237">
        <w:trPr>
          <w:tblCellSpacing w:w="0" w:type="dxa"/>
          <w:jc w:val="center"/>
        </w:trPr>
        <w:tc>
          <w:tcPr>
            <w:tcW w:w="333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6-8M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(不含8M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w:t>
            </w:r>
          </w:p>
        </w:tc>
        <w:tc>
          <w:tcPr>
            <w:tcW w:w="321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1200</w:t>
            </w:r>
          </w:p>
        </w:tc>
      </w:tr>
      <w:tr w:rsidR="00AE7237" w:rsidRPr="00AE7237" w:rsidTr="00AE7237">
        <w:trPr>
          <w:tblCellSpacing w:w="0" w:type="dxa"/>
          <w:jc w:val="center"/>
        </w:trPr>
        <w:tc>
          <w:tcPr>
            <w:tcW w:w="333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8-10M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(不含10M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w:t>
            </w:r>
          </w:p>
        </w:tc>
        <w:tc>
          <w:tcPr>
            <w:tcW w:w="321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1350</w:t>
            </w:r>
          </w:p>
        </w:tc>
      </w:tr>
      <w:tr w:rsidR="00AE7237" w:rsidRPr="00AE7237" w:rsidTr="00AE7237">
        <w:trPr>
          <w:tblCellSpacing w:w="0" w:type="dxa"/>
          <w:jc w:val="center"/>
        </w:trPr>
        <w:tc>
          <w:tcPr>
            <w:tcW w:w="333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10M</w:t>
            </w:r>
            <w:r w:rsidRPr="00AE7237">
              <w:rPr>
                <w:rFonts w:ascii="宋体" w:eastAsia="宋体" w:hAnsi="宋体" w:cs="宋体" w:hint="eastAsia"/>
                <w:kern w:val="0"/>
                <w:sz w:val="24"/>
                <w:szCs w:val="24"/>
                <w:vertAlign w:val="superscript"/>
              </w:rPr>
              <w:t>2</w:t>
            </w:r>
            <w:r w:rsidRPr="00AE7237">
              <w:rPr>
                <w:rFonts w:ascii="宋体" w:eastAsia="宋体" w:hAnsi="宋体" w:cs="宋体" w:hint="eastAsia"/>
                <w:kern w:val="0"/>
                <w:sz w:val="24"/>
                <w:szCs w:val="24"/>
              </w:rPr>
              <w:t>及以上</w:t>
            </w:r>
          </w:p>
        </w:tc>
        <w:tc>
          <w:tcPr>
            <w:tcW w:w="3216" w:type="dxa"/>
            <w:tcBorders>
              <w:top w:val="outset" w:sz="6" w:space="0" w:color="auto"/>
              <w:left w:val="outset" w:sz="6" w:space="0" w:color="auto"/>
              <w:bottom w:val="outset" w:sz="6" w:space="0" w:color="auto"/>
              <w:right w:val="outset" w:sz="6" w:space="0" w:color="auto"/>
            </w:tcBorders>
            <w:vAlign w:val="center"/>
            <w:hideMark/>
          </w:tcPr>
          <w:p w:rsidR="00AE7237" w:rsidRPr="00AE7237" w:rsidRDefault="00AE7237" w:rsidP="00AE7237">
            <w:pPr>
              <w:widowControl/>
              <w:jc w:val="left"/>
              <w:rPr>
                <w:rFonts w:ascii="宋体" w:eastAsia="宋体" w:hAnsi="宋体" w:cs="宋体"/>
                <w:kern w:val="0"/>
                <w:sz w:val="24"/>
                <w:szCs w:val="24"/>
              </w:rPr>
            </w:pPr>
            <w:r w:rsidRPr="00AE7237">
              <w:rPr>
                <w:rFonts w:ascii="宋体" w:eastAsia="宋体" w:hAnsi="宋体" w:cs="宋体" w:hint="eastAsia"/>
                <w:kern w:val="0"/>
                <w:sz w:val="24"/>
                <w:szCs w:val="24"/>
              </w:rPr>
              <w:t>1500</w:t>
            </w:r>
          </w:p>
        </w:tc>
      </w:tr>
    </w:tbl>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备注：</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1、表列住宿费标准为最高标准，学校可以下浮。</w:t>
      </w:r>
    </w:p>
    <w:p w:rsidR="00AE7237" w:rsidRPr="00AE7237" w:rsidRDefault="00AE7237" w:rsidP="00AE7237">
      <w:pPr>
        <w:widowControl/>
        <w:jc w:val="left"/>
        <w:rPr>
          <w:rFonts w:ascii="宋体" w:eastAsia="宋体" w:hAnsi="宋体" w:cs="宋体" w:hint="eastAsia"/>
          <w:color w:val="000000"/>
          <w:kern w:val="0"/>
          <w:sz w:val="18"/>
          <w:szCs w:val="18"/>
        </w:rPr>
      </w:pPr>
      <w:r w:rsidRPr="00AE7237">
        <w:rPr>
          <w:rFonts w:ascii="宋体" w:eastAsia="宋体" w:hAnsi="宋体" w:cs="宋体" w:hint="eastAsia"/>
          <w:color w:val="000000"/>
          <w:kern w:val="0"/>
          <w:sz w:val="24"/>
          <w:szCs w:val="24"/>
        </w:rPr>
        <w:t>2、收取住宿费后，学校(</w:t>
      </w:r>
      <w:proofErr w:type="gramStart"/>
      <w:r w:rsidRPr="00AE7237">
        <w:rPr>
          <w:rFonts w:ascii="宋体" w:eastAsia="宋体" w:hAnsi="宋体" w:cs="宋体" w:hint="eastAsia"/>
          <w:color w:val="000000"/>
          <w:kern w:val="0"/>
          <w:sz w:val="24"/>
          <w:szCs w:val="24"/>
        </w:rPr>
        <w:t>含提供</w:t>
      </w:r>
      <w:proofErr w:type="gramEnd"/>
      <w:r w:rsidRPr="00AE7237">
        <w:rPr>
          <w:rFonts w:ascii="宋体" w:eastAsia="宋体" w:hAnsi="宋体" w:cs="宋体" w:hint="eastAsia"/>
          <w:color w:val="000000"/>
          <w:kern w:val="0"/>
          <w:sz w:val="24"/>
          <w:szCs w:val="24"/>
        </w:rPr>
        <w:t>学生住宿服务的社会机构)应免费提供每人每天1瓶开水(已免费提供纯净水等的除外)。实行一室一表水电管理的学生宿舍，学生可免费使用每人每月3吨水和3度电，超过额度部分学校可按居民生活用水、用电价格向学生按实收费；未实行一室一表管理的，不得向学生另外收取水费、电费。</w:t>
      </w:r>
    </w:p>
    <w:p w:rsidR="004E50DB" w:rsidRPr="00AE7237" w:rsidRDefault="00315272"/>
    <w:sectPr w:rsidR="004E50DB" w:rsidRPr="00AE72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71"/>
    <w:rsid w:val="00315272"/>
    <w:rsid w:val="004E4071"/>
    <w:rsid w:val="00913380"/>
    <w:rsid w:val="00AE7237"/>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7237"/>
    <w:rPr>
      <w:b/>
      <w:bCs/>
    </w:rPr>
  </w:style>
  <w:style w:type="character" w:customStyle="1" w:styleId="apple-converted-space">
    <w:name w:val="apple-converted-space"/>
    <w:basedOn w:val="a0"/>
    <w:rsid w:val="00AE7237"/>
  </w:style>
  <w:style w:type="paragraph" w:styleId="a4">
    <w:name w:val="Normal (Web)"/>
    <w:basedOn w:val="a"/>
    <w:uiPriority w:val="99"/>
    <w:semiHidden/>
    <w:unhideWhenUsed/>
    <w:rsid w:val="00AE723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7237"/>
    <w:rPr>
      <w:b/>
      <w:bCs/>
    </w:rPr>
  </w:style>
  <w:style w:type="character" w:customStyle="1" w:styleId="apple-converted-space">
    <w:name w:val="apple-converted-space"/>
    <w:basedOn w:val="a0"/>
    <w:rsid w:val="00AE7237"/>
  </w:style>
  <w:style w:type="paragraph" w:styleId="a4">
    <w:name w:val="Normal (Web)"/>
    <w:basedOn w:val="a"/>
    <w:uiPriority w:val="99"/>
    <w:semiHidden/>
    <w:unhideWhenUsed/>
    <w:rsid w:val="00AE72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4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2017-11-24T13:24:00Z</dcterms:created>
  <dcterms:modified xsi:type="dcterms:W3CDTF">2017-11-24T13:25:00Z</dcterms:modified>
</cp:coreProperties>
</file>