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F1C" w:rsidRPr="00D61F1C" w:rsidRDefault="00D61F1C" w:rsidP="00D61F1C">
      <w:pPr>
        <w:widowControl/>
        <w:jc w:val="center"/>
        <w:rPr>
          <w:rFonts w:ascii="宋体" w:eastAsia="宋体" w:hAnsi="宋体" w:cs="宋体"/>
          <w:color w:val="000000"/>
          <w:kern w:val="0"/>
          <w:sz w:val="18"/>
          <w:szCs w:val="18"/>
        </w:rPr>
      </w:pPr>
      <w:r w:rsidRPr="00D61F1C">
        <w:rPr>
          <w:rFonts w:ascii="宋体" w:eastAsia="宋体" w:hAnsi="宋体" w:cs="宋体" w:hint="eastAsia"/>
          <w:b/>
          <w:bCs/>
          <w:color w:val="000000"/>
          <w:kern w:val="0"/>
          <w:sz w:val="45"/>
          <w:szCs w:val="45"/>
        </w:rPr>
        <w:t>浙江省物价局 浙江省财政厅 浙江省教育厅 关于规范和调整公办普通高校学费的通知 </w:t>
      </w:r>
      <w:r w:rsidRPr="00D61F1C">
        <w:rPr>
          <w:rFonts w:ascii="宋体" w:eastAsia="宋体" w:hAnsi="宋体" w:cs="宋体" w:hint="eastAsia"/>
          <w:color w:val="000000"/>
          <w:kern w:val="0"/>
          <w:sz w:val="18"/>
          <w:szCs w:val="18"/>
        </w:rPr>
        <w:br/>
        <w:t>浙价费〔2014〕240号</w:t>
      </w:r>
      <w:r w:rsidR="006A6F88">
        <w:rPr>
          <w:rFonts w:ascii="宋体" w:eastAsia="宋体" w:hAnsi="宋体" w:cs="宋体" w:hint="eastAsia"/>
          <w:color w:val="000000"/>
          <w:kern w:val="0"/>
          <w:sz w:val="18"/>
          <w:szCs w:val="18"/>
        </w:rPr>
        <w:t> </w:t>
      </w:r>
      <w:r w:rsidR="006A6F88">
        <w:rPr>
          <w:rFonts w:ascii="宋体" w:eastAsia="宋体" w:hAnsi="宋体" w:cs="宋体" w:hint="eastAsia"/>
          <w:color w:val="000000"/>
          <w:kern w:val="0"/>
          <w:sz w:val="18"/>
          <w:szCs w:val="18"/>
        </w:rPr>
        <w:br/>
      </w:r>
      <w:r w:rsidR="006A6F88">
        <w:rPr>
          <w:rFonts w:ascii="宋体" w:eastAsia="宋体" w:hAnsi="宋体" w:cs="宋体" w:hint="eastAsia"/>
          <w:color w:val="000000"/>
          <w:kern w:val="0"/>
          <w:sz w:val="18"/>
          <w:szCs w:val="18"/>
        </w:rPr>
        <w:br/>
        <w:t>   </w:t>
      </w:r>
      <w:bookmarkStart w:id="0" w:name="_GoBack"/>
      <w:bookmarkEnd w:id="0"/>
      <w:r w:rsidRPr="00D61F1C">
        <w:rPr>
          <w:rFonts w:ascii="宋体" w:eastAsia="宋体" w:hAnsi="宋体" w:cs="宋体" w:hint="eastAsia"/>
          <w:color w:val="000000"/>
          <w:kern w:val="0"/>
          <w:sz w:val="18"/>
          <w:szCs w:val="18"/>
        </w:rPr>
        <w:t>发布时间：2014-03-09    </w:t>
      </w:r>
    </w:p>
    <w:p w:rsidR="00D61F1C" w:rsidRPr="00D61F1C" w:rsidRDefault="00D61F1C" w:rsidP="00D61F1C">
      <w:pPr>
        <w:widowControl/>
        <w:jc w:val="left"/>
        <w:rPr>
          <w:rFonts w:ascii="宋体" w:eastAsia="宋体" w:hAnsi="宋体" w:cs="宋体"/>
          <w:color w:val="000000"/>
          <w:kern w:val="0"/>
          <w:sz w:val="18"/>
          <w:szCs w:val="18"/>
        </w:rPr>
      </w:pPr>
      <w:r w:rsidRPr="00D61F1C">
        <w:rPr>
          <w:rFonts w:ascii="仿宋_GB2312" w:eastAsia="仿宋_GB2312" w:hAnsi="宋体" w:cs="宋体" w:hint="eastAsia"/>
          <w:color w:val="000000"/>
          <w:kern w:val="0"/>
          <w:sz w:val="32"/>
          <w:szCs w:val="32"/>
        </w:rPr>
        <w:t>各普通高校，各市物价局、财政局、教育局：</w:t>
      </w:r>
    </w:p>
    <w:p w:rsidR="00D61F1C" w:rsidRPr="00D61F1C" w:rsidRDefault="00D61F1C" w:rsidP="00D61F1C">
      <w:pPr>
        <w:widowControl/>
        <w:ind w:firstLine="640"/>
        <w:jc w:val="left"/>
        <w:rPr>
          <w:rFonts w:ascii="宋体" w:eastAsia="宋体" w:hAnsi="宋体" w:cs="宋体"/>
          <w:color w:val="000000"/>
          <w:kern w:val="0"/>
          <w:sz w:val="18"/>
          <w:szCs w:val="18"/>
        </w:rPr>
      </w:pPr>
      <w:r w:rsidRPr="00D61F1C">
        <w:rPr>
          <w:rFonts w:ascii="仿宋_GB2312" w:eastAsia="仿宋_GB2312" w:hAnsi="宋体" w:cs="宋体" w:hint="eastAsia"/>
          <w:color w:val="000000"/>
          <w:kern w:val="0"/>
          <w:sz w:val="32"/>
          <w:szCs w:val="32"/>
        </w:rPr>
        <w:t>为进一步规范公办普通高校的收费行为，促进高等教育事业的持续健康发展，经省政府同意，决定对我省公办普通高校学费标准进行规范和适当调整。现就有关事项通知如下：</w:t>
      </w:r>
    </w:p>
    <w:p w:rsidR="00D61F1C" w:rsidRPr="00D61F1C" w:rsidRDefault="00D61F1C" w:rsidP="00D61F1C">
      <w:pPr>
        <w:widowControl/>
        <w:ind w:firstLine="640"/>
        <w:jc w:val="left"/>
        <w:rPr>
          <w:rFonts w:ascii="宋体" w:eastAsia="宋体" w:hAnsi="宋体" w:cs="宋体"/>
          <w:color w:val="000000"/>
          <w:kern w:val="0"/>
          <w:sz w:val="18"/>
          <w:szCs w:val="18"/>
        </w:rPr>
      </w:pPr>
      <w:r w:rsidRPr="00D61F1C">
        <w:rPr>
          <w:rFonts w:ascii="黑体" w:eastAsia="黑体" w:hAnsi="黑体" w:cs="宋体" w:hint="eastAsia"/>
          <w:color w:val="000000"/>
          <w:kern w:val="0"/>
          <w:sz w:val="32"/>
          <w:szCs w:val="32"/>
        </w:rPr>
        <w:t>一、改革和完善收费管理机制。</w:t>
      </w:r>
      <w:r w:rsidRPr="00D61F1C">
        <w:rPr>
          <w:rFonts w:ascii="仿宋_GB2312" w:eastAsia="仿宋_GB2312" w:hAnsi="宋体" w:cs="宋体" w:hint="eastAsia"/>
          <w:color w:val="000000"/>
          <w:kern w:val="0"/>
          <w:sz w:val="32"/>
          <w:szCs w:val="32"/>
        </w:rPr>
        <w:t>公办普通高校学费标准由省统一制定基准标准，学校可以在省定基准标准的基础上适当下浮；也可自主选择本校当年招生专业总数20%以内的专业，在基准标准的基础上，按不超过15%的上浮幅度自主制定具体学费标准，执行前抄送省物价局、省财政厅、省教育厅。公办普通高校中外合作办学学历教育的学费标准，由学校提出书面申请，报省物价局、省财政厅、省教育厅批准。</w:t>
      </w:r>
    </w:p>
    <w:p w:rsidR="00D61F1C" w:rsidRPr="00D61F1C" w:rsidRDefault="00D61F1C" w:rsidP="00D61F1C">
      <w:pPr>
        <w:widowControl/>
        <w:ind w:firstLine="640"/>
        <w:jc w:val="left"/>
        <w:rPr>
          <w:rFonts w:ascii="宋体" w:eastAsia="宋体" w:hAnsi="宋体" w:cs="宋体"/>
          <w:color w:val="000000"/>
          <w:kern w:val="0"/>
          <w:sz w:val="18"/>
          <w:szCs w:val="18"/>
        </w:rPr>
      </w:pPr>
      <w:r w:rsidRPr="00D61F1C">
        <w:rPr>
          <w:rFonts w:ascii="黑体" w:eastAsia="黑体" w:hAnsi="黑体" w:cs="宋体" w:hint="eastAsia"/>
          <w:color w:val="000000"/>
          <w:kern w:val="0"/>
          <w:sz w:val="32"/>
          <w:szCs w:val="32"/>
        </w:rPr>
        <w:t>二、规范学校和专业分类。</w:t>
      </w:r>
      <w:r w:rsidRPr="00D61F1C">
        <w:rPr>
          <w:rFonts w:ascii="仿宋_GB2312" w:eastAsia="仿宋_GB2312" w:hAnsi="宋体" w:cs="宋体" w:hint="eastAsia"/>
          <w:color w:val="000000"/>
          <w:kern w:val="0"/>
          <w:sz w:val="32"/>
          <w:szCs w:val="32"/>
        </w:rPr>
        <w:t>公办普通高校按“浙江大学”、“普通大学”、“高职院校”三类制定学费标准；各类专业的学费标准，按照“艺术类专业”、“工科类、医学类专业”、“农林类专业”、“其他专业”四类分别制定。</w:t>
      </w:r>
    </w:p>
    <w:p w:rsidR="00D61F1C" w:rsidRPr="00D61F1C" w:rsidRDefault="00D61F1C" w:rsidP="00D61F1C">
      <w:pPr>
        <w:widowControl/>
        <w:ind w:firstLine="640"/>
        <w:jc w:val="left"/>
        <w:rPr>
          <w:rFonts w:ascii="宋体" w:eastAsia="宋体" w:hAnsi="宋体" w:cs="宋体"/>
          <w:color w:val="000000"/>
          <w:kern w:val="0"/>
          <w:sz w:val="18"/>
          <w:szCs w:val="18"/>
        </w:rPr>
      </w:pPr>
      <w:r w:rsidRPr="00D61F1C">
        <w:rPr>
          <w:rFonts w:ascii="黑体" w:eastAsia="黑体" w:hAnsi="黑体" w:cs="宋体" w:hint="eastAsia"/>
          <w:color w:val="000000"/>
          <w:kern w:val="0"/>
          <w:sz w:val="32"/>
          <w:szCs w:val="32"/>
        </w:rPr>
        <w:t>三、适当调整学费标准。</w:t>
      </w:r>
      <w:r w:rsidRPr="00D61F1C">
        <w:rPr>
          <w:rFonts w:ascii="仿宋_GB2312" w:eastAsia="仿宋_GB2312" w:hAnsi="宋体" w:cs="宋体" w:hint="eastAsia"/>
          <w:color w:val="000000"/>
          <w:kern w:val="0"/>
          <w:sz w:val="32"/>
          <w:szCs w:val="32"/>
        </w:rPr>
        <w:t>按照“综合考虑办学成本、财政拨款情况、本省的经济发展水平、学生家长的承受能力和市场对人才的需求，合理调整专业分类，适当扩大高校收费自主权”的原则，适当调整全日制公办普通高校学历教育的学费标准。调整后的公办普通高校学费标准详见附件。</w:t>
      </w:r>
    </w:p>
    <w:p w:rsidR="00D61F1C" w:rsidRPr="00D61F1C" w:rsidRDefault="00D61F1C" w:rsidP="00D61F1C">
      <w:pPr>
        <w:widowControl/>
        <w:ind w:firstLine="640"/>
        <w:jc w:val="left"/>
        <w:rPr>
          <w:rFonts w:ascii="宋体" w:eastAsia="宋体" w:hAnsi="宋体" w:cs="宋体"/>
          <w:color w:val="000000"/>
          <w:kern w:val="0"/>
          <w:sz w:val="18"/>
          <w:szCs w:val="18"/>
        </w:rPr>
      </w:pPr>
      <w:r w:rsidRPr="00D61F1C">
        <w:rPr>
          <w:rFonts w:ascii="仿宋_GB2312" w:eastAsia="仿宋_GB2312" w:hAnsi="宋体" w:cs="宋体" w:hint="eastAsia"/>
          <w:color w:val="000000"/>
          <w:kern w:val="0"/>
          <w:sz w:val="32"/>
          <w:szCs w:val="32"/>
        </w:rPr>
        <w:t>对就读省内本科院校农学类专业和高职（高专）农业种养技术专业的本省户籍学生，继续实行免交学费政策。</w:t>
      </w:r>
    </w:p>
    <w:p w:rsidR="00D61F1C" w:rsidRPr="00D61F1C" w:rsidRDefault="00D61F1C" w:rsidP="00D61F1C">
      <w:pPr>
        <w:widowControl/>
        <w:ind w:firstLine="640"/>
        <w:jc w:val="left"/>
        <w:rPr>
          <w:rFonts w:ascii="宋体" w:eastAsia="宋体" w:hAnsi="宋体" w:cs="宋体"/>
          <w:color w:val="000000"/>
          <w:kern w:val="0"/>
          <w:sz w:val="18"/>
          <w:szCs w:val="18"/>
        </w:rPr>
      </w:pPr>
      <w:r w:rsidRPr="00D61F1C">
        <w:rPr>
          <w:rFonts w:ascii="仿宋_GB2312" w:eastAsia="仿宋_GB2312" w:hAnsi="宋体" w:cs="宋体" w:hint="eastAsia"/>
          <w:color w:val="000000"/>
          <w:kern w:val="0"/>
          <w:sz w:val="32"/>
          <w:szCs w:val="32"/>
        </w:rPr>
        <w:t>学费调整实行“老生老办法、新生新办法”。调整后的公办普通高校学费标准自2015年秋季招收的新生开始执行。</w:t>
      </w:r>
    </w:p>
    <w:p w:rsidR="00D61F1C" w:rsidRPr="00D61F1C" w:rsidRDefault="00D61F1C" w:rsidP="00D61F1C">
      <w:pPr>
        <w:widowControl/>
        <w:ind w:firstLine="640"/>
        <w:jc w:val="left"/>
        <w:rPr>
          <w:rFonts w:ascii="宋体" w:eastAsia="宋体" w:hAnsi="宋体" w:cs="宋体"/>
          <w:color w:val="000000"/>
          <w:kern w:val="0"/>
          <w:sz w:val="18"/>
          <w:szCs w:val="18"/>
        </w:rPr>
      </w:pPr>
      <w:r w:rsidRPr="00D61F1C">
        <w:rPr>
          <w:rFonts w:ascii="黑体" w:eastAsia="黑体" w:hAnsi="黑体" w:cs="宋体" w:hint="eastAsia"/>
          <w:color w:val="000000"/>
          <w:kern w:val="0"/>
          <w:sz w:val="32"/>
          <w:szCs w:val="32"/>
        </w:rPr>
        <w:t>四、落实有关奖励资助政策。</w:t>
      </w:r>
      <w:r w:rsidRPr="00D61F1C">
        <w:rPr>
          <w:rFonts w:ascii="仿宋_GB2312" w:eastAsia="仿宋_GB2312" w:hAnsi="宋体" w:cs="宋体" w:hint="eastAsia"/>
          <w:color w:val="000000"/>
          <w:kern w:val="0"/>
          <w:sz w:val="32"/>
          <w:szCs w:val="32"/>
        </w:rPr>
        <w:t>按照建立公共财政体制的要求，加大财政投入，建立以政府为主导的家庭经济困难学生资助政策体系。各高校要严格落实国家和省对家庭困难学生的奖励资助政策，要按规定从事业收入中足额提取4%的经费，专项用于对家庭经济困难学生采取奖、贷、助、补、减等多种方式进行资助，采取减免学费、发放特殊困难补助、开辟入学“绿色通道”等方式，加大对家庭经济困难学生的资助力度，切实帮助家庭经济困难学生解决实际问题，确保其不因家庭经济困难影响入学或中止学业。</w:t>
      </w:r>
    </w:p>
    <w:p w:rsidR="00D61F1C" w:rsidRPr="00D61F1C" w:rsidRDefault="00D61F1C" w:rsidP="00D61F1C">
      <w:pPr>
        <w:widowControl/>
        <w:ind w:firstLine="640"/>
        <w:jc w:val="left"/>
        <w:rPr>
          <w:rFonts w:ascii="宋体" w:eastAsia="宋体" w:hAnsi="宋体" w:cs="宋体"/>
          <w:color w:val="000000"/>
          <w:kern w:val="0"/>
          <w:sz w:val="18"/>
          <w:szCs w:val="18"/>
        </w:rPr>
      </w:pPr>
      <w:r w:rsidRPr="00D61F1C">
        <w:rPr>
          <w:rFonts w:ascii="黑体" w:eastAsia="黑体" w:hAnsi="黑体" w:cs="宋体" w:hint="eastAsia"/>
          <w:color w:val="000000"/>
          <w:kern w:val="0"/>
          <w:sz w:val="32"/>
          <w:szCs w:val="32"/>
        </w:rPr>
        <w:t>五、加强教育收费管理。</w:t>
      </w:r>
      <w:r w:rsidRPr="00D61F1C">
        <w:rPr>
          <w:rFonts w:ascii="仿宋_GB2312" w:eastAsia="仿宋_GB2312" w:hAnsi="宋体" w:cs="宋体" w:hint="eastAsia"/>
          <w:color w:val="000000"/>
          <w:kern w:val="0"/>
          <w:sz w:val="32"/>
          <w:szCs w:val="32"/>
        </w:rPr>
        <w:t>各高校要加强教育收费管理，建立健全收费管理制度，严格执行教育收费公示制度，自觉规范收费行为。价格、财政、教育主管部门要加强对学校收费政策执行情况和收费行为的监督检查，严禁以各种名目变相提高收费标准或收取其他费用。</w:t>
      </w:r>
    </w:p>
    <w:p w:rsidR="00D61F1C" w:rsidRPr="00D61F1C" w:rsidRDefault="00D61F1C" w:rsidP="00D61F1C">
      <w:pPr>
        <w:widowControl/>
        <w:ind w:firstLine="640"/>
        <w:jc w:val="left"/>
        <w:rPr>
          <w:rFonts w:ascii="宋体" w:eastAsia="宋体" w:hAnsi="宋体" w:cs="宋体"/>
          <w:color w:val="000000"/>
          <w:kern w:val="0"/>
          <w:sz w:val="18"/>
          <w:szCs w:val="18"/>
        </w:rPr>
      </w:pPr>
      <w:r w:rsidRPr="00D61F1C">
        <w:rPr>
          <w:rFonts w:ascii="黑体" w:eastAsia="黑体" w:hAnsi="黑体" w:cs="宋体" w:hint="eastAsia"/>
          <w:color w:val="000000"/>
          <w:kern w:val="0"/>
          <w:sz w:val="32"/>
          <w:szCs w:val="32"/>
        </w:rPr>
        <w:t>六、认真做好宣传解释工作。</w:t>
      </w:r>
      <w:r w:rsidRPr="00D61F1C">
        <w:rPr>
          <w:rFonts w:ascii="仿宋_GB2312" w:eastAsia="仿宋_GB2312" w:hAnsi="宋体" w:cs="宋体" w:hint="eastAsia"/>
          <w:color w:val="000000"/>
          <w:kern w:val="0"/>
          <w:sz w:val="32"/>
          <w:szCs w:val="32"/>
        </w:rPr>
        <w:t>各级价格、财政、教育和各有关高校要认真做好学费调整的宣传解释工作，积极宣传学费调整对规范高校收费行为、保障学校和学生合法权益、深化高校改革和结构调整、促进教育事业健康发展的重要意义，对有关问题和疑问做好解释工作。要加强组织领导，确保学费调整工作的顺利实施。</w:t>
      </w:r>
    </w:p>
    <w:p w:rsidR="00D61F1C" w:rsidRPr="00D61F1C" w:rsidRDefault="00D61F1C" w:rsidP="00D61F1C">
      <w:pPr>
        <w:widowControl/>
        <w:ind w:firstLine="640"/>
        <w:jc w:val="left"/>
        <w:rPr>
          <w:rFonts w:ascii="宋体" w:eastAsia="宋体" w:hAnsi="宋体" w:cs="宋体"/>
          <w:color w:val="000000"/>
          <w:kern w:val="0"/>
          <w:sz w:val="18"/>
          <w:szCs w:val="18"/>
        </w:rPr>
      </w:pPr>
      <w:r w:rsidRPr="00D61F1C">
        <w:rPr>
          <w:rFonts w:ascii="仿宋_GB2312" w:eastAsia="仿宋_GB2312" w:hAnsi="宋体" w:cs="宋体" w:hint="eastAsia"/>
          <w:color w:val="000000"/>
          <w:kern w:val="0"/>
          <w:sz w:val="32"/>
          <w:szCs w:val="32"/>
        </w:rPr>
        <w:t>附件：浙江省公办普通高校学费标准</w:t>
      </w:r>
    </w:p>
    <w:p w:rsidR="00D61F1C" w:rsidRPr="00D61F1C" w:rsidRDefault="00D61F1C" w:rsidP="00D61F1C">
      <w:pPr>
        <w:widowControl/>
        <w:jc w:val="center"/>
        <w:rPr>
          <w:rFonts w:ascii="宋体" w:eastAsia="宋体" w:hAnsi="宋体" w:cs="宋体"/>
          <w:color w:val="000000"/>
          <w:kern w:val="0"/>
          <w:sz w:val="18"/>
          <w:szCs w:val="18"/>
        </w:rPr>
      </w:pPr>
      <w:r w:rsidRPr="00D61F1C">
        <w:rPr>
          <w:rFonts w:ascii="方正小标宋简体" w:eastAsia="方正小标宋简体" w:hAnsi="宋体" w:cs="宋体" w:hint="eastAsia"/>
          <w:color w:val="000000"/>
          <w:kern w:val="0"/>
          <w:sz w:val="36"/>
          <w:szCs w:val="36"/>
        </w:rPr>
        <w:t>浙江省公办普通高校学费标准</w:t>
      </w:r>
    </w:p>
    <w:p w:rsidR="00D61F1C" w:rsidRPr="00D61F1C" w:rsidRDefault="00D61F1C" w:rsidP="00D61F1C">
      <w:pPr>
        <w:widowControl/>
        <w:ind w:firstLine="480"/>
        <w:jc w:val="left"/>
        <w:rPr>
          <w:rFonts w:ascii="宋体" w:eastAsia="宋体" w:hAnsi="宋体" w:cs="宋体"/>
          <w:color w:val="000000"/>
          <w:kern w:val="0"/>
          <w:sz w:val="18"/>
          <w:szCs w:val="18"/>
        </w:rPr>
      </w:pPr>
      <w:r w:rsidRPr="00D61F1C">
        <w:rPr>
          <w:rFonts w:ascii="新宋体" w:eastAsia="新宋体" w:hAnsi="新宋体" w:cs="宋体" w:hint="eastAsia"/>
          <w:color w:val="000000"/>
          <w:kern w:val="0"/>
          <w:sz w:val="24"/>
          <w:szCs w:val="24"/>
        </w:rPr>
        <w:t>计费单位：元/生.学年</w:t>
      </w: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980"/>
        <w:gridCol w:w="1524"/>
        <w:gridCol w:w="1524"/>
        <w:gridCol w:w="1524"/>
      </w:tblGrid>
      <w:tr w:rsidR="00D61F1C" w:rsidRPr="00D61F1C" w:rsidTr="00D61F1C">
        <w:trPr>
          <w:tblCellSpacing w:w="0" w:type="dxa"/>
          <w:jc w:val="center"/>
        </w:trPr>
        <w:tc>
          <w:tcPr>
            <w:tcW w:w="1980" w:type="dxa"/>
            <w:tcBorders>
              <w:top w:val="single" w:sz="8" w:space="0" w:color="000000"/>
              <w:left w:val="single" w:sz="8" w:space="0" w:color="000000"/>
              <w:bottom w:val="single" w:sz="8" w:space="0" w:color="000000"/>
              <w:right w:val="single" w:sz="8"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b/>
                <w:bCs/>
                <w:kern w:val="0"/>
                <w:sz w:val="24"/>
                <w:szCs w:val="24"/>
              </w:rPr>
              <w:t>类 别</w:t>
            </w:r>
          </w:p>
        </w:tc>
        <w:tc>
          <w:tcPr>
            <w:tcW w:w="1524" w:type="dxa"/>
            <w:tcBorders>
              <w:top w:val="single" w:sz="8" w:space="0" w:color="000000"/>
              <w:left w:val="single" w:sz="8" w:space="0" w:color="000000"/>
              <w:bottom w:val="single" w:sz="8" w:space="0" w:color="000000"/>
              <w:right w:val="single" w:sz="8"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b/>
                <w:bCs/>
                <w:kern w:val="0"/>
                <w:sz w:val="24"/>
                <w:szCs w:val="24"/>
              </w:rPr>
              <w:t>浙江大学</w:t>
            </w:r>
          </w:p>
        </w:tc>
        <w:tc>
          <w:tcPr>
            <w:tcW w:w="1524" w:type="dxa"/>
            <w:tcBorders>
              <w:top w:val="single" w:sz="8" w:space="0" w:color="000000"/>
              <w:left w:val="single" w:sz="8" w:space="0" w:color="000000"/>
              <w:bottom w:val="single" w:sz="8" w:space="0" w:color="000000"/>
              <w:right w:val="single" w:sz="8"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b/>
                <w:bCs/>
                <w:kern w:val="0"/>
                <w:sz w:val="24"/>
                <w:szCs w:val="24"/>
              </w:rPr>
              <w:t>普通大学</w:t>
            </w:r>
          </w:p>
        </w:tc>
        <w:tc>
          <w:tcPr>
            <w:tcW w:w="1524" w:type="dxa"/>
            <w:tcBorders>
              <w:top w:val="single" w:sz="8" w:space="0" w:color="000000"/>
              <w:left w:val="single" w:sz="8" w:space="0" w:color="000000"/>
              <w:bottom w:val="single" w:sz="8" w:space="0" w:color="000000"/>
              <w:right w:val="single" w:sz="8"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b/>
                <w:bCs/>
                <w:kern w:val="0"/>
                <w:sz w:val="24"/>
                <w:szCs w:val="24"/>
              </w:rPr>
              <w:t>高职院校</w:t>
            </w:r>
          </w:p>
        </w:tc>
      </w:tr>
      <w:tr w:rsidR="00D61F1C" w:rsidRPr="00D61F1C" w:rsidTr="00D61F1C">
        <w:trPr>
          <w:tblCellSpacing w:w="0" w:type="dxa"/>
          <w:jc w:val="center"/>
        </w:trPr>
        <w:tc>
          <w:tcPr>
            <w:tcW w:w="1980" w:type="dxa"/>
            <w:tcBorders>
              <w:top w:val="single" w:sz="8" w:space="0" w:color="000000"/>
              <w:left w:val="single" w:sz="8" w:space="0" w:color="000000"/>
              <w:bottom w:val="single" w:sz="8" w:space="0" w:color="000000"/>
              <w:right w:val="single" w:sz="8" w:space="0" w:color="000000"/>
            </w:tcBorders>
            <w:vAlign w:val="center"/>
            <w:hideMark/>
          </w:tcPr>
          <w:p w:rsidR="00D61F1C" w:rsidRPr="00D61F1C" w:rsidRDefault="00D61F1C" w:rsidP="00D61F1C">
            <w:pPr>
              <w:widowControl/>
              <w:jc w:val="left"/>
              <w:rPr>
                <w:rFonts w:ascii="宋体" w:eastAsia="宋体" w:hAnsi="宋体" w:cs="宋体"/>
                <w:kern w:val="0"/>
                <w:sz w:val="24"/>
                <w:szCs w:val="24"/>
              </w:rPr>
            </w:pPr>
            <w:r w:rsidRPr="00D61F1C">
              <w:rPr>
                <w:rFonts w:ascii="宋体" w:eastAsia="宋体" w:hAnsi="宋体" w:cs="宋体" w:hint="eastAsia"/>
                <w:kern w:val="0"/>
                <w:sz w:val="24"/>
                <w:szCs w:val="24"/>
              </w:rPr>
              <w:t>艺术类专业</w:t>
            </w:r>
          </w:p>
        </w:tc>
        <w:tc>
          <w:tcPr>
            <w:tcW w:w="1524" w:type="dxa"/>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kern w:val="0"/>
                <w:sz w:val="24"/>
                <w:szCs w:val="24"/>
              </w:rPr>
              <w:t>9000</w:t>
            </w:r>
          </w:p>
        </w:tc>
        <w:tc>
          <w:tcPr>
            <w:tcW w:w="1524" w:type="dxa"/>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kern w:val="0"/>
                <w:sz w:val="24"/>
                <w:szCs w:val="24"/>
              </w:rPr>
              <w:t>9000</w:t>
            </w:r>
          </w:p>
        </w:tc>
        <w:tc>
          <w:tcPr>
            <w:tcW w:w="1524" w:type="dxa"/>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kern w:val="0"/>
                <w:sz w:val="24"/>
                <w:szCs w:val="24"/>
              </w:rPr>
              <w:t>9000</w:t>
            </w:r>
          </w:p>
        </w:tc>
      </w:tr>
      <w:tr w:rsidR="00D61F1C" w:rsidRPr="00D61F1C" w:rsidTr="00D61F1C">
        <w:trPr>
          <w:tblCellSpacing w:w="0" w:type="dxa"/>
          <w:jc w:val="center"/>
        </w:trPr>
        <w:tc>
          <w:tcPr>
            <w:tcW w:w="1980" w:type="dxa"/>
            <w:tcBorders>
              <w:top w:val="single" w:sz="8" w:space="0" w:color="000000"/>
              <w:left w:val="single" w:sz="8" w:space="0" w:color="000000"/>
              <w:bottom w:val="single" w:sz="8" w:space="0" w:color="000000"/>
              <w:right w:val="single" w:sz="8" w:space="0" w:color="000000"/>
            </w:tcBorders>
            <w:vAlign w:val="center"/>
            <w:hideMark/>
          </w:tcPr>
          <w:p w:rsidR="00D61F1C" w:rsidRPr="00D61F1C" w:rsidRDefault="00D61F1C" w:rsidP="00D61F1C">
            <w:pPr>
              <w:widowControl/>
              <w:jc w:val="left"/>
              <w:rPr>
                <w:rFonts w:ascii="宋体" w:eastAsia="宋体" w:hAnsi="宋体" w:cs="宋体"/>
                <w:kern w:val="0"/>
                <w:sz w:val="24"/>
                <w:szCs w:val="24"/>
              </w:rPr>
            </w:pPr>
            <w:r w:rsidRPr="00D61F1C">
              <w:rPr>
                <w:rFonts w:ascii="宋体" w:eastAsia="宋体" w:hAnsi="宋体" w:cs="宋体" w:hint="eastAsia"/>
                <w:kern w:val="0"/>
                <w:sz w:val="24"/>
                <w:szCs w:val="24"/>
              </w:rPr>
              <w:t>工科类、医学类专业</w:t>
            </w:r>
          </w:p>
        </w:tc>
        <w:tc>
          <w:tcPr>
            <w:tcW w:w="1524" w:type="dxa"/>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kern w:val="0"/>
                <w:sz w:val="24"/>
                <w:szCs w:val="24"/>
              </w:rPr>
              <w:t>6000</w:t>
            </w:r>
          </w:p>
        </w:tc>
        <w:tc>
          <w:tcPr>
            <w:tcW w:w="1524" w:type="dxa"/>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kern w:val="0"/>
                <w:sz w:val="24"/>
                <w:szCs w:val="24"/>
              </w:rPr>
              <w:t>5500</w:t>
            </w:r>
          </w:p>
        </w:tc>
        <w:tc>
          <w:tcPr>
            <w:tcW w:w="1524" w:type="dxa"/>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kern w:val="0"/>
                <w:sz w:val="24"/>
                <w:szCs w:val="24"/>
              </w:rPr>
              <w:t>6600</w:t>
            </w:r>
          </w:p>
        </w:tc>
      </w:tr>
      <w:tr w:rsidR="00D61F1C" w:rsidRPr="00D61F1C" w:rsidTr="00D61F1C">
        <w:trPr>
          <w:tblCellSpacing w:w="0" w:type="dxa"/>
          <w:jc w:val="center"/>
        </w:trPr>
        <w:tc>
          <w:tcPr>
            <w:tcW w:w="1980" w:type="dxa"/>
            <w:tcBorders>
              <w:top w:val="single" w:sz="8" w:space="0" w:color="000000"/>
              <w:left w:val="single" w:sz="8" w:space="0" w:color="000000"/>
              <w:bottom w:val="single" w:sz="8" w:space="0" w:color="000000"/>
              <w:right w:val="single" w:sz="8" w:space="0" w:color="000000"/>
            </w:tcBorders>
            <w:vAlign w:val="center"/>
            <w:hideMark/>
          </w:tcPr>
          <w:p w:rsidR="00D61F1C" w:rsidRPr="00D61F1C" w:rsidRDefault="00D61F1C" w:rsidP="00D61F1C">
            <w:pPr>
              <w:widowControl/>
              <w:jc w:val="left"/>
              <w:rPr>
                <w:rFonts w:ascii="宋体" w:eastAsia="宋体" w:hAnsi="宋体" w:cs="宋体"/>
                <w:kern w:val="0"/>
                <w:sz w:val="24"/>
                <w:szCs w:val="24"/>
              </w:rPr>
            </w:pPr>
            <w:r w:rsidRPr="00D61F1C">
              <w:rPr>
                <w:rFonts w:ascii="宋体" w:eastAsia="宋体" w:hAnsi="宋体" w:cs="宋体" w:hint="eastAsia"/>
                <w:kern w:val="0"/>
                <w:sz w:val="24"/>
                <w:szCs w:val="24"/>
              </w:rPr>
              <w:t>农林类专业</w:t>
            </w:r>
          </w:p>
        </w:tc>
        <w:tc>
          <w:tcPr>
            <w:tcW w:w="1524" w:type="dxa"/>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kern w:val="0"/>
                <w:sz w:val="24"/>
                <w:szCs w:val="24"/>
              </w:rPr>
              <w:t>5500</w:t>
            </w:r>
          </w:p>
        </w:tc>
        <w:tc>
          <w:tcPr>
            <w:tcW w:w="1524" w:type="dxa"/>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kern w:val="0"/>
                <w:sz w:val="24"/>
                <w:szCs w:val="24"/>
              </w:rPr>
              <w:t>5000</w:t>
            </w:r>
          </w:p>
        </w:tc>
        <w:tc>
          <w:tcPr>
            <w:tcW w:w="1524" w:type="dxa"/>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kern w:val="0"/>
                <w:sz w:val="24"/>
                <w:szCs w:val="24"/>
              </w:rPr>
              <w:t>6300</w:t>
            </w:r>
          </w:p>
        </w:tc>
      </w:tr>
      <w:tr w:rsidR="00D61F1C" w:rsidRPr="00D61F1C" w:rsidTr="00D61F1C">
        <w:trPr>
          <w:tblCellSpacing w:w="0" w:type="dxa"/>
          <w:jc w:val="center"/>
        </w:trPr>
        <w:tc>
          <w:tcPr>
            <w:tcW w:w="1980" w:type="dxa"/>
            <w:tcBorders>
              <w:top w:val="single" w:sz="8" w:space="0" w:color="000000"/>
              <w:left w:val="single" w:sz="8" w:space="0" w:color="000000"/>
              <w:bottom w:val="single" w:sz="8" w:space="0" w:color="000000"/>
              <w:right w:val="single" w:sz="8" w:space="0" w:color="000000"/>
            </w:tcBorders>
            <w:vAlign w:val="center"/>
            <w:hideMark/>
          </w:tcPr>
          <w:p w:rsidR="00D61F1C" w:rsidRPr="00D61F1C" w:rsidRDefault="00D61F1C" w:rsidP="00D61F1C">
            <w:pPr>
              <w:widowControl/>
              <w:jc w:val="left"/>
              <w:rPr>
                <w:rFonts w:ascii="宋体" w:eastAsia="宋体" w:hAnsi="宋体" w:cs="宋体"/>
                <w:kern w:val="0"/>
                <w:sz w:val="24"/>
                <w:szCs w:val="24"/>
              </w:rPr>
            </w:pPr>
            <w:r w:rsidRPr="00D61F1C">
              <w:rPr>
                <w:rFonts w:ascii="宋体" w:eastAsia="宋体" w:hAnsi="宋体" w:cs="宋体" w:hint="eastAsia"/>
                <w:kern w:val="0"/>
                <w:sz w:val="24"/>
                <w:szCs w:val="24"/>
              </w:rPr>
              <w:t>其他专业</w:t>
            </w:r>
          </w:p>
        </w:tc>
        <w:tc>
          <w:tcPr>
            <w:tcW w:w="1524" w:type="dxa"/>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kern w:val="0"/>
                <w:sz w:val="24"/>
                <w:szCs w:val="24"/>
              </w:rPr>
              <w:t>5300</w:t>
            </w:r>
          </w:p>
        </w:tc>
        <w:tc>
          <w:tcPr>
            <w:tcW w:w="1524" w:type="dxa"/>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kern w:val="0"/>
                <w:sz w:val="24"/>
                <w:szCs w:val="24"/>
              </w:rPr>
              <w:t>4800</w:t>
            </w:r>
          </w:p>
        </w:tc>
        <w:tc>
          <w:tcPr>
            <w:tcW w:w="1524" w:type="dxa"/>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宋体" w:eastAsia="宋体" w:hAnsi="宋体" w:cs="宋体" w:hint="eastAsia"/>
                <w:kern w:val="0"/>
                <w:sz w:val="24"/>
                <w:szCs w:val="24"/>
              </w:rPr>
              <w:t>6000</w:t>
            </w:r>
          </w:p>
        </w:tc>
      </w:tr>
      <w:tr w:rsidR="00D61F1C" w:rsidRPr="00D61F1C" w:rsidTr="00D61F1C">
        <w:trPr>
          <w:tblCellSpacing w:w="0" w:type="dxa"/>
          <w:jc w:val="center"/>
        </w:trPr>
        <w:tc>
          <w:tcPr>
            <w:tcW w:w="6552" w:type="dxa"/>
            <w:gridSpan w:val="4"/>
            <w:tcBorders>
              <w:top w:val="single" w:sz="8" w:space="0" w:color="000000"/>
              <w:left w:val="single" w:sz="8" w:space="0" w:color="000000"/>
              <w:bottom w:val="single" w:sz="8" w:space="0" w:color="000000"/>
              <w:right w:val="single" w:sz="8" w:space="0" w:color="000000"/>
            </w:tcBorders>
            <w:vAlign w:val="center"/>
            <w:hideMark/>
          </w:tcPr>
          <w:p w:rsidR="00D61F1C" w:rsidRPr="00D61F1C" w:rsidRDefault="00D61F1C" w:rsidP="00D61F1C">
            <w:pPr>
              <w:widowControl/>
              <w:jc w:val="left"/>
              <w:rPr>
                <w:rFonts w:ascii="宋体" w:eastAsia="宋体" w:hAnsi="宋体" w:cs="宋体"/>
                <w:kern w:val="0"/>
                <w:sz w:val="24"/>
                <w:szCs w:val="24"/>
              </w:rPr>
            </w:pPr>
            <w:r w:rsidRPr="00D61F1C">
              <w:rPr>
                <w:rFonts w:ascii="新宋体" w:eastAsia="新宋体" w:hAnsi="新宋体" w:cs="宋体" w:hint="eastAsia"/>
                <w:b/>
                <w:bCs/>
                <w:kern w:val="0"/>
                <w:sz w:val="28"/>
                <w:szCs w:val="28"/>
              </w:rPr>
              <w:t>中国美术学院</w:t>
            </w:r>
          </w:p>
        </w:tc>
      </w:tr>
      <w:tr w:rsidR="00D61F1C" w:rsidRPr="00D61F1C" w:rsidTr="00D61F1C">
        <w:trPr>
          <w:tblCellSpacing w:w="0" w:type="dxa"/>
          <w:jc w:val="center"/>
        </w:trPr>
        <w:tc>
          <w:tcPr>
            <w:tcW w:w="1980" w:type="dxa"/>
            <w:tcBorders>
              <w:top w:val="single" w:sz="8" w:space="0" w:color="000000"/>
              <w:left w:val="single" w:sz="8" w:space="0" w:color="000000"/>
              <w:bottom w:val="single" w:sz="8" w:space="0" w:color="000000"/>
              <w:right w:val="single" w:sz="8" w:space="0" w:color="000000"/>
            </w:tcBorders>
            <w:vAlign w:val="center"/>
            <w:hideMark/>
          </w:tcPr>
          <w:p w:rsidR="00D61F1C" w:rsidRPr="00D61F1C" w:rsidRDefault="00D61F1C" w:rsidP="00D61F1C">
            <w:pPr>
              <w:widowControl/>
              <w:jc w:val="left"/>
              <w:rPr>
                <w:rFonts w:ascii="宋体" w:eastAsia="宋体" w:hAnsi="宋体" w:cs="宋体"/>
                <w:kern w:val="0"/>
                <w:sz w:val="24"/>
                <w:szCs w:val="24"/>
              </w:rPr>
            </w:pPr>
            <w:r w:rsidRPr="00D61F1C">
              <w:rPr>
                <w:rFonts w:ascii="新宋体" w:eastAsia="新宋体" w:hAnsi="新宋体" w:cs="宋体" w:hint="eastAsia"/>
                <w:kern w:val="0"/>
                <w:sz w:val="24"/>
                <w:szCs w:val="24"/>
              </w:rPr>
              <w:t>绘画、设计类专业</w:t>
            </w:r>
          </w:p>
        </w:tc>
        <w:tc>
          <w:tcPr>
            <w:tcW w:w="4572" w:type="dxa"/>
            <w:gridSpan w:val="3"/>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新宋体" w:eastAsia="新宋体" w:hAnsi="新宋体" w:cs="宋体" w:hint="eastAsia"/>
                <w:kern w:val="0"/>
                <w:sz w:val="24"/>
                <w:szCs w:val="24"/>
              </w:rPr>
              <w:t>18000</w:t>
            </w:r>
          </w:p>
        </w:tc>
      </w:tr>
      <w:tr w:rsidR="00D61F1C" w:rsidRPr="00D61F1C" w:rsidTr="00D61F1C">
        <w:trPr>
          <w:tblCellSpacing w:w="0" w:type="dxa"/>
          <w:jc w:val="center"/>
        </w:trPr>
        <w:tc>
          <w:tcPr>
            <w:tcW w:w="1980" w:type="dxa"/>
            <w:tcBorders>
              <w:top w:val="single" w:sz="8" w:space="0" w:color="000000"/>
              <w:left w:val="single" w:sz="8" w:space="0" w:color="000000"/>
              <w:bottom w:val="single" w:sz="8" w:space="0" w:color="000000"/>
              <w:right w:val="single" w:sz="8" w:space="0" w:color="000000"/>
            </w:tcBorders>
            <w:vAlign w:val="center"/>
            <w:hideMark/>
          </w:tcPr>
          <w:p w:rsidR="00D61F1C" w:rsidRPr="00D61F1C" w:rsidRDefault="00D61F1C" w:rsidP="00D61F1C">
            <w:pPr>
              <w:widowControl/>
              <w:jc w:val="left"/>
              <w:rPr>
                <w:rFonts w:ascii="宋体" w:eastAsia="宋体" w:hAnsi="宋体" w:cs="宋体"/>
                <w:kern w:val="0"/>
                <w:sz w:val="24"/>
                <w:szCs w:val="24"/>
              </w:rPr>
            </w:pPr>
            <w:r w:rsidRPr="00D61F1C">
              <w:rPr>
                <w:rFonts w:ascii="新宋体" w:eastAsia="新宋体" w:hAnsi="新宋体" w:cs="宋体" w:hint="eastAsia"/>
                <w:kern w:val="0"/>
                <w:sz w:val="24"/>
                <w:szCs w:val="24"/>
              </w:rPr>
              <w:t>艺术理论专业</w:t>
            </w:r>
          </w:p>
        </w:tc>
        <w:tc>
          <w:tcPr>
            <w:tcW w:w="4572" w:type="dxa"/>
            <w:gridSpan w:val="3"/>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新宋体" w:eastAsia="新宋体" w:hAnsi="新宋体" w:cs="宋体" w:hint="eastAsia"/>
                <w:kern w:val="0"/>
                <w:sz w:val="24"/>
                <w:szCs w:val="24"/>
              </w:rPr>
              <w:t>7500</w:t>
            </w:r>
          </w:p>
        </w:tc>
      </w:tr>
      <w:tr w:rsidR="00D61F1C" w:rsidRPr="00D61F1C" w:rsidTr="00D61F1C">
        <w:trPr>
          <w:tblCellSpacing w:w="0" w:type="dxa"/>
          <w:jc w:val="center"/>
        </w:trPr>
        <w:tc>
          <w:tcPr>
            <w:tcW w:w="1980" w:type="dxa"/>
            <w:tcBorders>
              <w:top w:val="single" w:sz="8" w:space="0" w:color="000000"/>
              <w:left w:val="single" w:sz="8" w:space="0" w:color="000000"/>
              <w:bottom w:val="single" w:sz="8" w:space="0" w:color="000000"/>
              <w:right w:val="single" w:sz="8" w:space="0" w:color="000000"/>
            </w:tcBorders>
            <w:vAlign w:val="center"/>
            <w:hideMark/>
          </w:tcPr>
          <w:p w:rsidR="00D61F1C" w:rsidRPr="00D61F1C" w:rsidRDefault="00D61F1C" w:rsidP="00D61F1C">
            <w:pPr>
              <w:widowControl/>
              <w:jc w:val="left"/>
              <w:rPr>
                <w:rFonts w:ascii="宋体" w:eastAsia="宋体" w:hAnsi="宋体" w:cs="宋体"/>
                <w:kern w:val="0"/>
                <w:sz w:val="24"/>
                <w:szCs w:val="24"/>
              </w:rPr>
            </w:pPr>
            <w:r w:rsidRPr="00D61F1C">
              <w:rPr>
                <w:rFonts w:ascii="新宋体" w:eastAsia="新宋体" w:hAnsi="新宋体" w:cs="宋体" w:hint="eastAsia"/>
                <w:kern w:val="0"/>
                <w:sz w:val="24"/>
                <w:szCs w:val="24"/>
              </w:rPr>
              <w:t>高职（高专）专业</w:t>
            </w:r>
          </w:p>
        </w:tc>
        <w:tc>
          <w:tcPr>
            <w:tcW w:w="4572" w:type="dxa"/>
            <w:gridSpan w:val="3"/>
            <w:tcBorders>
              <w:top w:val="outset" w:sz="6" w:space="0" w:color="000000"/>
              <w:left w:val="outset" w:sz="6" w:space="0" w:color="000000"/>
              <w:bottom w:val="outset" w:sz="6" w:space="0" w:color="000000"/>
              <w:right w:val="outset" w:sz="6" w:space="0" w:color="000000"/>
            </w:tcBorders>
            <w:vAlign w:val="center"/>
            <w:hideMark/>
          </w:tcPr>
          <w:p w:rsidR="00D61F1C" w:rsidRPr="00D61F1C" w:rsidRDefault="00D61F1C" w:rsidP="00D61F1C">
            <w:pPr>
              <w:widowControl/>
              <w:jc w:val="center"/>
              <w:rPr>
                <w:rFonts w:ascii="宋体" w:eastAsia="宋体" w:hAnsi="宋体" w:cs="宋体"/>
                <w:kern w:val="0"/>
                <w:sz w:val="24"/>
                <w:szCs w:val="24"/>
              </w:rPr>
            </w:pPr>
            <w:r w:rsidRPr="00D61F1C">
              <w:rPr>
                <w:rFonts w:ascii="新宋体" w:eastAsia="新宋体" w:hAnsi="新宋体" w:cs="宋体" w:hint="eastAsia"/>
                <w:kern w:val="0"/>
                <w:sz w:val="24"/>
                <w:szCs w:val="24"/>
              </w:rPr>
              <w:t>12000</w:t>
            </w:r>
          </w:p>
        </w:tc>
      </w:tr>
    </w:tbl>
    <w:p w:rsidR="00D61F1C" w:rsidRPr="00D61F1C" w:rsidRDefault="00D61F1C" w:rsidP="00D61F1C">
      <w:pPr>
        <w:widowControl/>
        <w:jc w:val="left"/>
        <w:rPr>
          <w:rFonts w:ascii="宋体" w:eastAsia="宋体" w:hAnsi="宋体" w:cs="宋体"/>
          <w:color w:val="000000"/>
          <w:kern w:val="0"/>
          <w:sz w:val="18"/>
          <w:szCs w:val="18"/>
        </w:rPr>
      </w:pPr>
      <w:r w:rsidRPr="00D61F1C">
        <w:rPr>
          <w:rFonts w:ascii="楷体_GB2312" w:eastAsia="楷体_GB2312" w:hAnsi="宋体" w:cs="宋体" w:hint="eastAsia"/>
          <w:color w:val="000000"/>
          <w:kern w:val="0"/>
          <w:sz w:val="24"/>
          <w:szCs w:val="24"/>
        </w:rPr>
        <w:t>备注：</w:t>
      </w:r>
    </w:p>
    <w:p w:rsidR="00D61F1C" w:rsidRPr="00D61F1C" w:rsidRDefault="00D61F1C" w:rsidP="00D61F1C">
      <w:pPr>
        <w:widowControl/>
        <w:ind w:firstLine="480"/>
        <w:jc w:val="left"/>
        <w:rPr>
          <w:rFonts w:ascii="宋体" w:eastAsia="宋体" w:hAnsi="宋体" w:cs="宋体"/>
          <w:color w:val="000000"/>
          <w:kern w:val="0"/>
          <w:sz w:val="18"/>
          <w:szCs w:val="18"/>
        </w:rPr>
      </w:pPr>
      <w:r w:rsidRPr="00D61F1C">
        <w:rPr>
          <w:rFonts w:ascii="楷体_GB2312" w:eastAsia="楷体_GB2312" w:hAnsi="宋体" w:cs="宋体" w:hint="eastAsia"/>
          <w:color w:val="000000"/>
          <w:kern w:val="0"/>
          <w:sz w:val="24"/>
          <w:szCs w:val="24"/>
        </w:rPr>
        <w:t>1．表列学费标准为基准标准，学校可以在省定基准标准的基础上适当下浮；也可自主选择本校当年招生专业总数20%以内的专业，在基准标准的基础上，按不超过15%的上浮幅度自主制定具体学费标准，执行前抄送省物价局、省财政厅、省教育厅。</w:t>
      </w:r>
    </w:p>
    <w:p w:rsidR="00D61F1C" w:rsidRPr="00D61F1C" w:rsidRDefault="00D61F1C" w:rsidP="00D61F1C">
      <w:pPr>
        <w:widowControl/>
        <w:ind w:firstLine="480"/>
        <w:jc w:val="left"/>
        <w:rPr>
          <w:rFonts w:ascii="宋体" w:eastAsia="宋体" w:hAnsi="宋体" w:cs="宋体"/>
          <w:color w:val="000000"/>
          <w:kern w:val="0"/>
          <w:sz w:val="18"/>
          <w:szCs w:val="18"/>
        </w:rPr>
      </w:pPr>
      <w:r w:rsidRPr="00D61F1C">
        <w:rPr>
          <w:rFonts w:ascii="楷体_GB2312" w:eastAsia="楷体_GB2312" w:hAnsi="宋体" w:cs="宋体" w:hint="eastAsia"/>
          <w:color w:val="000000"/>
          <w:kern w:val="0"/>
          <w:sz w:val="24"/>
          <w:szCs w:val="24"/>
        </w:rPr>
        <w:t>2．浙江警察学院、浙江医学高等专科学校和浙江医药高等专科学校的学费标准按“高职院校”执行。</w:t>
      </w:r>
    </w:p>
    <w:p w:rsidR="00D61F1C" w:rsidRPr="00D61F1C" w:rsidRDefault="00D61F1C" w:rsidP="00D61F1C">
      <w:pPr>
        <w:widowControl/>
        <w:ind w:firstLine="480"/>
        <w:jc w:val="left"/>
        <w:rPr>
          <w:rFonts w:ascii="宋体" w:eastAsia="宋体" w:hAnsi="宋体" w:cs="宋体"/>
          <w:color w:val="000000"/>
          <w:kern w:val="0"/>
          <w:sz w:val="18"/>
          <w:szCs w:val="18"/>
        </w:rPr>
      </w:pPr>
      <w:r w:rsidRPr="00D61F1C">
        <w:rPr>
          <w:rFonts w:ascii="楷体_GB2312" w:eastAsia="楷体_GB2312" w:hAnsi="宋体" w:cs="宋体" w:hint="eastAsia"/>
          <w:color w:val="000000"/>
          <w:kern w:val="0"/>
          <w:sz w:val="24"/>
          <w:szCs w:val="24"/>
        </w:rPr>
        <w:t>3．“普通大学”是指“浙江大学”以外的其他本科院校，“高职院校”包括本科院校举办的高职专业。</w:t>
      </w:r>
    </w:p>
    <w:p w:rsidR="00D61F1C" w:rsidRPr="00D61F1C" w:rsidRDefault="00D61F1C" w:rsidP="00D61F1C">
      <w:pPr>
        <w:widowControl/>
        <w:ind w:firstLine="480"/>
        <w:jc w:val="left"/>
        <w:rPr>
          <w:rFonts w:ascii="宋体" w:eastAsia="宋体" w:hAnsi="宋体" w:cs="宋体"/>
          <w:color w:val="000000"/>
          <w:kern w:val="0"/>
          <w:sz w:val="18"/>
          <w:szCs w:val="18"/>
        </w:rPr>
      </w:pPr>
      <w:r w:rsidRPr="00D61F1C">
        <w:rPr>
          <w:rFonts w:ascii="楷体_GB2312" w:eastAsia="楷体_GB2312" w:hAnsi="宋体" w:cs="宋体" w:hint="eastAsia"/>
          <w:color w:val="000000"/>
          <w:kern w:val="0"/>
          <w:sz w:val="24"/>
          <w:szCs w:val="24"/>
        </w:rPr>
        <w:t>4．“艺术类专业”是指按规定通过艺术类招生的专业。</w:t>
      </w:r>
    </w:p>
    <w:p w:rsidR="00D61F1C" w:rsidRPr="00D61F1C" w:rsidRDefault="00D61F1C" w:rsidP="00D61F1C">
      <w:pPr>
        <w:widowControl/>
        <w:ind w:firstLine="480"/>
        <w:jc w:val="left"/>
        <w:rPr>
          <w:rFonts w:ascii="宋体" w:eastAsia="宋体" w:hAnsi="宋体" w:cs="宋体"/>
          <w:color w:val="000000"/>
          <w:kern w:val="0"/>
          <w:sz w:val="18"/>
          <w:szCs w:val="18"/>
        </w:rPr>
      </w:pPr>
      <w:r w:rsidRPr="00D61F1C">
        <w:rPr>
          <w:rFonts w:ascii="楷体_GB2312" w:eastAsia="楷体_GB2312" w:hAnsi="宋体" w:cs="宋体" w:hint="eastAsia"/>
          <w:color w:val="000000"/>
          <w:kern w:val="0"/>
          <w:sz w:val="24"/>
          <w:szCs w:val="24"/>
        </w:rPr>
        <w:t>5．“工科类、医学类专业”：本科院校的“工科类专业”是指国家和省教育主管部门规定的高校专业目录中专业代码前二位为“08”的专业；“医学类专业”是指国家和省教育主管部门规定的高校专业目录中专业代码前二位为“10”的专业。高职院校的“工科类专业”是指国家和省教育主管部门规定的高校专业目录中专业代码前二位为“52”至“61”的专业（专业代码前四位为5304、5602、5605、5607、5702的管理类专业除外）；“医学类专业”是指国家和省教育主管部门规定的高校专业目录中专业代码前二位为“63”的专业（专业代码前四位为6305的管理类专业除外）。</w:t>
      </w:r>
    </w:p>
    <w:p w:rsidR="00D61F1C" w:rsidRPr="00D61F1C" w:rsidRDefault="00D61F1C" w:rsidP="00D61F1C">
      <w:pPr>
        <w:widowControl/>
        <w:ind w:firstLine="480"/>
        <w:jc w:val="left"/>
        <w:rPr>
          <w:rFonts w:ascii="宋体" w:eastAsia="宋体" w:hAnsi="宋体" w:cs="宋体"/>
          <w:color w:val="000000"/>
          <w:kern w:val="0"/>
          <w:sz w:val="18"/>
          <w:szCs w:val="18"/>
        </w:rPr>
      </w:pPr>
      <w:r w:rsidRPr="00D61F1C">
        <w:rPr>
          <w:rFonts w:ascii="楷体_GB2312" w:eastAsia="楷体_GB2312" w:hAnsi="宋体" w:cs="宋体" w:hint="eastAsia"/>
          <w:color w:val="000000"/>
          <w:kern w:val="0"/>
          <w:sz w:val="24"/>
          <w:szCs w:val="24"/>
        </w:rPr>
        <w:t>6．“农林类专业”：本科院校的“农林类专业”是指国家和省教育主管部门规定的高校专业目录中专业代码前二位为“09”的专业。高职院校的“农林类专业”是指国家和省教育主管部门规定的高校专业目录中专业代码前二位为“51”的专业（专业代码前四位为5105的管理类专业除外）。</w:t>
      </w:r>
    </w:p>
    <w:p w:rsidR="00D61F1C" w:rsidRPr="00D61F1C" w:rsidRDefault="00D61F1C" w:rsidP="00D61F1C">
      <w:pPr>
        <w:widowControl/>
        <w:ind w:firstLine="480"/>
        <w:jc w:val="left"/>
        <w:rPr>
          <w:rFonts w:ascii="宋体" w:eastAsia="宋体" w:hAnsi="宋体" w:cs="宋体"/>
          <w:color w:val="000000"/>
          <w:kern w:val="0"/>
          <w:sz w:val="18"/>
          <w:szCs w:val="18"/>
        </w:rPr>
      </w:pPr>
      <w:r w:rsidRPr="00D61F1C">
        <w:rPr>
          <w:rFonts w:ascii="楷体_GB2312" w:eastAsia="楷体_GB2312" w:hAnsi="宋体" w:cs="宋体" w:hint="eastAsia"/>
          <w:color w:val="000000"/>
          <w:kern w:val="0"/>
          <w:sz w:val="24"/>
          <w:szCs w:val="24"/>
        </w:rPr>
        <w:t>7．“其他专业”是指“艺术类专业”、“工科类、医学类专业”、“农林类专业”以外的其他专业。</w:t>
      </w:r>
    </w:p>
    <w:p w:rsidR="00D61F1C" w:rsidRPr="00D61F1C" w:rsidRDefault="00D61F1C" w:rsidP="00D61F1C">
      <w:pPr>
        <w:widowControl/>
        <w:ind w:firstLine="480"/>
        <w:jc w:val="left"/>
        <w:rPr>
          <w:rFonts w:ascii="宋体" w:eastAsia="宋体" w:hAnsi="宋体" w:cs="宋体"/>
          <w:color w:val="000000"/>
          <w:kern w:val="0"/>
          <w:sz w:val="18"/>
          <w:szCs w:val="18"/>
        </w:rPr>
      </w:pPr>
      <w:r w:rsidRPr="00D61F1C">
        <w:rPr>
          <w:rFonts w:ascii="楷体_GB2312" w:eastAsia="楷体_GB2312" w:hAnsi="宋体" w:cs="宋体" w:hint="eastAsia"/>
          <w:color w:val="000000"/>
          <w:kern w:val="0"/>
          <w:sz w:val="24"/>
          <w:szCs w:val="24"/>
        </w:rPr>
        <w:t>8．本科院校举办的专科专业分类按高职院校的分类执行，收费标准按本科院校的收费标准执行。</w:t>
      </w:r>
    </w:p>
    <w:p w:rsidR="00D61F1C" w:rsidRPr="00D61F1C" w:rsidRDefault="00D61F1C" w:rsidP="00D61F1C">
      <w:pPr>
        <w:widowControl/>
        <w:ind w:firstLine="480"/>
        <w:jc w:val="left"/>
        <w:rPr>
          <w:rFonts w:ascii="宋体" w:eastAsia="宋体" w:hAnsi="宋体" w:cs="宋体"/>
          <w:color w:val="000000"/>
          <w:kern w:val="0"/>
          <w:sz w:val="18"/>
          <w:szCs w:val="18"/>
        </w:rPr>
      </w:pPr>
      <w:r w:rsidRPr="00D61F1C">
        <w:rPr>
          <w:rFonts w:ascii="楷体_GB2312" w:eastAsia="楷体_GB2312" w:hAnsi="宋体" w:cs="宋体" w:hint="eastAsia"/>
          <w:color w:val="000000"/>
          <w:kern w:val="0"/>
          <w:sz w:val="24"/>
          <w:szCs w:val="24"/>
        </w:rPr>
        <w:t>9．新生入学时按专业大类招生的学生统一按照大类中学费标准较低的专业收取费用，分专业后分别按所学专业规定的学费标准执行。</w:t>
      </w:r>
    </w:p>
    <w:p w:rsidR="004E50DB" w:rsidRPr="00D61F1C" w:rsidRDefault="006A6F88"/>
    <w:sectPr w:rsidR="004E50DB" w:rsidRPr="00D61F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B9D"/>
    <w:rsid w:val="005E1B9D"/>
    <w:rsid w:val="006A6F88"/>
    <w:rsid w:val="00913380"/>
    <w:rsid w:val="00D61F1C"/>
    <w:rsid w:val="00E25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61F1C"/>
    <w:rPr>
      <w:b/>
      <w:bCs/>
    </w:rPr>
  </w:style>
  <w:style w:type="character" w:customStyle="1" w:styleId="apple-converted-space">
    <w:name w:val="apple-converted-space"/>
    <w:basedOn w:val="a0"/>
    <w:rsid w:val="00D61F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61F1C"/>
    <w:rPr>
      <w:b/>
      <w:bCs/>
    </w:rPr>
  </w:style>
  <w:style w:type="character" w:customStyle="1" w:styleId="apple-converted-space">
    <w:name w:val="apple-converted-space"/>
    <w:basedOn w:val="a0"/>
    <w:rsid w:val="00D61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09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2017-11-24T13:21:00Z</dcterms:created>
  <dcterms:modified xsi:type="dcterms:W3CDTF">2017-11-24T13:35:00Z</dcterms:modified>
</cp:coreProperties>
</file>