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48B86" w14:textId="15EFE424" w:rsidR="00074084" w:rsidRPr="00A45666" w:rsidRDefault="00074084" w:rsidP="00B76D76">
      <w:pPr>
        <w:jc w:val="center"/>
        <w:rPr>
          <w:b/>
          <w:bCs/>
          <w:lang w:val="es-CR"/>
        </w:rPr>
      </w:pPr>
      <w:r w:rsidRPr="00A45666">
        <w:rPr>
          <w:b/>
          <w:bCs/>
          <w:lang w:val="es-CR"/>
        </w:rPr>
        <w:t>Marco Legal y Regulatorio Nacional</w:t>
      </w:r>
    </w:p>
    <w:p w14:paraId="67596E0B" w14:textId="3EAD68FC" w:rsidR="00074084" w:rsidRPr="0038630A" w:rsidRDefault="00074084" w:rsidP="00A45666">
      <w:pPr>
        <w:jc w:val="center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 xml:space="preserve">Contexto y Objetivos de la Ley </w:t>
      </w:r>
      <w:proofErr w:type="spellStart"/>
      <w:r w:rsidRPr="0038630A">
        <w:rPr>
          <w:b/>
          <w:bCs/>
          <w:sz w:val="20"/>
          <w:szCs w:val="20"/>
          <w:lang w:val="es-CR"/>
        </w:rPr>
        <w:t>N.°</w:t>
      </w:r>
      <w:proofErr w:type="spellEnd"/>
      <w:r w:rsidRPr="0038630A">
        <w:rPr>
          <w:b/>
          <w:bCs/>
          <w:sz w:val="20"/>
          <w:szCs w:val="20"/>
          <w:lang w:val="es-CR"/>
        </w:rPr>
        <w:t xml:space="preserve"> 10086</w:t>
      </w:r>
    </w:p>
    <w:p w14:paraId="540EA089" w14:textId="2D219C00" w:rsidR="00074084" w:rsidRPr="0038630A" w:rsidRDefault="00074084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La Ley </w:t>
      </w:r>
      <w:proofErr w:type="spellStart"/>
      <w:r w:rsidRPr="0038630A">
        <w:rPr>
          <w:sz w:val="20"/>
          <w:szCs w:val="20"/>
          <w:lang w:val="es-CR"/>
        </w:rPr>
        <w:t>N.°</w:t>
      </w:r>
      <w:proofErr w:type="spellEnd"/>
      <w:r w:rsidRPr="0038630A">
        <w:rPr>
          <w:sz w:val="20"/>
          <w:szCs w:val="20"/>
          <w:lang w:val="es-CR"/>
        </w:rPr>
        <w:t xml:space="preserve"> 10086 (</w:t>
      </w:r>
      <w:r w:rsidRPr="0038630A">
        <w:rPr>
          <w:i/>
          <w:iCs/>
          <w:sz w:val="20"/>
          <w:szCs w:val="20"/>
          <w:lang w:val="es-CR"/>
        </w:rPr>
        <w:t>Ley de Promoción y Regulación de Recursos Energéticos Distribuidos a partir de Fuentes Renovables</w:t>
      </w:r>
      <w:r w:rsidRPr="0038630A">
        <w:rPr>
          <w:sz w:val="20"/>
          <w:szCs w:val="20"/>
          <w:lang w:val="es-CR"/>
        </w:rPr>
        <w:t xml:space="preserve">), publicada en el Diario Oficial La Gaceta en octubre de 2021, establece el marco jurídico marco en Costa Rica para incentivar y regular la integración ordenada de la generación distribuida en la matriz eléctrica nacional. </w:t>
      </w:r>
    </w:p>
    <w:p w14:paraId="5031789E" w14:textId="77777777" w:rsidR="00074084" w:rsidRPr="0038630A" w:rsidRDefault="00074084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Su objetivo principal es descentralizar la producción eléctrica, fomentar la transición energética limpia e integrar los Recursos Energéticos Distribuidos (RED) de forma segura y eficiente en las redes de distribución. </w:t>
      </w:r>
    </w:p>
    <w:p w14:paraId="67C5D97A" w14:textId="77777777" w:rsidR="00074084" w:rsidRPr="0038630A" w:rsidRDefault="00074084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2. Reglamento Ejecutivo Vigente y Marco Normativo Complementario</w:t>
      </w:r>
    </w:p>
    <w:p w14:paraId="09FFEEC8" w14:textId="5064E758" w:rsidR="00074084" w:rsidRPr="0038630A" w:rsidRDefault="00074084" w:rsidP="00291014">
      <w:pPr>
        <w:jc w:val="both"/>
        <w:rPr>
          <w:sz w:val="20"/>
          <w:szCs w:val="20"/>
          <w:lang w:val="es-CR"/>
        </w:rPr>
      </w:pPr>
      <w:r w:rsidRPr="00B86BB1">
        <w:rPr>
          <w:sz w:val="20"/>
          <w:szCs w:val="20"/>
          <w:lang w:val="es-CR"/>
        </w:rPr>
        <w:t xml:space="preserve">El reglamento ejecutivo que operacionaliza la Ley </w:t>
      </w:r>
      <w:proofErr w:type="spellStart"/>
      <w:r w:rsidRPr="00B86BB1">
        <w:rPr>
          <w:sz w:val="20"/>
          <w:szCs w:val="20"/>
          <w:lang w:val="es-CR"/>
        </w:rPr>
        <w:t>N.°</w:t>
      </w:r>
      <w:proofErr w:type="spellEnd"/>
      <w:r w:rsidRPr="00B86BB1">
        <w:rPr>
          <w:sz w:val="20"/>
          <w:szCs w:val="20"/>
          <w:lang w:val="es-CR"/>
        </w:rPr>
        <w:t xml:space="preserve"> 10086 corresponde al Decreto Ejecutivo </w:t>
      </w:r>
      <w:proofErr w:type="spellStart"/>
      <w:r w:rsidRPr="00B86BB1">
        <w:rPr>
          <w:sz w:val="20"/>
          <w:szCs w:val="20"/>
          <w:lang w:val="es-CR"/>
        </w:rPr>
        <w:t>N.°</w:t>
      </w:r>
      <w:proofErr w:type="spellEnd"/>
      <w:r w:rsidRPr="00B86BB1">
        <w:rPr>
          <w:sz w:val="20"/>
          <w:szCs w:val="20"/>
          <w:lang w:val="es-CR"/>
        </w:rPr>
        <w:t xml:space="preserve"> 43700-MINAE (</w:t>
      </w:r>
      <w:r w:rsidRPr="00B86BB1">
        <w:rPr>
          <w:i/>
          <w:iCs/>
          <w:sz w:val="20"/>
          <w:szCs w:val="20"/>
          <w:lang w:val="es-CR"/>
        </w:rPr>
        <w:t xml:space="preserve">Reglamento a la Ley </w:t>
      </w:r>
      <w:proofErr w:type="spellStart"/>
      <w:r w:rsidRPr="00B86BB1">
        <w:rPr>
          <w:i/>
          <w:iCs/>
          <w:sz w:val="20"/>
          <w:szCs w:val="20"/>
          <w:lang w:val="es-CR"/>
        </w:rPr>
        <w:t>N.°</w:t>
      </w:r>
      <w:proofErr w:type="spellEnd"/>
      <w:r w:rsidRPr="00B86BB1">
        <w:rPr>
          <w:i/>
          <w:iCs/>
          <w:sz w:val="20"/>
          <w:szCs w:val="20"/>
          <w:lang w:val="es-CR"/>
        </w:rPr>
        <w:t xml:space="preserve"> 10086</w:t>
      </w:r>
      <w:r w:rsidRPr="0038630A">
        <w:rPr>
          <w:sz w:val="20"/>
          <w:szCs w:val="20"/>
          <w:lang w:val="es-CR"/>
        </w:rPr>
        <w:t>).</w:t>
      </w:r>
    </w:p>
    <w:p w14:paraId="2E495DF2" w14:textId="28AB242B" w:rsidR="00074084" w:rsidRPr="0038630A" w:rsidRDefault="00074084" w:rsidP="00291014">
      <w:pPr>
        <w:numPr>
          <w:ilvl w:val="0"/>
          <w:numId w:val="5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Alcance del Decreto:</w:t>
      </w:r>
      <w:r w:rsidRPr="0038630A">
        <w:rPr>
          <w:sz w:val="20"/>
          <w:szCs w:val="20"/>
          <w:lang w:val="es-CR"/>
        </w:rPr>
        <w:t xml:space="preserve"> Define las competencias institucionales, los términos de interconexión, los criterios de capacidad de red y el tratamiento de los excedentes energéticos.</w:t>
      </w:r>
    </w:p>
    <w:p w14:paraId="2A392FCC" w14:textId="1D034F16" w:rsidR="00074084" w:rsidRPr="0038630A" w:rsidRDefault="00074084" w:rsidP="00291014">
      <w:pPr>
        <w:numPr>
          <w:ilvl w:val="0"/>
          <w:numId w:val="5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Reformas y Estado Actual:</w:t>
      </w:r>
      <w:r w:rsidRPr="0038630A">
        <w:rPr>
          <w:sz w:val="20"/>
          <w:szCs w:val="20"/>
          <w:lang w:val="es-CR"/>
        </w:rPr>
        <w:t xml:space="preserve"> Para efectos de la presente revisión, se verificó la vigencia del Decreto 43700-MINAE. Las directrices técnicas y tarifarias específicas derivadas de este reglamento son actualizadas periódicamente por la Autoridad Reguladora de los Servicios Públicos (ARESEP) mediante sus resoluciones de tarifas de acceso. </w:t>
      </w:r>
    </w:p>
    <w:p w14:paraId="6EEB64CC" w14:textId="77777777" w:rsidR="00074084" w:rsidRPr="0038630A" w:rsidRDefault="00074084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3. Modalidades de Operación Contempladas</w:t>
      </w:r>
    </w:p>
    <w:p w14:paraId="69C344E6" w14:textId="14C84105" w:rsidR="00074084" w:rsidRPr="0038630A" w:rsidRDefault="00074084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De acuerdo con el Artículo 4 de la Ley </w:t>
      </w:r>
      <w:proofErr w:type="spellStart"/>
      <w:r w:rsidRPr="0038630A">
        <w:rPr>
          <w:sz w:val="20"/>
          <w:szCs w:val="20"/>
          <w:lang w:val="es-CR"/>
        </w:rPr>
        <w:t>N.°</w:t>
      </w:r>
      <w:proofErr w:type="spellEnd"/>
      <w:r w:rsidRPr="0038630A">
        <w:rPr>
          <w:sz w:val="20"/>
          <w:szCs w:val="20"/>
          <w:lang w:val="es-CR"/>
        </w:rPr>
        <w:t xml:space="preserve"> 10086 y el Reglamento (Decreto 43700-MINAE), se contemplan las siguientes modalidades de operación para los generadores/distribuidos:</w:t>
      </w:r>
    </w:p>
    <w:p w14:paraId="738B8631" w14:textId="48EB804B" w:rsidR="00074084" w:rsidRPr="0038630A" w:rsidRDefault="00074084" w:rsidP="00291014">
      <w:pPr>
        <w:numPr>
          <w:ilvl w:val="0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Autoconsumo Simple (Sin Inyección de Excedentes):</w:t>
      </w:r>
    </w:p>
    <w:p w14:paraId="2B8DD685" w14:textId="34C139A5" w:rsidR="00074084" w:rsidRPr="0038630A" w:rsidRDefault="00074084" w:rsidP="00291014">
      <w:pPr>
        <w:numPr>
          <w:ilvl w:val="1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El sistema fotovoltaico se dimensiona exclusivamente para cubrir la demanda instantánea del inmueble.</w:t>
      </w:r>
    </w:p>
    <w:p w14:paraId="63E48248" w14:textId="78CFD809" w:rsidR="00074084" w:rsidRPr="0038630A" w:rsidRDefault="00074084" w:rsidP="00291014">
      <w:pPr>
        <w:numPr>
          <w:ilvl w:val="1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Contempla mecanismos de protección o control de inyección nula para evitar el vertido de energía hacia la red de la distribuidora.</w:t>
      </w:r>
    </w:p>
    <w:p w14:paraId="1AE591AF" w14:textId="67E039A3" w:rsidR="00074084" w:rsidRPr="0038630A" w:rsidRDefault="00074084" w:rsidP="00291014">
      <w:pPr>
        <w:numPr>
          <w:ilvl w:val="0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Autoconsumo con Entrega de Excedentes (Generación Distribuida Interconectada):</w:t>
      </w:r>
    </w:p>
    <w:p w14:paraId="0975ED58" w14:textId="35146292" w:rsidR="00074084" w:rsidRPr="0038630A" w:rsidRDefault="00074084" w:rsidP="00291014">
      <w:pPr>
        <w:numPr>
          <w:ilvl w:val="1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El sistema satisface la demanda local de la instalación y la energía no consumida de manera instantánea se inyecta a la red de distribución.</w:t>
      </w:r>
    </w:p>
    <w:p w14:paraId="1E79540D" w14:textId="47D3A7DB" w:rsidR="00074084" w:rsidRPr="0038630A" w:rsidRDefault="00074084" w:rsidP="00291014">
      <w:pPr>
        <w:numPr>
          <w:ilvl w:val="1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La energía inyectada es </w:t>
      </w:r>
      <w:r w:rsidRPr="00B86BB1">
        <w:rPr>
          <w:sz w:val="20"/>
          <w:szCs w:val="20"/>
          <w:lang w:val="es-CR"/>
        </w:rPr>
        <w:t>contabilizada mediante un medidor bidireccional y se</w:t>
      </w:r>
      <w:r w:rsidRPr="0038630A">
        <w:rPr>
          <w:sz w:val="20"/>
          <w:szCs w:val="20"/>
          <w:lang w:val="es-CR"/>
        </w:rPr>
        <w:t xml:space="preserve"> compensa según los esquemas tarifarios de acceso vigentes establecidos por ARESEP.</w:t>
      </w:r>
    </w:p>
    <w:p w14:paraId="49826A7E" w14:textId="5087B1FA" w:rsidR="00074084" w:rsidRPr="0038630A" w:rsidRDefault="00074084" w:rsidP="00291014">
      <w:pPr>
        <w:numPr>
          <w:ilvl w:val="0"/>
          <w:numId w:val="6"/>
        </w:numPr>
        <w:jc w:val="both"/>
        <w:rPr>
          <w:sz w:val="20"/>
          <w:szCs w:val="20"/>
        </w:rPr>
      </w:pPr>
      <w:r w:rsidRPr="0038630A">
        <w:rPr>
          <w:b/>
          <w:bCs/>
          <w:sz w:val="20"/>
          <w:szCs w:val="20"/>
        </w:rPr>
        <w:t xml:space="preserve">Sistemas </w:t>
      </w:r>
      <w:proofErr w:type="spellStart"/>
      <w:r w:rsidRPr="0038630A">
        <w:rPr>
          <w:b/>
          <w:bCs/>
          <w:sz w:val="20"/>
          <w:szCs w:val="20"/>
        </w:rPr>
        <w:t>Aislados</w:t>
      </w:r>
      <w:proofErr w:type="spellEnd"/>
      <w:r w:rsidRPr="0038630A">
        <w:rPr>
          <w:b/>
          <w:bCs/>
          <w:sz w:val="20"/>
          <w:szCs w:val="20"/>
        </w:rPr>
        <w:t xml:space="preserve"> (Off-Grid):</w:t>
      </w:r>
    </w:p>
    <w:p w14:paraId="3ECA1C17" w14:textId="0C2E1030" w:rsidR="00074084" w:rsidRPr="0038630A" w:rsidRDefault="00074084" w:rsidP="00291014">
      <w:pPr>
        <w:numPr>
          <w:ilvl w:val="1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Instalaciones operadas completamente de forma independiente de la red eléctrica nacional, requiriendo de forma obligatoria sistemas de almacenamiento de energía (baterías).</w:t>
      </w:r>
    </w:p>
    <w:p w14:paraId="42142E4D" w14:textId="06B85742" w:rsidR="00074084" w:rsidRPr="0038630A" w:rsidRDefault="00074084" w:rsidP="00291014">
      <w:pPr>
        <w:numPr>
          <w:ilvl w:val="0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Sistemas Híbridos (Red con Respaldo de Almacenamiento):</w:t>
      </w:r>
    </w:p>
    <w:p w14:paraId="2D98FA71" w14:textId="14016207" w:rsidR="00074084" w:rsidRPr="0038630A" w:rsidRDefault="00074084" w:rsidP="00291014">
      <w:pPr>
        <w:numPr>
          <w:ilvl w:val="1"/>
          <w:numId w:val="6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lastRenderedPageBreak/>
        <w:t xml:space="preserve">Operan interconectados a la </w:t>
      </w:r>
      <w:proofErr w:type="gramStart"/>
      <w:r w:rsidRPr="0038630A">
        <w:rPr>
          <w:sz w:val="20"/>
          <w:szCs w:val="20"/>
          <w:lang w:val="es-CR"/>
        </w:rPr>
        <w:t>red</w:t>
      </w:r>
      <w:proofErr w:type="gramEnd"/>
      <w:r w:rsidRPr="0038630A">
        <w:rPr>
          <w:sz w:val="20"/>
          <w:szCs w:val="20"/>
          <w:lang w:val="es-CR"/>
        </w:rPr>
        <w:t xml:space="preserve"> pero cuentan con capacidad de operar en modo isla (</w:t>
      </w:r>
      <w:proofErr w:type="spellStart"/>
      <w:r w:rsidRPr="0038630A">
        <w:rPr>
          <w:i/>
          <w:iCs/>
          <w:sz w:val="20"/>
          <w:szCs w:val="20"/>
          <w:lang w:val="es-CR"/>
        </w:rPr>
        <w:t>islanding</w:t>
      </w:r>
      <w:proofErr w:type="spellEnd"/>
      <w:r w:rsidRPr="0038630A">
        <w:rPr>
          <w:sz w:val="20"/>
          <w:szCs w:val="20"/>
          <w:lang w:val="es-CR"/>
        </w:rPr>
        <w:t>) ante cortes de suministro, utilizando sistemas de almacenamiento y control de conmutación.</w:t>
      </w:r>
    </w:p>
    <w:p w14:paraId="60CC7D11" w14:textId="77777777" w:rsidR="00074084" w:rsidRPr="0038630A" w:rsidRDefault="00074084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4. Límites de Potencia y Capacidad de la Red</w:t>
      </w:r>
    </w:p>
    <w:p w14:paraId="7777DD67" w14:textId="228A4B07" w:rsidR="00074084" w:rsidRPr="0038630A" w:rsidRDefault="00074084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Para garantizar la estabilidad física y operativa de las redes eléctricas en Costa Rica, la legislación impone límites técnicos estrictos:</w:t>
      </w:r>
    </w:p>
    <w:p w14:paraId="5A21AA20" w14:textId="52D0D535" w:rsidR="00074084" w:rsidRPr="00B86BB1" w:rsidRDefault="00074084" w:rsidP="00291014">
      <w:pPr>
        <w:numPr>
          <w:ilvl w:val="0"/>
          <w:numId w:val="7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Capacidad Máxima de Penetración por Circuito:</w:t>
      </w:r>
      <w:r w:rsidRPr="0038630A">
        <w:rPr>
          <w:sz w:val="20"/>
          <w:szCs w:val="20"/>
          <w:lang w:val="es-CR"/>
        </w:rPr>
        <w:t xml:space="preserve"> La </w:t>
      </w:r>
      <w:r w:rsidRPr="00B86BB1">
        <w:rPr>
          <w:sz w:val="20"/>
          <w:szCs w:val="20"/>
          <w:lang w:val="es-CR"/>
        </w:rPr>
        <w:t>suma total de las potencias de los sistemas de generación distribuida conectados a un circuito primario de distribución no podrá superar el 15% de la capacidad o demanda pico histórica de dicho circuito.</w:t>
      </w:r>
    </w:p>
    <w:p w14:paraId="08657ED3" w14:textId="35F9D876" w:rsidR="00074084" w:rsidRPr="0038630A" w:rsidRDefault="00074084" w:rsidP="00291014">
      <w:pPr>
        <w:numPr>
          <w:ilvl w:val="0"/>
          <w:numId w:val="7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Límites de Potencia por Usuario:</w:t>
      </w:r>
    </w:p>
    <w:p w14:paraId="1380F905" w14:textId="31A9842D" w:rsidR="00074084" w:rsidRPr="00B86BB1" w:rsidRDefault="00074084" w:rsidP="00291014">
      <w:pPr>
        <w:numPr>
          <w:ilvl w:val="1"/>
          <w:numId w:val="7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La potencia máxima instalada por un abonado no </w:t>
      </w:r>
      <w:r w:rsidRPr="00B86BB1">
        <w:rPr>
          <w:sz w:val="20"/>
          <w:szCs w:val="20"/>
          <w:lang w:val="es-CR"/>
        </w:rPr>
        <w:t>puede sobrepasar la capacidad contratada de la acometida/servicio eléctrico existente salvo estudios de factibilidad técnica específicos aprobados por la distribuidora.</w:t>
      </w:r>
    </w:p>
    <w:p w14:paraId="3F4A5E38" w14:textId="266506C5" w:rsidR="00074084" w:rsidRPr="00B86BB1" w:rsidRDefault="00074084" w:rsidP="00291014">
      <w:pPr>
        <w:numPr>
          <w:ilvl w:val="0"/>
          <w:numId w:val="7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Estudios de Capacidad e Impacto:</w:t>
      </w:r>
      <w:r w:rsidRPr="0038630A">
        <w:rPr>
          <w:sz w:val="20"/>
          <w:szCs w:val="20"/>
          <w:lang w:val="es-CR"/>
        </w:rPr>
        <w:t xml:space="preserve"> Si la potencia requerida excede los límites estandarizados o la red del circuito se encuentra cerca del tope del 15%, la empresa </w:t>
      </w:r>
      <w:r w:rsidRPr="00B86BB1">
        <w:rPr>
          <w:sz w:val="20"/>
          <w:szCs w:val="20"/>
          <w:lang w:val="es-CR"/>
        </w:rPr>
        <w:t>distribuidora exigirá un Estudio de Interconexión y Flujo de Carga a costo del interesado antes de otorgar la viabilidad.</w:t>
      </w:r>
    </w:p>
    <w:p w14:paraId="230D4FE1" w14:textId="77777777" w:rsidR="00074084" w:rsidRPr="0038630A" w:rsidRDefault="00074084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5. Condiciones Clave de Operación y Transición</w:t>
      </w:r>
    </w:p>
    <w:p w14:paraId="2BD5D068" w14:textId="7D0FDD45" w:rsidR="00074084" w:rsidRPr="0038630A" w:rsidRDefault="00074084" w:rsidP="00291014">
      <w:pPr>
        <w:numPr>
          <w:ilvl w:val="0"/>
          <w:numId w:val="8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Medición Bidireccional:</w:t>
      </w:r>
      <w:r w:rsidRPr="0038630A">
        <w:rPr>
          <w:sz w:val="20"/>
          <w:szCs w:val="20"/>
          <w:lang w:val="es-CR"/>
        </w:rPr>
        <w:t xml:space="preserve"> Todo abonado que opere bajo modalidad con entrega de excedentes debe disponer de un medidor bidireccional homologado por la empresa distribuidora.</w:t>
      </w:r>
    </w:p>
    <w:p w14:paraId="22AE0513" w14:textId="65A3FF94" w:rsidR="00074084" w:rsidRPr="0038630A" w:rsidRDefault="00074084" w:rsidP="00291014">
      <w:pPr>
        <w:numPr>
          <w:ilvl w:val="0"/>
          <w:numId w:val="8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Derecho de Interconexión:</w:t>
      </w:r>
      <w:r w:rsidRPr="0038630A">
        <w:rPr>
          <w:sz w:val="20"/>
          <w:szCs w:val="20"/>
          <w:lang w:val="es-CR"/>
        </w:rPr>
        <w:t xml:space="preserve"> Las empresas distribuidoras tienen la obligación legal de interconectar los sistemas FV, siempre y cuando el interesado cumpla con todos los requisitos del Código Eléctrico, la normativa de ARESEP y la capacidad del circuito no esté saturada.</w:t>
      </w:r>
    </w:p>
    <w:p w14:paraId="2EFB96FB" w14:textId="267F0D9C" w:rsidR="00074084" w:rsidRPr="0038630A" w:rsidRDefault="00074084" w:rsidP="00291014">
      <w:pPr>
        <w:numPr>
          <w:ilvl w:val="0"/>
          <w:numId w:val="8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Garantía de Seguridad:</w:t>
      </w:r>
      <w:r w:rsidRPr="0038630A">
        <w:rPr>
          <w:sz w:val="20"/>
          <w:szCs w:val="20"/>
          <w:lang w:val="es-CR"/>
        </w:rPr>
        <w:t xml:space="preserve"> Los inversores utilizados deben incluir la </w:t>
      </w:r>
      <w:r w:rsidRPr="00B86BB1">
        <w:rPr>
          <w:sz w:val="20"/>
          <w:szCs w:val="20"/>
          <w:lang w:val="es-CR"/>
        </w:rPr>
        <w:t xml:space="preserve">función de protección </w:t>
      </w:r>
      <w:proofErr w:type="spellStart"/>
      <w:r w:rsidRPr="00B86BB1">
        <w:rPr>
          <w:sz w:val="20"/>
          <w:szCs w:val="20"/>
          <w:lang w:val="es-CR"/>
        </w:rPr>
        <w:t>anti-isla</w:t>
      </w:r>
      <w:proofErr w:type="spellEnd"/>
      <w:r w:rsidRPr="00B86BB1">
        <w:rPr>
          <w:sz w:val="20"/>
          <w:szCs w:val="20"/>
          <w:lang w:val="es-CR"/>
        </w:rPr>
        <w:t xml:space="preserve"> (</w:t>
      </w:r>
      <w:r w:rsidRPr="00B86BB1">
        <w:rPr>
          <w:i/>
          <w:iCs/>
          <w:sz w:val="20"/>
          <w:szCs w:val="20"/>
          <w:lang w:val="es-CR"/>
        </w:rPr>
        <w:t>Anti-</w:t>
      </w:r>
      <w:proofErr w:type="spellStart"/>
      <w:r w:rsidRPr="00B86BB1">
        <w:rPr>
          <w:i/>
          <w:iCs/>
          <w:sz w:val="20"/>
          <w:szCs w:val="20"/>
          <w:lang w:val="es-CR"/>
        </w:rPr>
        <w:t>Islanding</w:t>
      </w:r>
      <w:proofErr w:type="spellEnd"/>
      <w:r w:rsidRPr="00B86BB1">
        <w:rPr>
          <w:sz w:val="20"/>
          <w:szCs w:val="20"/>
          <w:lang w:val="es-CR"/>
        </w:rPr>
        <w:t>), que desconecta automáticamente el sistema FV ante una</w:t>
      </w:r>
      <w:r w:rsidRPr="0038630A">
        <w:rPr>
          <w:sz w:val="20"/>
          <w:szCs w:val="20"/>
          <w:lang w:val="es-CR"/>
        </w:rPr>
        <w:t xml:space="preserve"> falla o corte en la red eléctrica pública para evitar electrocuciones de personal de mantenimiento.</w:t>
      </w:r>
    </w:p>
    <w:p w14:paraId="04DBD81B" w14:textId="58299FB7" w:rsidR="00074084" w:rsidRPr="0038630A" w:rsidRDefault="003E3BCC" w:rsidP="00291014">
      <w:pPr>
        <w:jc w:val="both"/>
        <w:rPr>
          <w:b/>
          <w:bCs/>
          <w:sz w:val="20"/>
          <w:szCs w:val="20"/>
          <w:lang w:val="es-CR"/>
        </w:rPr>
      </w:pPr>
      <w:r>
        <w:rPr>
          <w:b/>
          <w:bCs/>
          <w:sz w:val="20"/>
          <w:szCs w:val="20"/>
          <w:lang w:val="es-CR"/>
        </w:rPr>
        <w:t>Fuentes bibliográficas:</w:t>
      </w:r>
    </w:p>
    <w:p w14:paraId="31BBB2CA" w14:textId="74C534EA" w:rsidR="00074084" w:rsidRDefault="00074084" w:rsidP="00291014">
      <w:pPr>
        <w:numPr>
          <w:ilvl w:val="0"/>
          <w:numId w:val="9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Asamblea Legislativa de la República de Costa Rica.</w:t>
      </w:r>
      <w:r w:rsidRPr="0038630A">
        <w:rPr>
          <w:sz w:val="20"/>
          <w:szCs w:val="20"/>
          <w:lang w:val="es-CR"/>
        </w:rPr>
        <w:t xml:space="preserve"> (2021). </w:t>
      </w:r>
      <w:r w:rsidRPr="0038630A">
        <w:rPr>
          <w:i/>
          <w:iCs/>
          <w:sz w:val="20"/>
          <w:szCs w:val="20"/>
          <w:lang w:val="es-CR"/>
        </w:rPr>
        <w:t xml:space="preserve">Ley </w:t>
      </w:r>
      <w:proofErr w:type="spellStart"/>
      <w:r w:rsidRPr="0038630A">
        <w:rPr>
          <w:i/>
          <w:iCs/>
          <w:sz w:val="20"/>
          <w:szCs w:val="20"/>
          <w:lang w:val="es-CR"/>
        </w:rPr>
        <w:t>N.°</w:t>
      </w:r>
      <w:proofErr w:type="spellEnd"/>
      <w:r w:rsidRPr="0038630A">
        <w:rPr>
          <w:i/>
          <w:iCs/>
          <w:sz w:val="20"/>
          <w:szCs w:val="20"/>
          <w:lang w:val="es-CR"/>
        </w:rPr>
        <w:t xml:space="preserve"> 10086: Ley de Promoción y Regulación de Recursos Energéticos Distribuidos a partir de Fuentes Renovables</w:t>
      </w:r>
      <w:r w:rsidRPr="0038630A">
        <w:rPr>
          <w:sz w:val="20"/>
          <w:szCs w:val="20"/>
          <w:lang w:val="es-CR"/>
        </w:rPr>
        <w:t xml:space="preserve">. </w:t>
      </w:r>
      <w:r w:rsidRPr="00592E82">
        <w:rPr>
          <w:sz w:val="20"/>
          <w:szCs w:val="20"/>
          <w:lang w:val="es-CR"/>
        </w:rPr>
        <w:t xml:space="preserve">La Gaceta </w:t>
      </w:r>
      <w:proofErr w:type="spellStart"/>
      <w:r w:rsidRPr="00592E82">
        <w:rPr>
          <w:sz w:val="20"/>
          <w:szCs w:val="20"/>
          <w:lang w:val="es-CR"/>
        </w:rPr>
        <w:t>N.°</w:t>
      </w:r>
      <w:proofErr w:type="spellEnd"/>
      <w:r w:rsidRPr="00592E82">
        <w:rPr>
          <w:sz w:val="20"/>
          <w:szCs w:val="20"/>
          <w:lang w:val="es-CR"/>
        </w:rPr>
        <w:t xml:space="preserve"> 204. </w:t>
      </w:r>
      <w:hyperlink r:id="rId7" w:history="1">
        <w:r w:rsidR="00592E82" w:rsidRPr="001C3B6E">
          <w:rPr>
            <w:rStyle w:val="Hyperlink"/>
            <w:sz w:val="20"/>
            <w:szCs w:val="20"/>
            <w:lang w:val="es-CR"/>
          </w:rPr>
          <w:t>https://sinalevi.go.cr/ResultadosNormativa/Informacion?param1=96064&amp;param2=128505&amp;param3=1</w:t>
        </w:r>
      </w:hyperlink>
    </w:p>
    <w:p w14:paraId="08C6C674" w14:textId="49AB51B9" w:rsidR="00074084" w:rsidRDefault="00074084" w:rsidP="00291014">
      <w:pPr>
        <w:numPr>
          <w:ilvl w:val="0"/>
          <w:numId w:val="9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Ministerio de Ambiente y Energía (MINAE).</w:t>
      </w:r>
      <w:r w:rsidRPr="0038630A">
        <w:rPr>
          <w:sz w:val="20"/>
          <w:szCs w:val="20"/>
          <w:lang w:val="es-CR"/>
        </w:rPr>
        <w:t xml:space="preserve"> (2022). </w:t>
      </w:r>
      <w:r w:rsidRPr="0038630A">
        <w:rPr>
          <w:i/>
          <w:iCs/>
          <w:sz w:val="20"/>
          <w:szCs w:val="20"/>
          <w:lang w:val="es-CR"/>
        </w:rPr>
        <w:t xml:space="preserve">Decreto Ejecutivo </w:t>
      </w:r>
      <w:proofErr w:type="spellStart"/>
      <w:r w:rsidRPr="0038630A">
        <w:rPr>
          <w:i/>
          <w:iCs/>
          <w:sz w:val="20"/>
          <w:szCs w:val="20"/>
          <w:lang w:val="es-CR"/>
        </w:rPr>
        <w:t>N.°</w:t>
      </w:r>
      <w:proofErr w:type="spellEnd"/>
      <w:r w:rsidRPr="0038630A">
        <w:rPr>
          <w:i/>
          <w:iCs/>
          <w:sz w:val="20"/>
          <w:szCs w:val="20"/>
          <w:lang w:val="es-CR"/>
        </w:rPr>
        <w:t xml:space="preserve"> 43700-MINAE: Reglamento a la Ley </w:t>
      </w:r>
      <w:proofErr w:type="spellStart"/>
      <w:r w:rsidRPr="0038630A">
        <w:rPr>
          <w:i/>
          <w:iCs/>
          <w:sz w:val="20"/>
          <w:szCs w:val="20"/>
          <w:lang w:val="es-CR"/>
        </w:rPr>
        <w:t>N.°</w:t>
      </w:r>
      <w:proofErr w:type="spellEnd"/>
      <w:r w:rsidRPr="0038630A">
        <w:rPr>
          <w:i/>
          <w:iCs/>
          <w:sz w:val="20"/>
          <w:szCs w:val="20"/>
          <w:lang w:val="es-CR"/>
        </w:rPr>
        <w:t xml:space="preserve"> 10086</w:t>
      </w:r>
      <w:r w:rsidRPr="0038630A">
        <w:rPr>
          <w:sz w:val="20"/>
          <w:szCs w:val="20"/>
          <w:lang w:val="es-CR"/>
        </w:rPr>
        <w:t xml:space="preserve">. </w:t>
      </w:r>
      <w:r w:rsidRPr="006462F3">
        <w:rPr>
          <w:sz w:val="20"/>
          <w:szCs w:val="20"/>
          <w:lang w:val="es-CR"/>
        </w:rPr>
        <w:t xml:space="preserve">San José, Costa Rica. </w:t>
      </w:r>
      <w:hyperlink r:id="rId8" w:history="1">
        <w:r w:rsidR="006462F3" w:rsidRPr="001C3B6E">
          <w:rPr>
            <w:rStyle w:val="Hyperlink"/>
            <w:sz w:val="20"/>
            <w:szCs w:val="20"/>
            <w:lang w:val="es-CR"/>
          </w:rPr>
          <w:t>https://minae.go.cr/documentos/consultas-publicas/363-ley10086.aspx</w:t>
        </w:r>
      </w:hyperlink>
    </w:p>
    <w:p w14:paraId="5694B78B" w14:textId="75E36409" w:rsidR="00126819" w:rsidRPr="0038630A" w:rsidRDefault="00126819" w:rsidP="00291014">
      <w:pPr>
        <w:jc w:val="both"/>
        <w:rPr>
          <w:sz w:val="20"/>
          <w:szCs w:val="20"/>
          <w:lang w:val="es-CR"/>
        </w:rPr>
      </w:pPr>
    </w:p>
    <w:p w14:paraId="44CF1C80" w14:textId="1A2495E0" w:rsidR="00126819" w:rsidRPr="0038630A" w:rsidRDefault="00126819" w:rsidP="00A45666">
      <w:pPr>
        <w:jc w:val="center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Código Eléctrico de Costa Rica (RTCR 458:2011)</w:t>
      </w:r>
    </w:p>
    <w:p w14:paraId="58853995" w14:textId="77777777" w:rsidR="00126819" w:rsidRPr="0038630A" w:rsidRDefault="00126819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A. Versión y Edición Oficial Vigente</w:t>
      </w:r>
    </w:p>
    <w:p w14:paraId="1538D488" w14:textId="26342D9F" w:rsidR="00126819" w:rsidRPr="00B86BB1" w:rsidRDefault="00126819" w:rsidP="00291014">
      <w:pPr>
        <w:jc w:val="both"/>
        <w:rPr>
          <w:sz w:val="20"/>
          <w:szCs w:val="20"/>
          <w:lang w:val="es-CR"/>
        </w:rPr>
      </w:pPr>
      <w:r w:rsidRPr="00B86BB1">
        <w:rPr>
          <w:sz w:val="20"/>
          <w:szCs w:val="20"/>
          <w:lang w:val="es-CR"/>
        </w:rPr>
        <w:lastRenderedPageBreak/>
        <w:t xml:space="preserve">En Costa Rica, el marco técnico oficial obligatorio para las instalaciones eléctricas es el Reglamento Técnico RTCR 458:2011 "Código Eléctrico de Costa Rica para la Seguridad de la Vida y de la Propiedad", oficializado mediante el Decreto Ejecutivo </w:t>
      </w:r>
      <w:proofErr w:type="spellStart"/>
      <w:r w:rsidRPr="00B86BB1">
        <w:rPr>
          <w:sz w:val="20"/>
          <w:szCs w:val="20"/>
          <w:lang w:val="es-CR"/>
        </w:rPr>
        <w:t>N.°</w:t>
      </w:r>
      <w:proofErr w:type="spellEnd"/>
      <w:r w:rsidRPr="00B86BB1">
        <w:rPr>
          <w:sz w:val="20"/>
          <w:szCs w:val="20"/>
          <w:lang w:val="es-CR"/>
        </w:rPr>
        <w:t xml:space="preserve"> 36979-MEIC.</w:t>
      </w:r>
    </w:p>
    <w:p w14:paraId="2B7DEE8E" w14:textId="62DC80EC" w:rsidR="00126819" w:rsidRPr="0038630A" w:rsidRDefault="00126819" w:rsidP="00291014">
      <w:pPr>
        <w:jc w:val="both"/>
        <w:rPr>
          <w:sz w:val="20"/>
          <w:szCs w:val="20"/>
          <w:lang w:val="es-CR"/>
        </w:rPr>
      </w:pPr>
      <w:r w:rsidRPr="00B86BB1">
        <w:rPr>
          <w:sz w:val="20"/>
          <w:szCs w:val="20"/>
          <w:lang w:val="es-CR"/>
        </w:rPr>
        <w:t>Este código adopta íntegramente la norma internacional NFPA 70 (</w:t>
      </w:r>
      <w:proofErr w:type="spellStart"/>
      <w:r w:rsidRPr="00B86BB1">
        <w:rPr>
          <w:sz w:val="20"/>
          <w:szCs w:val="20"/>
          <w:lang w:val="es-CR"/>
        </w:rPr>
        <w:t>National</w:t>
      </w:r>
      <w:proofErr w:type="spellEnd"/>
      <w:r w:rsidRPr="00B86BB1">
        <w:rPr>
          <w:sz w:val="20"/>
          <w:szCs w:val="20"/>
          <w:lang w:val="es-CR"/>
        </w:rPr>
        <w:t xml:space="preserve"> </w:t>
      </w:r>
      <w:proofErr w:type="spellStart"/>
      <w:r w:rsidRPr="00B86BB1">
        <w:rPr>
          <w:sz w:val="20"/>
          <w:szCs w:val="20"/>
          <w:lang w:val="es-CR"/>
        </w:rPr>
        <w:t>Electrical</w:t>
      </w:r>
      <w:proofErr w:type="spellEnd"/>
      <w:r w:rsidRPr="00B86BB1">
        <w:rPr>
          <w:sz w:val="20"/>
          <w:szCs w:val="20"/>
          <w:lang w:val="es-CR"/>
        </w:rPr>
        <w:t xml:space="preserve"> Code - NEC 2008) adaptada al contexto costarricense. Todas las decisiones de diseño, selección de componentes y protecciones deben respaldarse en esta versión oficial para garantizar la vigencia</w:t>
      </w:r>
      <w:r w:rsidRPr="0038630A">
        <w:rPr>
          <w:sz w:val="20"/>
          <w:szCs w:val="20"/>
          <w:lang w:val="es-CR"/>
        </w:rPr>
        <w:t xml:space="preserve"> normativa de la propuesta. </w:t>
      </w:r>
    </w:p>
    <w:p w14:paraId="19359900" w14:textId="77777777" w:rsidR="00126819" w:rsidRPr="0038630A" w:rsidRDefault="00126819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B. Artículos Específicos Aplicables a Sistemas Solar Fotovoltaicos</w:t>
      </w:r>
    </w:p>
    <w:p w14:paraId="383B5F8E" w14:textId="77777777" w:rsidR="00126819" w:rsidRPr="0038630A" w:rsidRDefault="00126819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1. Artículo 690 — Sistemas Solares Fotovoltaicos (</w:t>
      </w:r>
      <w:r w:rsidRPr="0038630A">
        <w:rPr>
          <w:b/>
          <w:bCs/>
          <w:i/>
          <w:iCs/>
          <w:sz w:val="20"/>
          <w:szCs w:val="20"/>
          <w:lang w:val="es-CR"/>
        </w:rPr>
        <w:t xml:space="preserve">Solar </w:t>
      </w:r>
      <w:proofErr w:type="spellStart"/>
      <w:r w:rsidRPr="0038630A">
        <w:rPr>
          <w:b/>
          <w:bCs/>
          <w:i/>
          <w:iCs/>
          <w:sz w:val="20"/>
          <w:szCs w:val="20"/>
          <w:lang w:val="es-CR"/>
        </w:rPr>
        <w:t>Photovoltaic</w:t>
      </w:r>
      <w:proofErr w:type="spellEnd"/>
      <w:r w:rsidRPr="0038630A">
        <w:rPr>
          <w:b/>
          <w:bCs/>
          <w:i/>
          <w:iCs/>
          <w:sz w:val="20"/>
          <w:szCs w:val="20"/>
          <w:lang w:val="es-CR"/>
        </w:rPr>
        <w:t xml:space="preserve"> </w:t>
      </w:r>
      <w:proofErr w:type="spellStart"/>
      <w:r w:rsidRPr="0038630A">
        <w:rPr>
          <w:b/>
          <w:bCs/>
          <w:i/>
          <w:iCs/>
          <w:sz w:val="20"/>
          <w:szCs w:val="20"/>
          <w:lang w:val="es-CR"/>
        </w:rPr>
        <w:t>Systems</w:t>
      </w:r>
      <w:proofErr w:type="spellEnd"/>
      <w:r w:rsidRPr="0038630A">
        <w:rPr>
          <w:b/>
          <w:bCs/>
          <w:sz w:val="20"/>
          <w:szCs w:val="20"/>
          <w:lang w:val="es-CR"/>
        </w:rPr>
        <w:t>)</w:t>
      </w:r>
    </w:p>
    <w:p w14:paraId="629FECFC" w14:textId="1360E7DF" w:rsidR="00126819" w:rsidRPr="0038630A" w:rsidRDefault="00126819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Es la sección normativa primordial que rige la seguridad, dimensionamiento e instalación de los componentes del sistema FV: </w:t>
      </w:r>
    </w:p>
    <w:p w14:paraId="18A6ADF4" w14:textId="63AF5250" w:rsidR="00126819" w:rsidRPr="0038630A" w:rsidRDefault="00126819" w:rsidP="00291014">
      <w:pPr>
        <w:numPr>
          <w:ilvl w:val="0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Sección 690.7 — Tensión Máxima de Corriente Continua (DC):</w:t>
      </w:r>
    </w:p>
    <w:p w14:paraId="48D96BBB" w14:textId="42F10BA8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Requisito:</w:t>
      </w:r>
      <w:r w:rsidRPr="0038630A">
        <w:rPr>
          <w:sz w:val="20"/>
          <w:szCs w:val="20"/>
          <w:lang w:val="es-CR"/>
        </w:rPr>
        <w:t xml:space="preserve"> La tensión máxima del circuito de DC se calcula considerando la tensión de circuito abierto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oc</m:t>
            </m:r>
          </m:sub>
        </m:sSub>
      </m:oMath>
      <w:r w:rsidRPr="0038630A">
        <w:rPr>
          <w:sz w:val="20"/>
          <w:szCs w:val="20"/>
          <w:lang w:val="es-CR"/>
        </w:rPr>
        <w:t>) corregida por la temperatura mínima esperada en el sitio.</w:t>
      </w:r>
    </w:p>
    <w:p w14:paraId="18A8C2E3" w14:textId="3225B125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Aplicación:</w:t>
      </w:r>
      <w:r w:rsidRPr="0038630A">
        <w:rPr>
          <w:sz w:val="20"/>
          <w:szCs w:val="20"/>
          <w:lang w:val="es-CR"/>
        </w:rPr>
        <w:t xml:space="preserve"> En </w:t>
      </w:r>
      <w:r w:rsidRPr="001C4E89">
        <w:rPr>
          <w:sz w:val="20"/>
          <w:szCs w:val="20"/>
          <w:lang w:val="es-CR"/>
        </w:rPr>
        <w:t>instalaciones residenciales, la tensión máxima en DC no debe exceder los 600 V. En instalaciones comerciales o industriales sobre techos o terrenos, se permiten sistemas hasta 1000 V DC (o 1500 V DC en estándares</w:t>
      </w:r>
      <w:r w:rsidRPr="0038630A">
        <w:rPr>
          <w:sz w:val="20"/>
          <w:szCs w:val="20"/>
          <w:lang w:val="es-CR"/>
        </w:rPr>
        <w:t xml:space="preserve"> internacionales vigentes compatibles), sujeto a que los equipos e inversores estén expresamente listados y certificados para ese nivel de tensión.</w:t>
      </w:r>
    </w:p>
    <w:p w14:paraId="1AF6E8C5" w14:textId="65B254A4" w:rsidR="00126819" w:rsidRPr="0038630A" w:rsidRDefault="00126819" w:rsidP="00291014">
      <w:pPr>
        <w:numPr>
          <w:ilvl w:val="0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 xml:space="preserve">Sección 690.8 y 690.9 — Ampacidad de Conductores y Protección contra </w:t>
      </w:r>
      <w:proofErr w:type="spellStart"/>
      <w:r w:rsidRPr="0038630A">
        <w:rPr>
          <w:b/>
          <w:bCs/>
          <w:sz w:val="20"/>
          <w:szCs w:val="20"/>
          <w:lang w:val="es-CR"/>
        </w:rPr>
        <w:t>Sobrecorriente</w:t>
      </w:r>
      <w:proofErr w:type="spellEnd"/>
      <w:r w:rsidRPr="0038630A">
        <w:rPr>
          <w:b/>
          <w:bCs/>
          <w:sz w:val="20"/>
          <w:szCs w:val="20"/>
          <w:lang w:val="es-CR"/>
        </w:rPr>
        <w:t>:</w:t>
      </w:r>
    </w:p>
    <w:p w14:paraId="4D5819A3" w14:textId="1906A060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Requisito:</w:t>
      </w:r>
      <w:r w:rsidRPr="0038630A">
        <w:rPr>
          <w:sz w:val="20"/>
          <w:szCs w:val="20"/>
          <w:lang w:val="es-CR"/>
        </w:rPr>
        <w:t xml:space="preserve"> La corriente máxima de </w:t>
      </w:r>
      <w:r w:rsidRPr="001C4E89">
        <w:rPr>
          <w:sz w:val="20"/>
          <w:szCs w:val="20"/>
          <w:lang w:val="es-CR"/>
        </w:rPr>
        <w:t>los circuitos FV en DC se calcula como la Corriente de Cortocircuito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sc</m:t>
            </m:r>
          </m:sub>
        </m:sSub>
      </m:oMath>
      <w:r w:rsidRPr="001C4E89">
        <w:rPr>
          <w:sz w:val="20"/>
          <w:szCs w:val="20"/>
          <w:lang w:val="es-CR"/>
        </w:rPr>
        <w:t>) multiplicada por un factor continuo del 125% (</w:t>
      </w:r>
      <m:oMath>
        <m:r>
          <w:rPr>
            <w:rFonts w:ascii="Cambria Math" w:hAnsi="Cambria Math"/>
            <w:sz w:val="20"/>
            <w:szCs w:val="20"/>
            <w:lang w:val="es-CR"/>
          </w:rPr>
          <m:t>1.25×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sc</m:t>
            </m:r>
          </m:sub>
        </m:sSub>
      </m:oMath>
      <w:r w:rsidRPr="0038630A">
        <w:rPr>
          <w:sz w:val="20"/>
          <w:szCs w:val="20"/>
          <w:lang w:val="es-CR"/>
        </w:rPr>
        <w:t>).</w:t>
      </w:r>
    </w:p>
    <w:p w14:paraId="6EDAD331" w14:textId="37E385C4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Dimensionamiento:</w:t>
      </w:r>
      <w:r w:rsidRPr="0038630A">
        <w:rPr>
          <w:sz w:val="20"/>
          <w:szCs w:val="20"/>
          <w:lang w:val="es-CR"/>
        </w:rPr>
        <w:t xml:space="preserve"> El dispositivo de protección contra </w:t>
      </w:r>
      <w:proofErr w:type="spellStart"/>
      <w:r w:rsidRPr="0038630A">
        <w:rPr>
          <w:sz w:val="20"/>
          <w:szCs w:val="20"/>
          <w:lang w:val="es-CR"/>
        </w:rPr>
        <w:t>sobrecorriente</w:t>
      </w:r>
      <w:proofErr w:type="spellEnd"/>
      <w:r w:rsidRPr="0038630A">
        <w:rPr>
          <w:sz w:val="20"/>
          <w:szCs w:val="20"/>
          <w:lang w:val="es-CR"/>
        </w:rPr>
        <w:t xml:space="preserve"> (fusible o interruptor para DC) y los conductores deben dimensionarse considerando un factor de seguridad adicional del 125% sobre la corriente máxima (</w:t>
      </w:r>
      <m:oMath>
        <m:r>
          <w:rPr>
            <w:rFonts w:ascii="Cambria Math" w:hAnsi="Cambria Math"/>
            <w:sz w:val="20"/>
            <w:szCs w:val="20"/>
            <w:lang w:val="es-CR"/>
          </w:rPr>
          <m:t>1.25×1.25×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sc</m:t>
            </m:r>
          </m:sub>
        </m:sSub>
        <m:r>
          <w:rPr>
            <w:rFonts w:ascii="Cambria Math" w:hAnsi="Cambria Math"/>
            <w:sz w:val="20"/>
            <w:szCs w:val="20"/>
            <w:lang w:val="es-CR"/>
          </w:rPr>
          <m:t>=156.25%×</m:t>
        </m:r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I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sc</m:t>
            </m:r>
          </m:sub>
        </m:sSub>
      </m:oMath>
      <w:r w:rsidRPr="0038630A">
        <w:rPr>
          <w:sz w:val="20"/>
          <w:szCs w:val="20"/>
          <w:lang w:val="es-CR"/>
        </w:rPr>
        <w:t>).</w:t>
      </w:r>
    </w:p>
    <w:p w14:paraId="77EA1FA2" w14:textId="29BD03AE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Protección:</w:t>
      </w:r>
      <w:r w:rsidRPr="0038630A">
        <w:rPr>
          <w:sz w:val="20"/>
          <w:szCs w:val="20"/>
          <w:lang w:val="es-CR"/>
        </w:rPr>
        <w:t xml:space="preserve"> Cada cadena (</w:t>
      </w:r>
      <w:proofErr w:type="spellStart"/>
      <w:r w:rsidRPr="0038630A">
        <w:rPr>
          <w:i/>
          <w:iCs/>
          <w:sz w:val="20"/>
          <w:szCs w:val="20"/>
          <w:lang w:val="es-CR"/>
        </w:rPr>
        <w:t>string</w:t>
      </w:r>
      <w:proofErr w:type="spellEnd"/>
      <w:r w:rsidRPr="0038630A">
        <w:rPr>
          <w:sz w:val="20"/>
          <w:szCs w:val="20"/>
          <w:lang w:val="es-CR"/>
        </w:rPr>
        <w:t xml:space="preserve">) requiere fusibles térmicos/fotovoltaicos en DC (tipo </w:t>
      </w:r>
      <w:proofErr w:type="spellStart"/>
      <w:r w:rsidRPr="0038630A">
        <w:rPr>
          <w:sz w:val="20"/>
          <w:szCs w:val="20"/>
          <w:lang w:val="es-CR"/>
        </w:rPr>
        <w:t>gPV</w:t>
      </w:r>
      <w:proofErr w:type="spellEnd"/>
      <w:r w:rsidRPr="0038630A">
        <w:rPr>
          <w:sz w:val="20"/>
          <w:szCs w:val="20"/>
          <w:lang w:val="es-CR"/>
        </w:rPr>
        <w:t>) cuando dos o más cadenas se conecten en paralelo sobre la misma entrada.</w:t>
      </w:r>
    </w:p>
    <w:p w14:paraId="1D555564" w14:textId="156B3E35" w:rsidR="00126819" w:rsidRPr="0038630A" w:rsidRDefault="00126819" w:rsidP="00291014">
      <w:pPr>
        <w:numPr>
          <w:ilvl w:val="0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Sección 690.13 a 690.17 — Medios de Desconexión:</w:t>
      </w:r>
    </w:p>
    <w:p w14:paraId="02D28210" w14:textId="43452ADA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Requisito:</w:t>
      </w:r>
      <w:r w:rsidRPr="0038630A">
        <w:rPr>
          <w:sz w:val="20"/>
          <w:szCs w:val="20"/>
          <w:lang w:val="es-CR"/>
        </w:rPr>
        <w:t xml:space="preserve"> Se deben incluir desconectadores de apertura visible e interrupción de carga (</w:t>
      </w:r>
      <w:r w:rsidRPr="0038630A">
        <w:rPr>
          <w:i/>
          <w:iCs/>
          <w:sz w:val="20"/>
          <w:szCs w:val="20"/>
          <w:lang w:val="es-CR"/>
        </w:rPr>
        <w:t>load-break</w:t>
      </w:r>
      <w:r w:rsidRPr="0038630A">
        <w:rPr>
          <w:sz w:val="20"/>
          <w:szCs w:val="20"/>
          <w:lang w:val="es-CR"/>
        </w:rPr>
        <w:t>) para aislar todos los conductores no puestos a tierra provenientes del arreglo fotovoltaico.</w:t>
      </w:r>
    </w:p>
    <w:p w14:paraId="4E29FCEF" w14:textId="37505C73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Ubicación:</w:t>
      </w:r>
      <w:r w:rsidRPr="0038630A">
        <w:rPr>
          <w:sz w:val="20"/>
          <w:szCs w:val="20"/>
          <w:lang w:val="es-CR"/>
        </w:rPr>
        <w:t xml:space="preserve"> El desconectador principal de DC debe ser fácilmente accesible y ubicarse en un lugar de rápido acceso antes o en la entrada del inversor.</w:t>
      </w:r>
    </w:p>
    <w:p w14:paraId="17C2418B" w14:textId="08C32D35" w:rsidR="00126819" w:rsidRPr="0038630A" w:rsidRDefault="00126819" w:rsidP="00291014">
      <w:pPr>
        <w:numPr>
          <w:ilvl w:val="0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Sección 690.31 — Métodos de Canalización y Conductores en DC:</w:t>
      </w:r>
    </w:p>
    <w:p w14:paraId="036D394B" w14:textId="4A3467C8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Requisito:</w:t>
      </w:r>
      <w:r w:rsidRPr="0038630A">
        <w:rPr>
          <w:sz w:val="20"/>
          <w:szCs w:val="20"/>
          <w:lang w:val="es-CR"/>
        </w:rPr>
        <w:t xml:space="preserve"> Los conductores que transportan corriente continua en el lado FV deben ser específicos para </w:t>
      </w:r>
      <w:r w:rsidRPr="001C4E89">
        <w:rPr>
          <w:sz w:val="20"/>
          <w:szCs w:val="20"/>
          <w:lang w:val="es-CR"/>
        </w:rPr>
        <w:t>aplicación solar (tipo USE-2 o PV Wire / RPVU), resiste</w:t>
      </w:r>
      <w:r w:rsidRPr="0038630A">
        <w:rPr>
          <w:sz w:val="20"/>
          <w:szCs w:val="20"/>
          <w:lang w:val="es-CR"/>
        </w:rPr>
        <w:t xml:space="preserve">ntes a la radiación ultravioleta (UV), a la humedad y con rango térmico de </w:t>
      </w:r>
      <m:oMath>
        <m:sSup>
          <m:sSupPr>
            <m:ctrlPr>
              <w:rPr>
                <w:rFonts w:ascii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s-CR"/>
              </w:rPr>
              <m:t>90</m:t>
            </m:r>
          </m:e>
          <m:sup>
            <m:r>
              <w:rPr>
                <w:rFonts w:ascii="Cambria Math" w:hAnsi="Cambria Math"/>
                <w:sz w:val="20"/>
                <w:szCs w:val="20"/>
                <w:lang w:val="es-CR"/>
              </w:rPr>
              <m:t>∘</m:t>
            </m:r>
          </m:sup>
        </m:sSup>
        <m:r>
          <m:rPr>
            <m:nor/>
          </m:rPr>
          <w:rPr>
            <w:sz w:val="20"/>
            <w:szCs w:val="20"/>
            <w:lang w:val="es-CR"/>
          </w:rPr>
          <m:t>C</m:t>
        </m:r>
      </m:oMath>
      <w:r w:rsidRPr="0038630A">
        <w:rPr>
          <w:sz w:val="20"/>
          <w:szCs w:val="20"/>
          <w:lang w:val="es-CR"/>
        </w:rPr>
        <w:t xml:space="preserve"> o superior.</w:t>
      </w:r>
    </w:p>
    <w:p w14:paraId="5B8259AE" w14:textId="1D21E155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lastRenderedPageBreak/>
        <w:t>Canalización:</w:t>
      </w:r>
      <w:r w:rsidRPr="0038630A">
        <w:rPr>
          <w:sz w:val="20"/>
          <w:szCs w:val="20"/>
          <w:lang w:val="es-CR"/>
        </w:rPr>
        <w:t xml:space="preserve"> Cuando los circuitos de DC atraviesan el interior de una edificación, deben alojarse obligatoriamente en tuberías o canalizaciones metálicas (por ejemplo, tubo EMT o metálico flexible) marcadas con etiquetas de advertencia "Circuito Fotovoltaico en DC".</w:t>
      </w:r>
    </w:p>
    <w:p w14:paraId="3C5C53A9" w14:textId="784D29F1" w:rsidR="00126819" w:rsidRPr="0038630A" w:rsidRDefault="00126819" w:rsidP="00291014">
      <w:pPr>
        <w:numPr>
          <w:ilvl w:val="0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Sección 690.41 a 690.50 — Puesta a Tierra y Conexión a Masa (</w:t>
      </w:r>
      <w:proofErr w:type="spellStart"/>
      <w:r w:rsidRPr="0038630A">
        <w:rPr>
          <w:b/>
          <w:bCs/>
          <w:i/>
          <w:iCs/>
          <w:sz w:val="20"/>
          <w:szCs w:val="20"/>
          <w:lang w:val="es-CR"/>
        </w:rPr>
        <w:t>Grounding</w:t>
      </w:r>
      <w:proofErr w:type="spellEnd"/>
      <w:r w:rsidRPr="0038630A">
        <w:rPr>
          <w:b/>
          <w:bCs/>
          <w:i/>
          <w:iCs/>
          <w:sz w:val="20"/>
          <w:szCs w:val="20"/>
          <w:lang w:val="es-CR"/>
        </w:rPr>
        <w:t xml:space="preserve"> and </w:t>
      </w:r>
      <w:proofErr w:type="spellStart"/>
      <w:r w:rsidRPr="0038630A">
        <w:rPr>
          <w:b/>
          <w:bCs/>
          <w:i/>
          <w:iCs/>
          <w:sz w:val="20"/>
          <w:szCs w:val="20"/>
          <w:lang w:val="es-CR"/>
        </w:rPr>
        <w:t>Bonding</w:t>
      </w:r>
      <w:proofErr w:type="spellEnd"/>
      <w:r w:rsidRPr="0038630A">
        <w:rPr>
          <w:b/>
          <w:bCs/>
          <w:sz w:val="20"/>
          <w:szCs w:val="20"/>
          <w:lang w:val="es-CR"/>
        </w:rPr>
        <w:t>):</w:t>
      </w:r>
    </w:p>
    <w:p w14:paraId="1DD0AEB0" w14:textId="5DC537CE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Puesta a Tierra de Equipos (EGC):</w:t>
      </w:r>
      <w:r w:rsidRPr="0038630A">
        <w:rPr>
          <w:sz w:val="20"/>
          <w:szCs w:val="20"/>
          <w:lang w:val="es-CR"/>
        </w:rPr>
        <w:t xml:space="preserve"> Todas las partes metálicas expuestas que no transportan corriente (marcos de paneles de aluminio, rieles de soporte, carcasas de inversores y cajas </w:t>
      </w:r>
      <w:proofErr w:type="spellStart"/>
      <w:r w:rsidRPr="0038630A">
        <w:rPr>
          <w:sz w:val="20"/>
          <w:szCs w:val="20"/>
          <w:lang w:val="es-CR"/>
        </w:rPr>
        <w:t>combinadoras</w:t>
      </w:r>
      <w:proofErr w:type="spellEnd"/>
      <w:r w:rsidRPr="0038630A">
        <w:rPr>
          <w:sz w:val="20"/>
          <w:szCs w:val="20"/>
          <w:lang w:val="es-CR"/>
        </w:rPr>
        <w:t xml:space="preserve">) deben conectarse galvánicamente a masa. </w:t>
      </w:r>
    </w:p>
    <w:p w14:paraId="10835847" w14:textId="340850E9" w:rsidR="00126819" w:rsidRPr="0038630A" w:rsidRDefault="00126819" w:rsidP="00291014">
      <w:pPr>
        <w:numPr>
          <w:ilvl w:val="1"/>
          <w:numId w:val="10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Protección contra Fallas a Tierra (GFDI):</w:t>
      </w:r>
      <w:r w:rsidRPr="0038630A">
        <w:rPr>
          <w:sz w:val="20"/>
          <w:szCs w:val="20"/>
          <w:lang w:val="es-CR"/>
        </w:rPr>
        <w:t xml:space="preserve"> Los inversores o sistemas en DC deben contar con un dispositivo automático de detección e interrupción de fallas a tierra para reducir el riesgo de arcos eléctricos e incendios.</w:t>
      </w:r>
    </w:p>
    <w:p w14:paraId="19DE5856" w14:textId="77777777" w:rsidR="00126819" w:rsidRPr="0038630A" w:rsidRDefault="00126819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2. Artículo 705 — Fuentes de Generación de Energía Eléctrica Interconectadas (</w:t>
      </w:r>
      <w:proofErr w:type="spellStart"/>
      <w:r w:rsidRPr="0038630A">
        <w:rPr>
          <w:b/>
          <w:bCs/>
          <w:i/>
          <w:iCs/>
          <w:sz w:val="20"/>
          <w:szCs w:val="20"/>
          <w:lang w:val="es-CR"/>
        </w:rPr>
        <w:t>Interconnected</w:t>
      </w:r>
      <w:proofErr w:type="spellEnd"/>
      <w:r w:rsidRPr="0038630A">
        <w:rPr>
          <w:b/>
          <w:bCs/>
          <w:i/>
          <w:iCs/>
          <w:sz w:val="20"/>
          <w:szCs w:val="20"/>
          <w:lang w:val="es-CR"/>
        </w:rPr>
        <w:t xml:space="preserve"> Electric Power </w:t>
      </w:r>
      <w:proofErr w:type="spellStart"/>
      <w:r w:rsidRPr="0038630A">
        <w:rPr>
          <w:b/>
          <w:bCs/>
          <w:i/>
          <w:iCs/>
          <w:sz w:val="20"/>
          <w:szCs w:val="20"/>
          <w:lang w:val="es-CR"/>
        </w:rPr>
        <w:t>Production</w:t>
      </w:r>
      <w:proofErr w:type="spellEnd"/>
      <w:r w:rsidRPr="0038630A">
        <w:rPr>
          <w:b/>
          <w:bCs/>
          <w:i/>
          <w:iCs/>
          <w:sz w:val="20"/>
          <w:szCs w:val="20"/>
          <w:lang w:val="es-CR"/>
        </w:rPr>
        <w:t xml:space="preserve"> </w:t>
      </w:r>
      <w:proofErr w:type="spellStart"/>
      <w:r w:rsidRPr="0038630A">
        <w:rPr>
          <w:b/>
          <w:bCs/>
          <w:i/>
          <w:iCs/>
          <w:sz w:val="20"/>
          <w:szCs w:val="20"/>
          <w:lang w:val="es-CR"/>
        </w:rPr>
        <w:t>Sources</w:t>
      </w:r>
      <w:proofErr w:type="spellEnd"/>
      <w:r w:rsidRPr="0038630A">
        <w:rPr>
          <w:b/>
          <w:bCs/>
          <w:sz w:val="20"/>
          <w:szCs w:val="20"/>
          <w:lang w:val="es-CR"/>
        </w:rPr>
        <w:t>)</w:t>
      </w:r>
    </w:p>
    <w:p w14:paraId="62A9C7D1" w14:textId="78EF0D5B" w:rsidR="00126819" w:rsidRPr="0038630A" w:rsidRDefault="00126819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Gobierna la integración segura entre la salida de Corriente Alterna (AC) del sistema FV y la red pública o tablero del inmueble: </w:t>
      </w:r>
    </w:p>
    <w:p w14:paraId="55DDABAE" w14:textId="5EE31756" w:rsidR="00126819" w:rsidRPr="0038630A" w:rsidRDefault="00126819" w:rsidP="00291014">
      <w:pPr>
        <w:numPr>
          <w:ilvl w:val="0"/>
          <w:numId w:val="11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Sección 705.12 — Punto de Interconexión (Lado Carga vs. Lado Línea):</w:t>
      </w:r>
    </w:p>
    <w:p w14:paraId="6909A51B" w14:textId="0E369623" w:rsidR="00126819" w:rsidRPr="001C4E89" w:rsidRDefault="00126819" w:rsidP="00291014">
      <w:pPr>
        <w:numPr>
          <w:ilvl w:val="1"/>
          <w:numId w:val="11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Conexión del lado de la carga (705.12(D)):</w:t>
      </w:r>
      <w:r w:rsidRPr="0038630A">
        <w:rPr>
          <w:sz w:val="20"/>
          <w:szCs w:val="20"/>
          <w:lang w:val="es-CR"/>
        </w:rPr>
        <w:t xml:space="preserve"> El interruptor de AC del inversor se conecta a un breaker del tablero principal. La suma de los </w:t>
      </w:r>
      <w:proofErr w:type="spellStart"/>
      <w:r w:rsidRPr="0038630A">
        <w:rPr>
          <w:sz w:val="20"/>
          <w:szCs w:val="20"/>
          <w:lang w:val="es-CR"/>
        </w:rPr>
        <w:t>breakers</w:t>
      </w:r>
      <w:proofErr w:type="spellEnd"/>
      <w:r w:rsidRPr="0038630A">
        <w:rPr>
          <w:sz w:val="20"/>
          <w:szCs w:val="20"/>
          <w:lang w:val="es-CR"/>
        </w:rPr>
        <w:t xml:space="preserve"> de </w:t>
      </w:r>
      <w:r w:rsidRPr="001C4E89">
        <w:rPr>
          <w:sz w:val="20"/>
          <w:szCs w:val="20"/>
          <w:lang w:val="es-CR"/>
        </w:rPr>
        <w:t>protección principal más el breaker de generación FV no debe superar el 120% de la capacidad de corriente nominal de la barra del tablero (</w:t>
      </w:r>
      <w:r w:rsidRPr="001C4E89">
        <w:rPr>
          <w:i/>
          <w:iCs/>
          <w:sz w:val="20"/>
          <w:szCs w:val="20"/>
          <w:lang w:val="es-CR"/>
        </w:rPr>
        <w:t>Regla del 120%</w:t>
      </w:r>
      <w:r w:rsidRPr="001C4E89">
        <w:rPr>
          <w:sz w:val="20"/>
          <w:szCs w:val="20"/>
          <w:lang w:val="es-CR"/>
        </w:rPr>
        <w:t>).</w:t>
      </w:r>
    </w:p>
    <w:p w14:paraId="2684BAA4" w14:textId="206D5F38" w:rsidR="00126819" w:rsidRPr="0038630A" w:rsidRDefault="00126819" w:rsidP="00291014">
      <w:pPr>
        <w:numPr>
          <w:ilvl w:val="1"/>
          <w:numId w:val="11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Conexión del lado de la línea (705.12(A)):</w:t>
      </w:r>
      <w:r w:rsidRPr="0038630A">
        <w:rPr>
          <w:sz w:val="20"/>
          <w:szCs w:val="20"/>
          <w:lang w:val="es-CR"/>
        </w:rPr>
        <w:t xml:space="preserve"> Si la regla del 120% no se cumple o el sistema es de gran escala (industrial), la interconexión se realiza en la acometida entre el medidor bidireccional y el interruptor principal mediante un medio de desconexión fusionado dedicado.</w:t>
      </w:r>
    </w:p>
    <w:p w14:paraId="032FCE4E" w14:textId="28D506F7" w:rsidR="00126819" w:rsidRPr="0038630A" w:rsidRDefault="00126819" w:rsidP="00291014">
      <w:pPr>
        <w:numPr>
          <w:ilvl w:val="0"/>
          <w:numId w:val="11"/>
        </w:numPr>
        <w:jc w:val="both"/>
        <w:rPr>
          <w:sz w:val="20"/>
          <w:szCs w:val="20"/>
        </w:rPr>
      </w:pPr>
      <w:proofErr w:type="spellStart"/>
      <w:r w:rsidRPr="0038630A">
        <w:rPr>
          <w:b/>
          <w:bCs/>
          <w:sz w:val="20"/>
          <w:szCs w:val="20"/>
        </w:rPr>
        <w:t>Sección</w:t>
      </w:r>
      <w:proofErr w:type="spellEnd"/>
      <w:r w:rsidRPr="0038630A">
        <w:rPr>
          <w:b/>
          <w:bCs/>
          <w:sz w:val="20"/>
          <w:szCs w:val="20"/>
        </w:rPr>
        <w:t xml:space="preserve"> 705.40 — </w:t>
      </w:r>
      <w:proofErr w:type="spellStart"/>
      <w:r w:rsidRPr="0038630A">
        <w:rPr>
          <w:b/>
          <w:bCs/>
          <w:sz w:val="20"/>
          <w:szCs w:val="20"/>
        </w:rPr>
        <w:t>Protección</w:t>
      </w:r>
      <w:proofErr w:type="spellEnd"/>
      <w:r w:rsidRPr="0038630A">
        <w:rPr>
          <w:b/>
          <w:bCs/>
          <w:sz w:val="20"/>
          <w:szCs w:val="20"/>
        </w:rPr>
        <w:t xml:space="preserve"> Anti-Isla (</w:t>
      </w:r>
      <w:r w:rsidRPr="0038630A">
        <w:rPr>
          <w:b/>
          <w:bCs/>
          <w:i/>
          <w:iCs/>
          <w:sz w:val="20"/>
          <w:szCs w:val="20"/>
        </w:rPr>
        <w:t>Loss of Primary Source</w:t>
      </w:r>
      <w:r w:rsidRPr="0038630A">
        <w:rPr>
          <w:b/>
          <w:bCs/>
          <w:sz w:val="20"/>
          <w:szCs w:val="20"/>
        </w:rPr>
        <w:t>):</w:t>
      </w:r>
    </w:p>
    <w:p w14:paraId="0C64B441" w14:textId="6B5CC7B3" w:rsidR="00126819" w:rsidRPr="0038630A" w:rsidRDefault="00126819" w:rsidP="00291014">
      <w:pPr>
        <w:numPr>
          <w:ilvl w:val="1"/>
          <w:numId w:val="11"/>
        </w:numPr>
        <w:jc w:val="both"/>
        <w:rPr>
          <w:sz w:val="20"/>
          <w:szCs w:val="20"/>
          <w:lang w:val="es-CR"/>
        </w:rPr>
      </w:pPr>
      <w:r w:rsidRPr="0038630A">
        <w:rPr>
          <w:i/>
          <w:iCs/>
          <w:sz w:val="20"/>
          <w:szCs w:val="20"/>
          <w:lang w:val="es-CR"/>
        </w:rPr>
        <w:t>Requisito:</w:t>
      </w:r>
      <w:r w:rsidRPr="0038630A">
        <w:rPr>
          <w:sz w:val="20"/>
          <w:szCs w:val="20"/>
          <w:lang w:val="es-CR"/>
        </w:rPr>
        <w:t xml:space="preserve"> El sistema de generación debe cesar automáticamente el suministro de energía a la red de la distribuidora en un plazo máximo de 2 segundos tras un corte de suministro eléctrico comercial, previniendo la presurización peligrosa de líneas en mantenimiento.</w:t>
      </w:r>
    </w:p>
    <w:p w14:paraId="0E63CEF3" w14:textId="77777777" w:rsidR="00126819" w:rsidRPr="0038630A" w:rsidRDefault="00126819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3. Artículos de Respaldo General (250 y 310)</w:t>
      </w:r>
    </w:p>
    <w:p w14:paraId="7323EBE5" w14:textId="5323A63D" w:rsidR="00126819" w:rsidRPr="0038630A" w:rsidRDefault="00126819" w:rsidP="00291014">
      <w:pPr>
        <w:numPr>
          <w:ilvl w:val="0"/>
          <w:numId w:val="12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Artículo 250 (Puesta a Tierra):</w:t>
      </w:r>
      <w:r w:rsidRPr="0038630A">
        <w:rPr>
          <w:sz w:val="20"/>
          <w:szCs w:val="20"/>
          <w:lang w:val="es-CR"/>
        </w:rPr>
        <w:t xml:space="preserve"> Define la instalación del Electrodo de Puesta a Tierra (GEC), barra </w:t>
      </w:r>
      <w:proofErr w:type="spellStart"/>
      <w:r w:rsidRPr="0038630A">
        <w:rPr>
          <w:sz w:val="20"/>
          <w:szCs w:val="20"/>
          <w:lang w:val="es-CR"/>
        </w:rPr>
        <w:t>cooperweld</w:t>
      </w:r>
      <w:proofErr w:type="spellEnd"/>
      <w:r w:rsidRPr="0038630A">
        <w:rPr>
          <w:sz w:val="20"/>
          <w:szCs w:val="20"/>
          <w:lang w:val="es-CR"/>
        </w:rPr>
        <w:t xml:space="preserve"> y </w:t>
      </w:r>
      <w:proofErr w:type="spellStart"/>
      <w:r w:rsidRPr="0038630A">
        <w:rPr>
          <w:sz w:val="20"/>
          <w:szCs w:val="20"/>
          <w:lang w:val="es-CR"/>
        </w:rPr>
        <w:t>equipotencialización</w:t>
      </w:r>
      <w:proofErr w:type="spellEnd"/>
      <w:r w:rsidRPr="0038630A">
        <w:rPr>
          <w:sz w:val="20"/>
          <w:szCs w:val="20"/>
          <w:lang w:val="es-CR"/>
        </w:rPr>
        <w:t xml:space="preserve"> general de las instalaciones eléctricas. </w:t>
      </w:r>
    </w:p>
    <w:p w14:paraId="416C8B5E" w14:textId="578D77C3" w:rsidR="00126819" w:rsidRPr="0038630A" w:rsidRDefault="00126819" w:rsidP="00291014">
      <w:pPr>
        <w:numPr>
          <w:ilvl w:val="0"/>
          <w:numId w:val="12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Artículo 310 (Conductores para Instalaciones Generales):</w:t>
      </w:r>
      <w:r w:rsidRPr="0038630A">
        <w:rPr>
          <w:sz w:val="20"/>
          <w:szCs w:val="20"/>
          <w:lang w:val="es-CR"/>
        </w:rPr>
        <w:t xml:space="preserve"> </w:t>
      </w:r>
      <w:r w:rsidRPr="001C4E89">
        <w:rPr>
          <w:sz w:val="20"/>
          <w:szCs w:val="20"/>
          <w:lang w:val="es-CR"/>
        </w:rPr>
        <w:t>Regula los factores de corrección de ampacidad por temperatura ambiente elevada (común en tech</w:t>
      </w:r>
      <w:r w:rsidRPr="0038630A">
        <w:rPr>
          <w:sz w:val="20"/>
          <w:szCs w:val="20"/>
          <w:lang w:val="es-CR"/>
        </w:rPr>
        <w:t xml:space="preserve">os) y el factor de corrección por agrupamiento de más de 3 conductores activos en una misma canalización. </w:t>
      </w:r>
    </w:p>
    <w:p w14:paraId="4489FA3D" w14:textId="77777777" w:rsidR="003E3BCC" w:rsidRPr="003E3BCC" w:rsidRDefault="003E3BCC" w:rsidP="003E3BCC">
      <w:pPr>
        <w:jc w:val="both"/>
        <w:rPr>
          <w:b/>
          <w:bCs/>
          <w:sz w:val="20"/>
          <w:szCs w:val="20"/>
          <w:lang w:val="es-CR"/>
        </w:rPr>
      </w:pPr>
      <w:r w:rsidRPr="003E3BCC">
        <w:rPr>
          <w:b/>
          <w:bCs/>
          <w:sz w:val="20"/>
          <w:szCs w:val="20"/>
          <w:lang w:val="es-CR"/>
        </w:rPr>
        <w:t>Fuentes bibliográficas:</w:t>
      </w:r>
    </w:p>
    <w:p w14:paraId="0CF5FE15" w14:textId="4C92D408" w:rsidR="00126819" w:rsidRDefault="00126819" w:rsidP="00291014">
      <w:pPr>
        <w:numPr>
          <w:ilvl w:val="0"/>
          <w:numId w:val="13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Ministerio de Economía, Industria y Comercio (MEIC).</w:t>
      </w:r>
      <w:r w:rsidRPr="0038630A">
        <w:rPr>
          <w:sz w:val="20"/>
          <w:szCs w:val="20"/>
          <w:lang w:val="es-CR"/>
        </w:rPr>
        <w:t xml:space="preserve"> (2012). </w:t>
      </w:r>
      <w:r w:rsidRPr="0038630A">
        <w:rPr>
          <w:i/>
          <w:iCs/>
          <w:sz w:val="20"/>
          <w:szCs w:val="20"/>
          <w:lang w:val="es-CR"/>
        </w:rPr>
        <w:t xml:space="preserve">Decreto Ejecutivo </w:t>
      </w:r>
      <w:proofErr w:type="spellStart"/>
      <w:r w:rsidRPr="0038630A">
        <w:rPr>
          <w:i/>
          <w:iCs/>
          <w:sz w:val="20"/>
          <w:szCs w:val="20"/>
          <w:lang w:val="es-CR"/>
        </w:rPr>
        <w:t>N.°</w:t>
      </w:r>
      <w:proofErr w:type="spellEnd"/>
      <w:r w:rsidRPr="0038630A">
        <w:rPr>
          <w:i/>
          <w:iCs/>
          <w:sz w:val="20"/>
          <w:szCs w:val="20"/>
          <w:lang w:val="es-CR"/>
        </w:rPr>
        <w:t xml:space="preserve"> 36979-MEIC: RTCR 458:2011 Código Eléctrico de Costa Rica para la Seguridad de la Vida y de la Propiedad (NFPA </w:t>
      </w:r>
      <w:r w:rsidRPr="0038630A">
        <w:rPr>
          <w:i/>
          <w:iCs/>
          <w:sz w:val="20"/>
          <w:szCs w:val="20"/>
          <w:lang w:val="es-CR"/>
        </w:rPr>
        <w:lastRenderedPageBreak/>
        <w:t>70 / NEC 2008)</w:t>
      </w:r>
      <w:r w:rsidRPr="0038630A">
        <w:rPr>
          <w:sz w:val="20"/>
          <w:szCs w:val="20"/>
          <w:lang w:val="es-CR"/>
        </w:rPr>
        <w:t xml:space="preserve">. </w:t>
      </w:r>
      <w:r w:rsidRPr="00B051BD">
        <w:rPr>
          <w:sz w:val="20"/>
          <w:szCs w:val="20"/>
          <w:lang w:val="es-CR"/>
        </w:rPr>
        <w:t xml:space="preserve">La Gaceta </w:t>
      </w:r>
      <w:proofErr w:type="spellStart"/>
      <w:r w:rsidRPr="00B051BD">
        <w:rPr>
          <w:sz w:val="20"/>
          <w:szCs w:val="20"/>
          <w:lang w:val="es-CR"/>
        </w:rPr>
        <w:t>N.°</w:t>
      </w:r>
      <w:proofErr w:type="spellEnd"/>
      <w:r w:rsidRPr="00B051BD">
        <w:rPr>
          <w:sz w:val="20"/>
          <w:szCs w:val="20"/>
          <w:lang w:val="es-CR"/>
        </w:rPr>
        <w:t xml:space="preserve"> 47, San José, Costa Rica. </w:t>
      </w:r>
      <w:hyperlink r:id="rId9" w:history="1">
        <w:r w:rsidR="00B051BD" w:rsidRPr="001C3B6E">
          <w:rPr>
            <w:rStyle w:val="Hyperlink"/>
            <w:sz w:val="20"/>
            <w:szCs w:val="20"/>
            <w:lang w:val="es-CR"/>
          </w:rPr>
          <w:t>https://ciemicr.org/wp-content/uploads/2024/12/Decreto-Codigo-Electrico_compressed.pdf</w:t>
        </w:r>
      </w:hyperlink>
    </w:p>
    <w:p w14:paraId="551EED50" w14:textId="74AA47E6" w:rsidR="00140508" w:rsidRDefault="00126819" w:rsidP="00291014">
      <w:pPr>
        <w:numPr>
          <w:ilvl w:val="0"/>
          <w:numId w:val="13"/>
        </w:numPr>
        <w:jc w:val="both"/>
        <w:rPr>
          <w:sz w:val="20"/>
          <w:szCs w:val="20"/>
        </w:rPr>
      </w:pPr>
      <w:r w:rsidRPr="0038630A">
        <w:rPr>
          <w:b/>
          <w:bCs/>
          <w:sz w:val="20"/>
          <w:szCs w:val="20"/>
        </w:rPr>
        <w:t>National Fire Protection Association (NFPA).</w:t>
      </w:r>
      <w:r w:rsidRPr="0038630A">
        <w:rPr>
          <w:sz w:val="20"/>
          <w:szCs w:val="20"/>
        </w:rPr>
        <w:t xml:space="preserve"> (2008). </w:t>
      </w:r>
      <w:r w:rsidRPr="0038630A">
        <w:rPr>
          <w:i/>
          <w:iCs/>
          <w:sz w:val="20"/>
          <w:szCs w:val="20"/>
        </w:rPr>
        <w:t>NFPA 70: National Electrical Code (NEC)</w:t>
      </w:r>
      <w:r w:rsidRPr="0038630A">
        <w:rPr>
          <w:sz w:val="20"/>
          <w:szCs w:val="20"/>
        </w:rPr>
        <w:t xml:space="preserve">. Article 690 (Solar Photovoltaic Systems) &amp; Article 705 (Interconnected Electric Power Production Sources). </w:t>
      </w:r>
      <w:hyperlink r:id="rId10" w:history="1">
        <w:r w:rsidR="00140508" w:rsidRPr="001C3B6E">
          <w:rPr>
            <w:rStyle w:val="Hyperlink"/>
            <w:sz w:val="20"/>
            <w:szCs w:val="20"/>
          </w:rPr>
          <w:t>https://www.powerandcables.com/wp-content/uploads/2020/01/2008-National-Electrical-Code-NFPA-70.pdf</w:t>
        </w:r>
      </w:hyperlink>
    </w:p>
    <w:p w14:paraId="2ED139EE" w14:textId="77FF33FA" w:rsidR="00303FEE" w:rsidRPr="0038630A" w:rsidRDefault="00303FEE" w:rsidP="00140508">
      <w:pPr>
        <w:jc w:val="both"/>
        <w:rPr>
          <w:sz w:val="20"/>
          <w:szCs w:val="20"/>
        </w:rPr>
      </w:pPr>
    </w:p>
    <w:p w14:paraId="6D216DDF" w14:textId="70820E51" w:rsidR="00303FEE" w:rsidRPr="0038630A" w:rsidRDefault="00303FEE" w:rsidP="00A45666">
      <w:pPr>
        <w:jc w:val="center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Normativa Técnica y Tarifaria de la ARESEP</w:t>
      </w:r>
    </w:p>
    <w:p w14:paraId="0A52B45B" w14:textId="7A7697E6" w:rsidR="00303FEE" w:rsidRPr="0038630A" w:rsidRDefault="00303FEE" w:rsidP="00291014">
      <w:pPr>
        <w:jc w:val="both"/>
        <w:rPr>
          <w:sz w:val="20"/>
          <w:szCs w:val="20"/>
          <w:lang w:val="es-CR"/>
        </w:rPr>
      </w:pPr>
      <w:r w:rsidRPr="00A45666">
        <w:rPr>
          <w:sz w:val="20"/>
          <w:szCs w:val="20"/>
          <w:lang w:val="es-CR"/>
        </w:rPr>
        <w:t>La Autoridad Reguladora de los Servicios Públicos (ARESEP) es la</w:t>
      </w:r>
      <w:r w:rsidRPr="0038630A">
        <w:rPr>
          <w:sz w:val="20"/>
          <w:szCs w:val="20"/>
          <w:lang w:val="es-CR"/>
        </w:rPr>
        <w:t xml:space="preserve"> entidad encargada de emitir los reglamentos técnicos de operación, calidad del servicio y las metodologías tarifarias aplicables a la generación distribuida y recursos energéticos distribuidos (RED) en Costa Rica. </w:t>
      </w:r>
    </w:p>
    <w:p w14:paraId="21DDD00A" w14:textId="77777777" w:rsidR="00303FEE" w:rsidRPr="0038630A" w:rsidRDefault="00303FEE" w:rsidP="00291014">
      <w:pPr>
        <w:jc w:val="both"/>
        <w:rPr>
          <w:b/>
          <w:bCs/>
          <w:sz w:val="20"/>
          <w:szCs w:val="20"/>
        </w:rPr>
      </w:pPr>
      <w:r w:rsidRPr="0038630A">
        <w:rPr>
          <w:b/>
          <w:bCs/>
          <w:sz w:val="20"/>
          <w:szCs w:val="20"/>
        </w:rPr>
        <w:t xml:space="preserve">A. </w:t>
      </w:r>
      <w:proofErr w:type="spellStart"/>
      <w:r w:rsidRPr="0038630A">
        <w:rPr>
          <w:b/>
          <w:bCs/>
          <w:sz w:val="20"/>
          <w:szCs w:val="20"/>
        </w:rPr>
        <w:t>Reglamentos</w:t>
      </w:r>
      <w:proofErr w:type="spellEnd"/>
      <w:r w:rsidRPr="0038630A">
        <w:rPr>
          <w:b/>
          <w:bCs/>
          <w:sz w:val="20"/>
          <w:szCs w:val="20"/>
        </w:rPr>
        <w:t xml:space="preserve"> </w:t>
      </w:r>
      <w:proofErr w:type="spellStart"/>
      <w:r w:rsidRPr="0038630A">
        <w:rPr>
          <w:b/>
          <w:bCs/>
          <w:sz w:val="20"/>
          <w:szCs w:val="20"/>
        </w:rPr>
        <w:t>Técnicos</w:t>
      </w:r>
      <w:proofErr w:type="spellEnd"/>
      <w:r w:rsidRPr="0038630A">
        <w:rPr>
          <w:b/>
          <w:bCs/>
          <w:sz w:val="20"/>
          <w:szCs w:val="20"/>
        </w:rPr>
        <w:t xml:space="preserve"> </w:t>
      </w:r>
      <w:proofErr w:type="spellStart"/>
      <w:r w:rsidRPr="0038630A">
        <w:rPr>
          <w:b/>
          <w:bCs/>
          <w:sz w:val="20"/>
          <w:szCs w:val="20"/>
        </w:rPr>
        <w:t>Vigentes</w:t>
      </w:r>
      <w:proofErr w:type="spellEnd"/>
    </w:p>
    <w:p w14:paraId="19CADE10" w14:textId="24DB2B09" w:rsidR="00303FEE" w:rsidRPr="0038630A" w:rsidRDefault="00303FEE" w:rsidP="00291014">
      <w:pPr>
        <w:numPr>
          <w:ilvl w:val="0"/>
          <w:numId w:val="14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AR-NT-POASEN (</w:t>
      </w:r>
      <w:r w:rsidRPr="0038630A">
        <w:rPr>
          <w:b/>
          <w:bCs/>
          <w:i/>
          <w:iCs/>
          <w:sz w:val="20"/>
          <w:szCs w:val="20"/>
          <w:lang w:val="es-CR"/>
        </w:rPr>
        <w:t>Planeamiento, Operación y Acceso al Sistema Eléctrico Nacional</w:t>
      </w:r>
      <w:r w:rsidRPr="0038630A">
        <w:rPr>
          <w:b/>
          <w:bCs/>
          <w:sz w:val="20"/>
          <w:szCs w:val="20"/>
          <w:lang w:val="es-CR"/>
        </w:rPr>
        <w:t>):</w:t>
      </w:r>
    </w:p>
    <w:p w14:paraId="58582A72" w14:textId="2271A382" w:rsidR="00303FEE" w:rsidRPr="0038630A" w:rsidRDefault="00303FEE" w:rsidP="00291014">
      <w:pPr>
        <w:numPr>
          <w:ilvl w:val="1"/>
          <w:numId w:val="14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Establece las condiciones técnicas unificadas para conectar e interconectar centrales de generación y recursos distribuidos al SEN.</w:t>
      </w:r>
    </w:p>
    <w:p w14:paraId="3379FBF4" w14:textId="1C688443" w:rsidR="00303FEE" w:rsidRPr="0038630A" w:rsidRDefault="00303FEE" w:rsidP="00291014">
      <w:pPr>
        <w:numPr>
          <w:ilvl w:val="1"/>
          <w:numId w:val="14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Regula los parámetros de calidad de energía (</w:t>
      </w:r>
      <w:r w:rsidRPr="0038630A">
        <w:rPr>
          <w:i/>
          <w:iCs/>
          <w:sz w:val="20"/>
          <w:szCs w:val="20"/>
          <w:lang w:val="es-CR"/>
        </w:rPr>
        <w:t xml:space="preserve">Power </w:t>
      </w:r>
      <w:proofErr w:type="spellStart"/>
      <w:r w:rsidRPr="0038630A">
        <w:rPr>
          <w:i/>
          <w:iCs/>
          <w:sz w:val="20"/>
          <w:szCs w:val="20"/>
          <w:lang w:val="es-CR"/>
        </w:rPr>
        <w:t>Quality</w:t>
      </w:r>
      <w:proofErr w:type="spellEnd"/>
      <w:r w:rsidRPr="0038630A">
        <w:rPr>
          <w:sz w:val="20"/>
          <w:szCs w:val="20"/>
          <w:lang w:val="es-CR"/>
        </w:rPr>
        <w:t>), frecuencia (</w:t>
      </w:r>
      <m:oMath>
        <m:r>
          <w:rPr>
            <w:rFonts w:ascii="Cambria Math" w:hAnsi="Cambria Math"/>
            <w:sz w:val="20"/>
            <w:szCs w:val="20"/>
            <w:lang w:val="es-CR"/>
          </w:rPr>
          <m:t>60</m:t>
        </m:r>
        <m:r>
          <m:rPr>
            <m:nor/>
          </m:rPr>
          <w:rPr>
            <w:sz w:val="20"/>
            <w:szCs w:val="20"/>
            <w:lang w:val="es-CR"/>
          </w:rPr>
          <m:t> Hz</m:t>
        </m:r>
        <m:r>
          <w:rPr>
            <w:rFonts w:ascii="Cambria Math" w:hAnsi="Cambria Math"/>
            <w:sz w:val="20"/>
            <w:szCs w:val="20"/>
            <w:lang w:val="es-CR"/>
          </w:rPr>
          <m:t>±0.2</m:t>
        </m:r>
        <m:r>
          <m:rPr>
            <m:nor/>
          </m:rPr>
          <w:rPr>
            <w:sz w:val="20"/>
            <w:szCs w:val="20"/>
            <w:lang w:val="es-CR"/>
          </w:rPr>
          <m:t> Hz</m:t>
        </m:r>
      </m:oMath>
      <w:r w:rsidRPr="0038630A">
        <w:rPr>
          <w:sz w:val="20"/>
          <w:szCs w:val="20"/>
          <w:lang w:val="es-CR"/>
        </w:rPr>
        <w:t>), distorsión armónica total (</w:t>
      </w:r>
      <m:oMath>
        <m:r>
          <w:rPr>
            <w:rFonts w:ascii="Cambria Math" w:hAnsi="Cambria Math"/>
            <w:sz w:val="20"/>
            <w:szCs w:val="20"/>
          </w:rPr>
          <m:t>THD</m:t>
        </m:r>
      </m:oMath>
      <w:r w:rsidRPr="0038630A">
        <w:rPr>
          <w:sz w:val="20"/>
          <w:szCs w:val="20"/>
          <w:lang w:val="es-CR"/>
        </w:rPr>
        <w:t>), fluctuaciones de tensión (</w:t>
      </w:r>
      <w:proofErr w:type="spellStart"/>
      <w:r w:rsidRPr="0038630A">
        <w:rPr>
          <w:i/>
          <w:iCs/>
          <w:sz w:val="20"/>
          <w:szCs w:val="20"/>
          <w:lang w:val="es-CR"/>
        </w:rPr>
        <w:t>flicker</w:t>
      </w:r>
      <w:proofErr w:type="spellEnd"/>
      <w:r w:rsidRPr="0038630A">
        <w:rPr>
          <w:sz w:val="20"/>
          <w:szCs w:val="20"/>
          <w:lang w:val="es-CR"/>
        </w:rPr>
        <w:t xml:space="preserve">) y el factor de potencia permitido (usualmente entre </w:t>
      </w:r>
      <m:oMath>
        <m:r>
          <w:rPr>
            <w:rFonts w:ascii="Cambria Math" w:hAnsi="Cambria Math"/>
            <w:sz w:val="20"/>
            <w:szCs w:val="20"/>
            <w:lang w:val="es-CR"/>
          </w:rPr>
          <m:t>0.95</m:t>
        </m:r>
      </m:oMath>
      <w:r w:rsidRPr="0038630A">
        <w:rPr>
          <w:sz w:val="20"/>
          <w:szCs w:val="20"/>
          <w:lang w:val="es-CR"/>
        </w:rPr>
        <w:t xml:space="preserve"> inductivo y </w:t>
      </w:r>
      <m:oMath>
        <m:r>
          <w:rPr>
            <w:rFonts w:ascii="Cambria Math" w:hAnsi="Cambria Math"/>
            <w:sz w:val="20"/>
            <w:szCs w:val="20"/>
            <w:lang w:val="es-CR"/>
          </w:rPr>
          <m:t>0.95</m:t>
        </m:r>
      </m:oMath>
      <w:r w:rsidRPr="0038630A">
        <w:rPr>
          <w:sz w:val="20"/>
          <w:szCs w:val="20"/>
          <w:lang w:val="es-CR"/>
        </w:rPr>
        <w:t xml:space="preserve"> capacitivo).</w:t>
      </w:r>
    </w:p>
    <w:p w14:paraId="10A74C91" w14:textId="79C9E55C" w:rsidR="00303FEE" w:rsidRPr="0038630A" w:rsidRDefault="00303FEE" w:rsidP="00291014">
      <w:pPr>
        <w:numPr>
          <w:ilvl w:val="0"/>
          <w:numId w:val="14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AR-NT-SUCOM (</w:t>
      </w:r>
      <w:r w:rsidRPr="0038630A">
        <w:rPr>
          <w:b/>
          <w:bCs/>
          <w:i/>
          <w:iCs/>
          <w:sz w:val="20"/>
          <w:szCs w:val="20"/>
          <w:lang w:val="es-CR"/>
        </w:rPr>
        <w:t>Supervisión de la Comercialización del Servicio Eléctrico</w:t>
      </w:r>
      <w:r w:rsidRPr="0038630A">
        <w:rPr>
          <w:b/>
          <w:bCs/>
          <w:sz w:val="20"/>
          <w:szCs w:val="20"/>
          <w:lang w:val="es-CR"/>
        </w:rPr>
        <w:t>):</w:t>
      </w:r>
    </w:p>
    <w:p w14:paraId="5B8DA0CA" w14:textId="3204AF8A" w:rsidR="00303FEE" w:rsidRPr="0038630A" w:rsidRDefault="00303FEE" w:rsidP="00291014">
      <w:pPr>
        <w:numPr>
          <w:ilvl w:val="1"/>
          <w:numId w:val="14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Define las condiciones comerciales, los derechos del usuario-generador y las obligaciones de las empresas distribuidoras en los procesos de facturación, medición bidireccional y liquidación de energía.</w:t>
      </w:r>
    </w:p>
    <w:p w14:paraId="635E4E35" w14:textId="77777777" w:rsidR="00303FEE" w:rsidRPr="0038630A" w:rsidRDefault="00303FEE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B. Esquemas de Cobro, Compensación y Tarifas de Interconexión</w:t>
      </w:r>
    </w:p>
    <w:p w14:paraId="5F0AFFC2" w14:textId="39F68882" w:rsidR="00303FEE" w:rsidRPr="0038630A" w:rsidRDefault="00303FEE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ARESEP regula la interacción financiera entre el abonado-generador y la empresa distribuidora mediante las siguientes tarifas y mecanismos: </w:t>
      </w:r>
    </w:p>
    <w:p w14:paraId="4402A844" w14:textId="77777777" w:rsidR="00303FEE" w:rsidRPr="0038630A" w:rsidRDefault="00303FEE" w:rsidP="00291014">
      <w:pPr>
        <w:jc w:val="both"/>
        <w:rPr>
          <w:b/>
          <w:bCs/>
          <w:sz w:val="20"/>
          <w:szCs w:val="20"/>
        </w:rPr>
      </w:pPr>
      <w:r w:rsidRPr="0038630A">
        <w:rPr>
          <w:b/>
          <w:bCs/>
          <w:sz w:val="20"/>
          <w:szCs w:val="20"/>
        </w:rPr>
        <w:t xml:space="preserve">1. </w:t>
      </w:r>
      <w:proofErr w:type="spellStart"/>
      <w:r w:rsidRPr="0038630A">
        <w:rPr>
          <w:b/>
          <w:bCs/>
          <w:sz w:val="20"/>
          <w:szCs w:val="20"/>
        </w:rPr>
        <w:t>Medición</w:t>
      </w:r>
      <w:proofErr w:type="spellEnd"/>
      <w:r w:rsidRPr="0038630A">
        <w:rPr>
          <w:b/>
          <w:bCs/>
          <w:sz w:val="20"/>
          <w:szCs w:val="20"/>
        </w:rPr>
        <w:t xml:space="preserve"> y </w:t>
      </w:r>
      <w:proofErr w:type="spellStart"/>
      <w:r w:rsidRPr="0038630A">
        <w:rPr>
          <w:b/>
          <w:bCs/>
          <w:sz w:val="20"/>
          <w:szCs w:val="20"/>
        </w:rPr>
        <w:t>Facturación</w:t>
      </w:r>
      <w:proofErr w:type="spellEnd"/>
      <w:r w:rsidRPr="0038630A">
        <w:rPr>
          <w:b/>
          <w:bCs/>
          <w:sz w:val="20"/>
          <w:szCs w:val="20"/>
        </w:rPr>
        <w:t xml:space="preserve"> </w:t>
      </w:r>
      <w:proofErr w:type="spellStart"/>
      <w:r w:rsidRPr="0038630A">
        <w:rPr>
          <w:b/>
          <w:bCs/>
          <w:sz w:val="20"/>
          <w:szCs w:val="20"/>
        </w:rPr>
        <w:t>Bidireccional</w:t>
      </w:r>
      <w:proofErr w:type="spellEnd"/>
    </w:p>
    <w:p w14:paraId="13AC9E11" w14:textId="0BCB230E" w:rsidR="00303FEE" w:rsidRPr="0038630A" w:rsidRDefault="00303FEE" w:rsidP="00291014">
      <w:pPr>
        <w:numPr>
          <w:ilvl w:val="0"/>
          <w:numId w:val="15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Medición Doble Registro:</w:t>
      </w:r>
      <w:r w:rsidRPr="0038630A">
        <w:rPr>
          <w:sz w:val="20"/>
          <w:szCs w:val="20"/>
          <w:lang w:val="es-CR"/>
        </w:rPr>
        <w:t xml:space="preserve"> El sistema exige un medidor bidireccional que registra dos variables de forma independiente: </w:t>
      </w:r>
    </w:p>
    <w:p w14:paraId="77ED0CB3" w14:textId="27A3A564" w:rsidR="00303FEE" w:rsidRPr="0038630A" w:rsidRDefault="00303FEE" w:rsidP="00291014">
      <w:pPr>
        <w:numPr>
          <w:ilvl w:val="1"/>
          <w:numId w:val="15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Energía Consumida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m:rPr>
                <m:nor/>
              </m:rPr>
              <w:rPr>
                <w:sz w:val="20"/>
                <w:szCs w:val="20"/>
                <w:lang w:val="es-CR"/>
              </w:rPr>
              <m:t>cons</m:t>
            </m:r>
          </m:sub>
        </m:sSub>
      </m:oMath>
      <w:r w:rsidRPr="0038630A">
        <w:rPr>
          <w:b/>
          <w:bCs/>
          <w:sz w:val="20"/>
          <w:szCs w:val="20"/>
          <w:lang w:val="es-CR"/>
        </w:rPr>
        <w:t>):</w:t>
      </w:r>
      <w:r w:rsidRPr="0038630A">
        <w:rPr>
          <w:sz w:val="20"/>
          <w:szCs w:val="20"/>
          <w:lang w:val="es-CR"/>
        </w:rPr>
        <w:t xml:space="preserve"> La energía que el inmueble demanda de la red eléctrica nacional cuando la producción FV no es suficiente.</w:t>
      </w:r>
    </w:p>
    <w:p w14:paraId="7F97CAA9" w14:textId="5B97666D" w:rsidR="00303FEE" w:rsidRPr="0038630A" w:rsidRDefault="00303FEE" w:rsidP="00291014">
      <w:pPr>
        <w:numPr>
          <w:ilvl w:val="1"/>
          <w:numId w:val="15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Energía Inyectada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m:rPr>
                <m:nor/>
              </m:rPr>
              <w:rPr>
                <w:sz w:val="20"/>
                <w:szCs w:val="20"/>
                <w:lang w:val="es-CR"/>
              </w:rPr>
              <m:t>iny</m:t>
            </m:r>
          </m:sub>
        </m:sSub>
      </m:oMath>
      <w:r w:rsidRPr="0038630A">
        <w:rPr>
          <w:b/>
          <w:bCs/>
          <w:sz w:val="20"/>
          <w:szCs w:val="20"/>
          <w:lang w:val="es-CR"/>
        </w:rPr>
        <w:t>):</w:t>
      </w:r>
      <w:r w:rsidRPr="0038630A">
        <w:rPr>
          <w:sz w:val="20"/>
          <w:szCs w:val="20"/>
          <w:lang w:val="es-CR"/>
        </w:rPr>
        <w:t xml:space="preserve"> Los excedentes de energía generados por el sistema FV que no se consumen instantáneamente y se vierten a la red de distribución.</w:t>
      </w:r>
    </w:p>
    <w:p w14:paraId="7D46BD50" w14:textId="77777777" w:rsidR="00303FEE" w:rsidRPr="0038630A" w:rsidRDefault="00303FEE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2. Tarifa de Acceso (Peaje por Uso de la Red)</w:t>
      </w:r>
    </w:p>
    <w:p w14:paraId="3EEC718F" w14:textId="636140D3" w:rsidR="00303FEE" w:rsidRPr="0038630A" w:rsidRDefault="00303FEE" w:rsidP="00291014">
      <w:pPr>
        <w:numPr>
          <w:ilvl w:val="0"/>
          <w:numId w:val="16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Concepto:</w:t>
      </w:r>
      <w:r w:rsidRPr="0038630A">
        <w:rPr>
          <w:sz w:val="20"/>
          <w:szCs w:val="20"/>
          <w:lang w:val="es-CR"/>
        </w:rPr>
        <w:t xml:space="preserve"> Es el cobro que realiza la distribuidora por mantener la disponibilidad técnica de la red eléctrica, el respaldo de potencia y la infraestructura requerida para recibir y entregar energía.</w:t>
      </w:r>
    </w:p>
    <w:p w14:paraId="5154D0E9" w14:textId="5A692C22" w:rsidR="00303FEE" w:rsidRPr="0038630A" w:rsidRDefault="00303FEE" w:rsidP="00291014">
      <w:pPr>
        <w:numPr>
          <w:ilvl w:val="0"/>
          <w:numId w:val="16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lastRenderedPageBreak/>
        <w:t>Aplicación:</w:t>
      </w:r>
      <w:r w:rsidRPr="0038630A">
        <w:rPr>
          <w:sz w:val="20"/>
          <w:szCs w:val="20"/>
          <w:lang w:val="es-CR"/>
        </w:rPr>
        <w:t xml:space="preserve"> ARESEP fija una tarifa de acceso (expresada </w:t>
      </w:r>
      <w:r w:rsidRPr="001C4E89">
        <w:rPr>
          <w:sz w:val="20"/>
          <w:szCs w:val="20"/>
          <w:lang w:val="es-CR"/>
        </w:rPr>
        <w:t xml:space="preserve">en colones por kilovatio-hora, </w:t>
      </w:r>
      <m:oMath>
        <m:r>
          <m:rPr>
            <m:nor/>
          </m:rPr>
          <w:rPr>
            <w:sz w:val="20"/>
            <w:szCs w:val="20"/>
            <w:lang w:val="es-CR"/>
          </w:rPr>
          <m:t>CRC/kWh</m:t>
        </m:r>
      </m:oMath>
      <w:r w:rsidRPr="001C4E89">
        <w:rPr>
          <w:sz w:val="20"/>
          <w:szCs w:val="20"/>
          <w:lang w:val="es-CR"/>
        </w:rPr>
        <w:t xml:space="preserve">) que se aplica sobre la energía total </w:t>
      </w:r>
      <w:proofErr w:type="spellStart"/>
      <w:r w:rsidRPr="001C4E89">
        <w:rPr>
          <w:sz w:val="20"/>
          <w:szCs w:val="20"/>
          <w:lang w:val="es-CR"/>
        </w:rPr>
        <w:t>autoconsumida</w:t>
      </w:r>
      <w:proofErr w:type="spellEnd"/>
      <w:r w:rsidRPr="001C4E89">
        <w:rPr>
          <w:sz w:val="20"/>
          <w:szCs w:val="20"/>
          <w:lang w:val="es-CR"/>
        </w:rPr>
        <w:t xml:space="preserve"> o la energía inyectada/intercambiada, dependiendo de la resolución vigente aplicable al tipo de tarifa (residencial</w:t>
      </w:r>
      <w:r w:rsidRPr="0038630A">
        <w:rPr>
          <w:sz w:val="20"/>
          <w:szCs w:val="20"/>
          <w:lang w:val="es-CR"/>
        </w:rPr>
        <w:t>, comercial o industrial).</w:t>
      </w:r>
    </w:p>
    <w:p w14:paraId="3DDF59F4" w14:textId="77777777" w:rsidR="00303FEE" w:rsidRPr="0038630A" w:rsidRDefault="00303FEE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3. Esquema de Compensación y Liquidación de Excedentes</w:t>
      </w:r>
    </w:p>
    <w:p w14:paraId="3225A041" w14:textId="7A8BFA0A" w:rsidR="00303FEE" w:rsidRPr="0038630A" w:rsidRDefault="00303FEE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De acuerdo con el marco regulatorio emitido tras la promulgación de la Ley 10086: </w:t>
      </w:r>
    </w:p>
    <w:p w14:paraId="500395DE" w14:textId="360E1548" w:rsidR="00303FEE" w:rsidRPr="0038630A" w:rsidRDefault="00303FEE" w:rsidP="00291014">
      <w:pPr>
        <w:numPr>
          <w:ilvl w:val="0"/>
          <w:numId w:val="17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 xml:space="preserve">Liquidación Neta de Energía (Net </w:t>
      </w:r>
      <w:proofErr w:type="spellStart"/>
      <w:r w:rsidRPr="0038630A">
        <w:rPr>
          <w:b/>
          <w:bCs/>
          <w:sz w:val="20"/>
          <w:szCs w:val="20"/>
          <w:lang w:val="es-CR"/>
        </w:rPr>
        <w:t>Metering</w:t>
      </w:r>
      <w:proofErr w:type="spellEnd"/>
      <w:r w:rsidRPr="0038630A">
        <w:rPr>
          <w:b/>
          <w:bCs/>
          <w:sz w:val="20"/>
          <w:szCs w:val="20"/>
          <w:lang w:val="es-CR"/>
        </w:rPr>
        <w:t xml:space="preserve"> / Net Billing):</w:t>
      </w:r>
      <w:r w:rsidRPr="0038630A">
        <w:rPr>
          <w:sz w:val="20"/>
          <w:szCs w:val="20"/>
          <w:lang w:val="es-CR"/>
        </w:rPr>
        <w:t xml:space="preserve"> La energía inyectada a la red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m:rPr>
                <m:nor/>
              </m:rPr>
              <w:rPr>
                <w:sz w:val="20"/>
                <w:szCs w:val="20"/>
                <w:lang w:val="es-CR"/>
              </w:rPr>
              <m:t>iny</m:t>
            </m:r>
          </m:sub>
        </m:sSub>
      </m:oMath>
      <w:r w:rsidRPr="0038630A">
        <w:rPr>
          <w:sz w:val="20"/>
          <w:szCs w:val="20"/>
          <w:lang w:val="es-CR"/>
        </w:rPr>
        <w:t>) durante un ciclo de facturación se compensa contra la energía consumida de la red (</w:t>
      </w:r>
      <m:oMath>
        <m:sSub>
          <m:sSubPr>
            <m:ctrlPr>
              <w:rPr>
                <w:rFonts w:ascii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E</m:t>
            </m:r>
          </m:e>
          <m:sub>
            <m:r>
              <m:rPr>
                <m:nor/>
              </m:rPr>
              <w:rPr>
                <w:sz w:val="20"/>
                <w:szCs w:val="20"/>
                <w:lang w:val="es-CR"/>
              </w:rPr>
              <m:t>cons</m:t>
            </m:r>
          </m:sub>
        </m:sSub>
      </m:oMath>
      <w:r w:rsidRPr="0038630A">
        <w:rPr>
          <w:sz w:val="20"/>
          <w:szCs w:val="20"/>
          <w:lang w:val="es-CR"/>
        </w:rPr>
        <w:t>).</w:t>
      </w:r>
    </w:p>
    <w:p w14:paraId="789DD3A1" w14:textId="363EBBB5" w:rsidR="00303FEE" w:rsidRPr="0038630A" w:rsidRDefault="00303FEE" w:rsidP="00291014">
      <w:pPr>
        <w:numPr>
          <w:ilvl w:val="0"/>
          <w:numId w:val="17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Bolsa de Energía y Período de Vigencia:</w:t>
      </w:r>
    </w:p>
    <w:p w14:paraId="1C610DBA" w14:textId="0DFE92DD" w:rsidR="00303FEE" w:rsidRPr="0038630A" w:rsidRDefault="00303FEE" w:rsidP="00291014">
      <w:pPr>
        <w:numPr>
          <w:ilvl w:val="1"/>
          <w:numId w:val="17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Si la energía inyectada supera a la consumida en un mes, el saldo positivo de kWh se acredita a una "bolsa de energía" a favor del usuario.</w:t>
      </w:r>
    </w:p>
    <w:p w14:paraId="23F97109" w14:textId="170DD69E" w:rsidR="00303FEE" w:rsidRPr="0038630A" w:rsidRDefault="00303FEE" w:rsidP="00291014">
      <w:pPr>
        <w:numPr>
          <w:ilvl w:val="1"/>
          <w:numId w:val="17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Este saldo acumulado puede ser utilizado para compensar consumos en meses posteriores dentro de un período anual de liquidación.</w:t>
      </w:r>
    </w:p>
    <w:p w14:paraId="40B3681D" w14:textId="31981FAB" w:rsidR="00303FEE" w:rsidRPr="0038630A" w:rsidRDefault="00303FEE" w:rsidP="00291014">
      <w:pPr>
        <w:numPr>
          <w:ilvl w:val="0"/>
          <w:numId w:val="17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Prohibición de Venta de Excedentes como Negocio Puro:</w:t>
      </w:r>
      <w:r w:rsidRPr="0038630A">
        <w:rPr>
          <w:sz w:val="20"/>
          <w:szCs w:val="20"/>
          <w:lang w:val="es-CR"/>
        </w:rPr>
        <w:t xml:space="preserve"> En la modalidad de autoconsumo, la regulación de ARESEP establece que los excedentes no constituyen un contrato de compraventa de energía a precio de mercado para lucro del usuario, sino un mecanismo de compensación de su propio consumo histórico/contratado.</w:t>
      </w:r>
    </w:p>
    <w:p w14:paraId="3DADE877" w14:textId="77777777" w:rsidR="00303FEE" w:rsidRPr="0038630A" w:rsidRDefault="00303FEE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4. Costos de Interconexión y Estudios Técnicos</w:t>
      </w:r>
    </w:p>
    <w:p w14:paraId="6F2A2661" w14:textId="3ABC87C9" w:rsidR="00303FEE" w:rsidRPr="0038630A" w:rsidRDefault="00303FEE" w:rsidP="00291014">
      <w:pPr>
        <w:numPr>
          <w:ilvl w:val="0"/>
          <w:numId w:val="18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Estudios de Conexión:</w:t>
      </w:r>
      <w:r w:rsidRPr="0038630A">
        <w:rPr>
          <w:sz w:val="20"/>
          <w:szCs w:val="20"/>
          <w:lang w:val="es-CR"/>
        </w:rPr>
        <w:t xml:space="preserve"> Si el tamaño del proyecto requiere un estudio de flujo de carga o capacidad de red, ARESEP autoriza a la distribuidora a cobrar el costo auditado de dicho estudio al solicitante.</w:t>
      </w:r>
    </w:p>
    <w:p w14:paraId="46F145F5" w14:textId="5ED76BF4" w:rsidR="00303FEE" w:rsidRDefault="00303FEE" w:rsidP="00291014">
      <w:pPr>
        <w:numPr>
          <w:ilvl w:val="0"/>
          <w:numId w:val="18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Inspección y Medición:</w:t>
      </w:r>
      <w:r w:rsidRPr="0038630A">
        <w:rPr>
          <w:sz w:val="20"/>
          <w:szCs w:val="20"/>
          <w:lang w:val="es-CR"/>
        </w:rPr>
        <w:t xml:space="preserve"> El costo de calibración, programación e instalación del medidor bidireccional o la adecuación de la acometida corre por cuenta del abonado, conforme al pliego de costos autorizados por ARESEP.</w:t>
      </w:r>
    </w:p>
    <w:p w14:paraId="7F23FFFB" w14:textId="6B2E791F" w:rsidR="003E3BCC" w:rsidRPr="003E3BCC" w:rsidRDefault="003E3BCC" w:rsidP="003E3BCC">
      <w:pPr>
        <w:jc w:val="both"/>
        <w:rPr>
          <w:b/>
          <w:bCs/>
          <w:sz w:val="20"/>
          <w:szCs w:val="20"/>
          <w:lang w:val="es-CR"/>
        </w:rPr>
      </w:pPr>
      <w:r w:rsidRPr="003E3BCC">
        <w:rPr>
          <w:b/>
          <w:bCs/>
          <w:sz w:val="20"/>
          <w:szCs w:val="20"/>
          <w:lang w:val="es-CR"/>
        </w:rPr>
        <w:t>Fuentes bibliográficas:</w:t>
      </w:r>
    </w:p>
    <w:p w14:paraId="192336DD" w14:textId="6CF49D07" w:rsidR="00303FEE" w:rsidRDefault="00303FEE" w:rsidP="00291014">
      <w:pPr>
        <w:numPr>
          <w:ilvl w:val="0"/>
          <w:numId w:val="19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Autoridad Reguladora de los Servicios Públicos (ARESEP).</w:t>
      </w:r>
      <w:r w:rsidRPr="0038630A">
        <w:rPr>
          <w:sz w:val="20"/>
          <w:szCs w:val="20"/>
          <w:lang w:val="es-CR"/>
        </w:rPr>
        <w:t xml:space="preserve"> (2022). </w:t>
      </w:r>
      <w:r w:rsidRPr="0038630A">
        <w:rPr>
          <w:i/>
          <w:iCs/>
          <w:sz w:val="20"/>
          <w:szCs w:val="20"/>
          <w:lang w:val="es-CR"/>
        </w:rPr>
        <w:t>Resolución de la Intendencia de Energía: Metodología tarifaria para fijar las tarifas de acceso para la actividad de generación distribuida</w:t>
      </w:r>
      <w:r w:rsidRPr="0038630A">
        <w:rPr>
          <w:sz w:val="20"/>
          <w:szCs w:val="20"/>
          <w:lang w:val="es-CR"/>
        </w:rPr>
        <w:t xml:space="preserve">. </w:t>
      </w:r>
      <w:r w:rsidRPr="00CE05DF">
        <w:rPr>
          <w:sz w:val="20"/>
          <w:szCs w:val="20"/>
          <w:lang w:val="es-CR"/>
        </w:rPr>
        <w:t xml:space="preserve">San José, Costa Rica. </w:t>
      </w:r>
      <w:hyperlink r:id="rId11" w:history="1">
        <w:r w:rsidR="00CE05DF" w:rsidRPr="001C3B6E">
          <w:rPr>
            <w:rStyle w:val="Hyperlink"/>
            <w:sz w:val="20"/>
            <w:szCs w:val="20"/>
            <w:lang w:val="es-CR"/>
          </w:rPr>
          <w:t>https://sinalevi.go.cr/ResultadosNormativa/Informacion?param1=79876&amp;param2=149063&amp;param3=1</w:t>
        </w:r>
      </w:hyperlink>
    </w:p>
    <w:p w14:paraId="510CF2D5" w14:textId="51B2789D" w:rsidR="00303FEE" w:rsidRDefault="00303FEE" w:rsidP="00291014">
      <w:pPr>
        <w:numPr>
          <w:ilvl w:val="0"/>
          <w:numId w:val="19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ARESEP.</w:t>
      </w:r>
      <w:r w:rsidRPr="0038630A">
        <w:rPr>
          <w:sz w:val="20"/>
          <w:szCs w:val="20"/>
          <w:lang w:val="es-CR"/>
        </w:rPr>
        <w:t xml:space="preserve"> (2021). </w:t>
      </w:r>
      <w:r w:rsidRPr="0038630A">
        <w:rPr>
          <w:i/>
          <w:iCs/>
          <w:sz w:val="20"/>
          <w:szCs w:val="20"/>
          <w:lang w:val="es-CR"/>
        </w:rPr>
        <w:t>Norma Técnica AR-NT-POASEN: Planeamiento, Operación y Acceso al Sistema Eléctrico Nacional</w:t>
      </w:r>
      <w:r w:rsidRPr="0038630A">
        <w:rPr>
          <w:sz w:val="20"/>
          <w:szCs w:val="20"/>
          <w:lang w:val="es-CR"/>
        </w:rPr>
        <w:t xml:space="preserve">. </w:t>
      </w:r>
      <w:r w:rsidRPr="000720F9">
        <w:rPr>
          <w:sz w:val="20"/>
          <w:szCs w:val="20"/>
          <w:lang w:val="es-CR"/>
        </w:rPr>
        <w:t xml:space="preserve">San José, Costa Rica. </w:t>
      </w:r>
      <w:hyperlink r:id="rId12" w:history="1">
        <w:r w:rsidR="000720F9" w:rsidRPr="001C3B6E">
          <w:rPr>
            <w:rStyle w:val="Hyperlink"/>
            <w:sz w:val="20"/>
            <w:szCs w:val="20"/>
            <w:lang w:val="es-CR"/>
          </w:rPr>
          <w:t>https://aresep.go.cr/electricidad/normativa/normativa-tecnica-nacional/</w:t>
        </w:r>
      </w:hyperlink>
    </w:p>
    <w:p w14:paraId="1E4A5670" w14:textId="5699F88D" w:rsidR="004E56D0" w:rsidRDefault="00303FEE" w:rsidP="00291014">
      <w:pPr>
        <w:numPr>
          <w:ilvl w:val="0"/>
          <w:numId w:val="19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ARESEP.</w:t>
      </w:r>
      <w:r w:rsidRPr="0038630A">
        <w:rPr>
          <w:sz w:val="20"/>
          <w:szCs w:val="20"/>
          <w:lang w:val="es-CR"/>
        </w:rPr>
        <w:t xml:space="preserve"> (2021). </w:t>
      </w:r>
      <w:r w:rsidRPr="0038630A">
        <w:rPr>
          <w:i/>
          <w:iCs/>
          <w:sz w:val="20"/>
          <w:szCs w:val="20"/>
          <w:lang w:val="es-CR"/>
        </w:rPr>
        <w:t>Norma Técnica AR-NT-SUCOM: Supervisión de la Comercialización del Servicio Eléctrico</w:t>
      </w:r>
      <w:r w:rsidRPr="0038630A">
        <w:rPr>
          <w:sz w:val="20"/>
          <w:szCs w:val="20"/>
          <w:lang w:val="es-CR"/>
        </w:rPr>
        <w:t xml:space="preserve">. </w:t>
      </w:r>
      <w:r w:rsidRPr="004E56D0">
        <w:rPr>
          <w:sz w:val="20"/>
          <w:szCs w:val="20"/>
          <w:lang w:val="es-CR"/>
        </w:rPr>
        <w:t xml:space="preserve">San José, Costa Rica. </w:t>
      </w:r>
      <w:hyperlink r:id="rId13" w:history="1">
        <w:r w:rsidR="004E56D0" w:rsidRPr="001C3B6E">
          <w:rPr>
            <w:rStyle w:val="Hyperlink"/>
            <w:sz w:val="20"/>
            <w:szCs w:val="20"/>
            <w:lang w:val="es-CR"/>
          </w:rPr>
          <w:t>https://sinalevi.go.cr/ResultadosNormativa/Informacion?param1=79376&amp;param2=100377&amp;param3=1&amp;param4=</w:t>
        </w:r>
      </w:hyperlink>
    </w:p>
    <w:p w14:paraId="63DEB7A8" w14:textId="77777777" w:rsidR="004E56D0" w:rsidRDefault="004E56D0" w:rsidP="00A45666">
      <w:pPr>
        <w:jc w:val="center"/>
        <w:rPr>
          <w:b/>
          <w:bCs/>
          <w:sz w:val="20"/>
          <w:szCs w:val="20"/>
          <w:lang w:val="es-CR"/>
        </w:rPr>
      </w:pPr>
    </w:p>
    <w:p w14:paraId="353B0FCC" w14:textId="30F5E1A8" w:rsidR="000E2C22" w:rsidRPr="0038630A" w:rsidRDefault="000E2C22" w:rsidP="00A45666">
      <w:pPr>
        <w:jc w:val="center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lastRenderedPageBreak/>
        <w:t>Participación y Responsabilidades de Entes Gubernamentales y Reguladores</w:t>
      </w:r>
    </w:p>
    <w:p w14:paraId="7F6DE2EC" w14:textId="5B8ED7B1" w:rsidR="000E2C22" w:rsidRPr="0038630A" w:rsidRDefault="000E2C22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Para la integración de sistemas solares fotovoltaicos bajo la Ley </w:t>
      </w:r>
      <w:proofErr w:type="spellStart"/>
      <w:r w:rsidRPr="0038630A">
        <w:rPr>
          <w:sz w:val="20"/>
          <w:szCs w:val="20"/>
          <w:lang w:val="es-CR"/>
        </w:rPr>
        <w:t>N.°</w:t>
      </w:r>
      <w:proofErr w:type="spellEnd"/>
      <w:r w:rsidRPr="0038630A">
        <w:rPr>
          <w:sz w:val="20"/>
          <w:szCs w:val="20"/>
          <w:lang w:val="es-CR"/>
        </w:rPr>
        <w:t xml:space="preserve"> 10086 y su reglamento (Decreto Executive </w:t>
      </w:r>
      <w:proofErr w:type="spellStart"/>
      <w:r w:rsidRPr="0038630A">
        <w:rPr>
          <w:sz w:val="20"/>
          <w:szCs w:val="20"/>
          <w:lang w:val="es-CR"/>
        </w:rPr>
        <w:t>N.°</w:t>
      </w:r>
      <w:proofErr w:type="spellEnd"/>
      <w:r w:rsidRPr="0038630A">
        <w:rPr>
          <w:sz w:val="20"/>
          <w:szCs w:val="20"/>
          <w:lang w:val="es-CR"/>
        </w:rPr>
        <w:t xml:space="preserve"> 43700-MINAE), la legislación costarricense distribuye claramente las competencias entre el rector de política pública y el ente regulador: </w:t>
      </w:r>
    </w:p>
    <w:p w14:paraId="35A7868C" w14:textId="77777777" w:rsidR="000E2C22" w:rsidRPr="0038630A" w:rsidRDefault="000E2C22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A. MINAE (Ministerio de Ambiente y Energía)</w:t>
      </w:r>
    </w:p>
    <w:p w14:paraId="459650BB" w14:textId="30BDB3EA" w:rsidR="000E2C22" w:rsidRPr="0038630A" w:rsidRDefault="000E2C22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El </w:t>
      </w:r>
      <w:r w:rsidRPr="0038630A">
        <w:rPr>
          <w:b/>
          <w:bCs/>
          <w:sz w:val="20"/>
          <w:szCs w:val="20"/>
          <w:lang w:val="es-CR"/>
        </w:rPr>
        <w:t>MINAE</w:t>
      </w:r>
      <w:r w:rsidRPr="0038630A">
        <w:rPr>
          <w:sz w:val="20"/>
          <w:szCs w:val="20"/>
          <w:lang w:val="es-CR"/>
        </w:rPr>
        <w:t xml:space="preserve"> actúa como el rector del sector energético e institucional en Costa Rica. Sus competencias y responsabilidades específicas en la generación distribuida abarcan: </w:t>
      </w:r>
    </w:p>
    <w:p w14:paraId="587136BC" w14:textId="1BDD4D63" w:rsidR="000E2C22" w:rsidRPr="001C4E89" w:rsidRDefault="000E2C22" w:rsidP="00291014">
      <w:pPr>
        <w:numPr>
          <w:ilvl w:val="0"/>
          <w:numId w:val="20"/>
        </w:numPr>
        <w:jc w:val="both"/>
        <w:rPr>
          <w:sz w:val="20"/>
          <w:szCs w:val="20"/>
        </w:rPr>
      </w:pPr>
      <w:proofErr w:type="spellStart"/>
      <w:r w:rsidRPr="0038630A">
        <w:rPr>
          <w:b/>
          <w:bCs/>
          <w:sz w:val="20"/>
          <w:szCs w:val="20"/>
        </w:rPr>
        <w:t>Rectoría</w:t>
      </w:r>
      <w:proofErr w:type="spellEnd"/>
      <w:r w:rsidRPr="0038630A">
        <w:rPr>
          <w:b/>
          <w:bCs/>
          <w:sz w:val="20"/>
          <w:szCs w:val="20"/>
        </w:rPr>
        <w:t xml:space="preserve"> y Política Pública:</w:t>
      </w:r>
    </w:p>
    <w:p w14:paraId="62844305" w14:textId="3371A10E" w:rsidR="000E2C22" w:rsidRPr="0038630A" w:rsidRDefault="000E2C22" w:rsidP="00291014">
      <w:pPr>
        <w:numPr>
          <w:ilvl w:val="1"/>
          <w:numId w:val="20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Formular la política energética nacional, el Plan Nacional de Desarrollo Energético y las directrices para la transición hacia energías renovables de fuentes variables.</w:t>
      </w:r>
    </w:p>
    <w:p w14:paraId="71AE9C98" w14:textId="22490679" w:rsidR="000E2C22" w:rsidRPr="0038630A" w:rsidRDefault="000E2C22" w:rsidP="00291014">
      <w:pPr>
        <w:numPr>
          <w:ilvl w:val="0"/>
          <w:numId w:val="20"/>
        </w:numPr>
        <w:jc w:val="both"/>
        <w:rPr>
          <w:sz w:val="20"/>
          <w:szCs w:val="20"/>
        </w:rPr>
      </w:pPr>
      <w:proofErr w:type="spellStart"/>
      <w:r w:rsidRPr="0038630A">
        <w:rPr>
          <w:b/>
          <w:bCs/>
          <w:sz w:val="20"/>
          <w:szCs w:val="20"/>
        </w:rPr>
        <w:t>Reglamentación</w:t>
      </w:r>
      <w:proofErr w:type="spellEnd"/>
      <w:r w:rsidRPr="0038630A">
        <w:rPr>
          <w:b/>
          <w:bCs/>
          <w:sz w:val="20"/>
          <w:szCs w:val="20"/>
        </w:rPr>
        <w:t xml:space="preserve"> Ejecutiva:</w:t>
      </w:r>
    </w:p>
    <w:p w14:paraId="55A00B58" w14:textId="2E43BFAD" w:rsidR="000E2C22" w:rsidRPr="0038630A" w:rsidRDefault="000E2C22" w:rsidP="00291014">
      <w:pPr>
        <w:numPr>
          <w:ilvl w:val="1"/>
          <w:numId w:val="20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Elaborar y actualizar, junto con el Poder Ejecutivo, los reglamentos a la ley (como el Decreto 43700-MINAE) que establecen las reglas del juego técnico y administrativo a nivel nacional. </w:t>
      </w:r>
    </w:p>
    <w:p w14:paraId="68882153" w14:textId="150E03D7" w:rsidR="000E2C22" w:rsidRPr="0038630A" w:rsidRDefault="000E2C22" w:rsidP="00291014">
      <w:pPr>
        <w:numPr>
          <w:ilvl w:val="0"/>
          <w:numId w:val="20"/>
        </w:numPr>
        <w:jc w:val="both"/>
        <w:rPr>
          <w:sz w:val="20"/>
          <w:szCs w:val="20"/>
        </w:rPr>
      </w:pPr>
      <w:proofErr w:type="spellStart"/>
      <w:r w:rsidRPr="0038630A">
        <w:rPr>
          <w:b/>
          <w:bCs/>
          <w:sz w:val="20"/>
          <w:szCs w:val="20"/>
        </w:rPr>
        <w:t>Planificación</w:t>
      </w:r>
      <w:proofErr w:type="spellEnd"/>
      <w:r w:rsidRPr="0038630A">
        <w:rPr>
          <w:b/>
          <w:bCs/>
          <w:sz w:val="20"/>
          <w:szCs w:val="20"/>
        </w:rPr>
        <w:t xml:space="preserve"> Energética:</w:t>
      </w:r>
    </w:p>
    <w:p w14:paraId="6C650BA9" w14:textId="2C6FE4A2" w:rsidR="000E2C22" w:rsidRPr="0038630A" w:rsidRDefault="000E2C22" w:rsidP="00291014">
      <w:pPr>
        <w:numPr>
          <w:ilvl w:val="1"/>
          <w:numId w:val="20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Monitorear a través de la Dirección General de Energía (DGE) la meta de penetración de los Recursos Energéticos Distribuidos (RED) y coordinar con el Instituto Costarricense de Electricidad (ICE) y las demás empresas distribuidoras el cumplimiento de las metas del Plan Nacional de Descarbonización.</w:t>
      </w:r>
    </w:p>
    <w:p w14:paraId="0DA379B3" w14:textId="4DED7D45" w:rsidR="000E2C22" w:rsidRPr="0038630A" w:rsidRDefault="000E2C22" w:rsidP="00291014">
      <w:pPr>
        <w:numPr>
          <w:ilvl w:val="0"/>
          <w:numId w:val="20"/>
        </w:numPr>
        <w:jc w:val="both"/>
        <w:rPr>
          <w:sz w:val="20"/>
          <w:szCs w:val="20"/>
        </w:rPr>
      </w:pPr>
      <w:proofErr w:type="spellStart"/>
      <w:r w:rsidRPr="0038630A">
        <w:rPr>
          <w:b/>
          <w:bCs/>
          <w:sz w:val="20"/>
          <w:szCs w:val="20"/>
        </w:rPr>
        <w:t>Gobernanza</w:t>
      </w:r>
      <w:proofErr w:type="spellEnd"/>
      <w:r w:rsidRPr="0038630A">
        <w:rPr>
          <w:b/>
          <w:bCs/>
          <w:sz w:val="20"/>
          <w:szCs w:val="20"/>
        </w:rPr>
        <w:t xml:space="preserve"> y </w:t>
      </w:r>
      <w:proofErr w:type="spellStart"/>
      <w:r w:rsidRPr="0038630A">
        <w:rPr>
          <w:b/>
          <w:bCs/>
          <w:sz w:val="20"/>
          <w:szCs w:val="20"/>
        </w:rPr>
        <w:t>Sostenibilidad</w:t>
      </w:r>
      <w:proofErr w:type="spellEnd"/>
      <w:r w:rsidRPr="0038630A">
        <w:rPr>
          <w:b/>
          <w:bCs/>
          <w:sz w:val="20"/>
          <w:szCs w:val="20"/>
        </w:rPr>
        <w:t>:</w:t>
      </w:r>
    </w:p>
    <w:p w14:paraId="050E7E85" w14:textId="7347102B" w:rsidR="000E2C22" w:rsidRPr="0038630A" w:rsidRDefault="000E2C22" w:rsidP="00291014">
      <w:pPr>
        <w:numPr>
          <w:ilvl w:val="1"/>
          <w:numId w:val="20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Garantizar que la expansión de la generación distribuida respete los lineamientos ambientales del país sin comprometer la estabilidad ambiental ni los compromisos internacionales de descarbonización.</w:t>
      </w:r>
    </w:p>
    <w:p w14:paraId="181862B3" w14:textId="77777777" w:rsidR="000E2C22" w:rsidRPr="0038630A" w:rsidRDefault="000E2C22" w:rsidP="00291014">
      <w:pPr>
        <w:jc w:val="both"/>
        <w:rPr>
          <w:b/>
          <w:bCs/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B. ARESEP (Autoridad Reguladora de los Servicios Públicos)</w:t>
      </w:r>
    </w:p>
    <w:p w14:paraId="625FC9B2" w14:textId="7236658C" w:rsidR="000E2C22" w:rsidRPr="0038630A" w:rsidRDefault="000E2C22" w:rsidP="00291014">
      <w:p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La </w:t>
      </w:r>
      <w:r w:rsidRPr="0038630A">
        <w:rPr>
          <w:b/>
          <w:bCs/>
          <w:sz w:val="20"/>
          <w:szCs w:val="20"/>
          <w:lang w:val="es-CR"/>
        </w:rPr>
        <w:t>ARESEP</w:t>
      </w:r>
      <w:r w:rsidRPr="0038630A">
        <w:rPr>
          <w:sz w:val="20"/>
          <w:szCs w:val="20"/>
          <w:lang w:val="es-CR"/>
        </w:rPr>
        <w:t xml:space="preserve"> actúa como el ente técnico, regulador y fiscalizador del servicio público de electricidad. Sus responsabilidades directas en el marco de la Ley </w:t>
      </w:r>
      <w:proofErr w:type="spellStart"/>
      <w:r w:rsidRPr="0038630A">
        <w:rPr>
          <w:sz w:val="20"/>
          <w:szCs w:val="20"/>
          <w:lang w:val="es-CR"/>
        </w:rPr>
        <w:t>N.°</w:t>
      </w:r>
      <w:proofErr w:type="spellEnd"/>
      <w:r w:rsidRPr="0038630A">
        <w:rPr>
          <w:sz w:val="20"/>
          <w:szCs w:val="20"/>
          <w:lang w:val="es-CR"/>
        </w:rPr>
        <w:t xml:space="preserve"> 10086 incluyen: </w:t>
      </w:r>
    </w:p>
    <w:p w14:paraId="422D6335" w14:textId="26E8ABC8" w:rsidR="000E2C22" w:rsidRPr="0038630A" w:rsidRDefault="000E2C22" w:rsidP="00291014">
      <w:pPr>
        <w:numPr>
          <w:ilvl w:val="0"/>
          <w:numId w:val="21"/>
        </w:numPr>
        <w:jc w:val="both"/>
        <w:rPr>
          <w:sz w:val="20"/>
          <w:szCs w:val="20"/>
        </w:rPr>
      </w:pPr>
      <w:proofErr w:type="spellStart"/>
      <w:r w:rsidRPr="0038630A">
        <w:rPr>
          <w:b/>
          <w:bCs/>
          <w:sz w:val="20"/>
          <w:szCs w:val="20"/>
        </w:rPr>
        <w:t>Regulación</w:t>
      </w:r>
      <w:proofErr w:type="spellEnd"/>
      <w:r w:rsidRPr="0038630A">
        <w:rPr>
          <w:b/>
          <w:bCs/>
          <w:sz w:val="20"/>
          <w:szCs w:val="20"/>
        </w:rPr>
        <w:t xml:space="preserve"> Técnica:</w:t>
      </w:r>
    </w:p>
    <w:p w14:paraId="5CCA60C5" w14:textId="5075F5E6" w:rsidR="000E2C22" w:rsidRPr="0038630A" w:rsidRDefault="000E2C22" w:rsidP="00291014">
      <w:pPr>
        <w:numPr>
          <w:ilvl w:val="1"/>
          <w:numId w:val="21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 xml:space="preserve">Emitir y mantener actualizadas las normas técnicas de cumplimiento obligatorio (AR-NT-POASEN, AR-NT-SUCOM, entre otras) que dictan la calidad de la energía, la seguridad del punto de conexión, la protección </w:t>
      </w:r>
      <w:proofErr w:type="spellStart"/>
      <w:r w:rsidRPr="0038630A">
        <w:rPr>
          <w:sz w:val="20"/>
          <w:szCs w:val="20"/>
          <w:lang w:val="es-CR"/>
        </w:rPr>
        <w:t>anti-isla</w:t>
      </w:r>
      <w:proofErr w:type="spellEnd"/>
      <w:r w:rsidRPr="0038630A">
        <w:rPr>
          <w:sz w:val="20"/>
          <w:szCs w:val="20"/>
          <w:lang w:val="es-CR"/>
        </w:rPr>
        <w:t xml:space="preserve"> y las tolerancias operativas. </w:t>
      </w:r>
    </w:p>
    <w:p w14:paraId="27438BC0" w14:textId="5341772E" w:rsidR="000E2C22" w:rsidRPr="001C4E89" w:rsidRDefault="000E2C22" w:rsidP="00291014">
      <w:pPr>
        <w:numPr>
          <w:ilvl w:val="0"/>
          <w:numId w:val="21"/>
        </w:numPr>
        <w:jc w:val="both"/>
        <w:rPr>
          <w:sz w:val="20"/>
          <w:szCs w:val="20"/>
        </w:rPr>
      </w:pPr>
      <w:proofErr w:type="spellStart"/>
      <w:r w:rsidRPr="0038630A">
        <w:rPr>
          <w:b/>
          <w:bCs/>
          <w:sz w:val="20"/>
          <w:szCs w:val="20"/>
        </w:rPr>
        <w:t>Regulación</w:t>
      </w:r>
      <w:proofErr w:type="spellEnd"/>
      <w:r w:rsidRPr="0038630A">
        <w:rPr>
          <w:b/>
          <w:bCs/>
          <w:sz w:val="20"/>
          <w:szCs w:val="20"/>
        </w:rPr>
        <w:t xml:space="preserve"> </w:t>
      </w:r>
      <w:proofErr w:type="spellStart"/>
      <w:r w:rsidRPr="0038630A">
        <w:rPr>
          <w:b/>
          <w:bCs/>
          <w:sz w:val="20"/>
          <w:szCs w:val="20"/>
        </w:rPr>
        <w:t>Tarifaria</w:t>
      </w:r>
      <w:proofErr w:type="spellEnd"/>
      <w:r w:rsidRPr="0038630A">
        <w:rPr>
          <w:b/>
          <w:bCs/>
          <w:sz w:val="20"/>
          <w:szCs w:val="20"/>
        </w:rPr>
        <w:t xml:space="preserve"> y </w:t>
      </w:r>
      <w:proofErr w:type="spellStart"/>
      <w:r w:rsidRPr="0038630A">
        <w:rPr>
          <w:b/>
          <w:bCs/>
          <w:sz w:val="20"/>
          <w:szCs w:val="20"/>
        </w:rPr>
        <w:t>Compensación</w:t>
      </w:r>
      <w:proofErr w:type="spellEnd"/>
      <w:r w:rsidRPr="0038630A">
        <w:rPr>
          <w:b/>
          <w:bCs/>
          <w:sz w:val="20"/>
          <w:szCs w:val="20"/>
        </w:rPr>
        <w:t>:</w:t>
      </w:r>
    </w:p>
    <w:p w14:paraId="081F969C" w14:textId="28F4249F" w:rsidR="000E2C22" w:rsidRPr="0038630A" w:rsidRDefault="000E2C22" w:rsidP="00291014">
      <w:pPr>
        <w:numPr>
          <w:ilvl w:val="1"/>
          <w:numId w:val="21"/>
        </w:numPr>
        <w:jc w:val="both"/>
        <w:rPr>
          <w:sz w:val="20"/>
          <w:szCs w:val="20"/>
          <w:lang w:val="es-CR"/>
        </w:rPr>
      </w:pPr>
      <w:r w:rsidRPr="001C4E89">
        <w:rPr>
          <w:sz w:val="20"/>
          <w:szCs w:val="20"/>
          <w:lang w:val="es-CR"/>
        </w:rPr>
        <w:t>Establecer las metodologías y aprobar los pliegos tarifarios definitivos para las tarifas de acceso (peajes) que cobran las empresas distribuidoras por el uso de</w:t>
      </w:r>
      <w:r w:rsidRPr="0038630A">
        <w:rPr>
          <w:sz w:val="20"/>
          <w:szCs w:val="20"/>
          <w:lang w:val="es-CR"/>
        </w:rPr>
        <w:t xml:space="preserve"> sus redes.</w:t>
      </w:r>
    </w:p>
    <w:p w14:paraId="6C1B6B38" w14:textId="139DE800" w:rsidR="000E2C22" w:rsidRPr="0038630A" w:rsidRDefault="000E2C22" w:rsidP="00291014">
      <w:pPr>
        <w:numPr>
          <w:ilvl w:val="1"/>
          <w:numId w:val="21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Fijar los esquemas y condiciones de compensación o liquidación de los excedentes energéticos inyectados a la red por los usuarios-generadores.</w:t>
      </w:r>
    </w:p>
    <w:p w14:paraId="1184B7C9" w14:textId="7DC54827" w:rsidR="000E2C22" w:rsidRPr="0038630A" w:rsidRDefault="000E2C22" w:rsidP="00291014">
      <w:pPr>
        <w:numPr>
          <w:ilvl w:val="0"/>
          <w:numId w:val="21"/>
        </w:numPr>
        <w:jc w:val="both"/>
        <w:rPr>
          <w:sz w:val="20"/>
          <w:szCs w:val="20"/>
          <w:lang w:val="es-CR"/>
        </w:rPr>
      </w:pPr>
      <w:r w:rsidRPr="0038630A">
        <w:rPr>
          <w:b/>
          <w:bCs/>
          <w:sz w:val="20"/>
          <w:szCs w:val="20"/>
          <w:lang w:val="es-CR"/>
        </w:rPr>
        <w:t>Fiscalización y Protección al Usuario:</w:t>
      </w:r>
    </w:p>
    <w:p w14:paraId="19C15778" w14:textId="216B97D9" w:rsidR="000E2C22" w:rsidRPr="0038630A" w:rsidRDefault="000E2C22" w:rsidP="00291014">
      <w:pPr>
        <w:numPr>
          <w:ilvl w:val="1"/>
          <w:numId w:val="21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lastRenderedPageBreak/>
        <w:t>Auditar a las empresas distribuidoras para garantizar que no impongan barreras injustificadas o plazos desmedidos a los trámites de interconexión presentados por los abonados.</w:t>
      </w:r>
    </w:p>
    <w:p w14:paraId="6162AFC8" w14:textId="2057A6D4" w:rsidR="000E2C22" w:rsidRPr="0038630A" w:rsidRDefault="000E2C22" w:rsidP="00291014">
      <w:pPr>
        <w:numPr>
          <w:ilvl w:val="1"/>
          <w:numId w:val="21"/>
        </w:numPr>
        <w:jc w:val="both"/>
        <w:rPr>
          <w:sz w:val="20"/>
          <w:szCs w:val="20"/>
          <w:lang w:val="es-CR"/>
        </w:rPr>
      </w:pPr>
      <w:r w:rsidRPr="0038630A">
        <w:rPr>
          <w:sz w:val="20"/>
          <w:szCs w:val="20"/>
          <w:lang w:val="es-CR"/>
        </w:rPr>
        <w:t>Resolver en última instancia administrativa los conflictos o disputas técnicas/comerciales que surjan entre un usuario-generador y su empresa distribuidora de energía.</w:t>
      </w:r>
    </w:p>
    <w:sectPr w:rsidR="000E2C22" w:rsidRPr="00386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7C792" w14:textId="77777777" w:rsidR="009A1351" w:rsidRDefault="009A1351" w:rsidP="000E4427">
      <w:pPr>
        <w:spacing w:after="0" w:line="240" w:lineRule="auto"/>
      </w:pPr>
      <w:r>
        <w:separator/>
      </w:r>
    </w:p>
  </w:endnote>
  <w:endnote w:type="continuationSeparator" w:id="0">
    <w:p w14:paraId="642CF5D3" w14:textId="77777777" w:rsidR="009A1351" w:rsidRDefault="009A1351" w:rsidP="000E44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04E7" w14:textId="77777777" w:rsidR="009A1351" w:rsidRDefault="009A1351" w:rsidP="000E4427">
      <w:pPr>
        <w:spacing w:after="0" w:line="240" w:lineRule="auto"/>
      </w:pPr>
      <w:r>
        <w:separator/>
      </w:r>
    </w:p>
  </w:footnote>
  <w:footnote w:type="continuationSeparator" w:id="0">
    <w:p w14:paraId="535C56CE" w14:textId="77777777" w:rsidR="009A1351" w:rsidRDefault="009A1351" w:rsidP="000E44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B72AF"/>
    <w:multiLevelType w:val="multilevel"/>
    <w:tmpl w:val="E0FC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003A0"/>
    <w:multiLevelType w:val="multilevel"/>
    <w:tmpl w:val="851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C149D"/>
    <w:multiLevelType w:val="multilevel"/>
    <w:tmpl w:val="0EF8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45765"/>
    <w:multiLevelType w:val="multilevel"/>
    <w:tmpl w:val="FC6E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70F11"/>
    <w:multiLevelType w:val="multilevel"/>
    <w:tmpl w:val="0910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A3DFE"/>
    <w:multiLevelType w:val="multilevel"/>
    <w:tmpl w:val="EAB8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062F00"/>
    <w:multiLevelType w:val="multilevel"/>
    <w:tmpl w:val="B0D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50843"/>
    <w:multiLevelType w:val="multilevel"/>
    <w:tmpl w:val="5C32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63198"/>
    <w:multiLevelType w:val="multilevel"/>
    <w:tmpl w:val="8C94B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480F44"/>
    <w:multiLevelType w:val="multilevel"/>
    <w:tmpl w:val="877E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2A0240"/>
    <w:multiLevelType w:val="multilevel"/>
    <w:tmpl w:val="15A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6606B"/>
    <w:multiLevelType w:val="multilevel"/>
    <w:tmpl w:val="8558E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811CAC"/>
    <w:multiLevelType w:val="multilevel"/>
    <w:tmpl w:val="4576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85A80"/>
    <w:multiLevelType w:val="multilevel"/>
    <w:tmpl w:val="4BF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F79D2"/>
    <w:multiLevelType w:val="multilevel"/>
    <w:tmpl w:val="97D4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46CA1"/>
    <w:multiLevelType w:val="multilevel"/>
    <w:tmpl w:val="307EC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D4637"/>
    <w:multiLevelType w:val="multilevel"/>
    <w:tmpl w:val="C0D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C64B2"/>
    <w:multiLevelType w:val="multilevel"/>
    <w:tmpl w:val="98A2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0131F"/>
    <w:multiLevelType w:val="multilevel"/>
    <w:tmpl w:val="9B88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C04DE"/>
    <w:multiLevelType w:val="multilevel"/>
    <w:tmpl w:val="CDC0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11AEA"/>
    <w:multiLevelType w:val="multilevel"/>
    <w:tmpl w:val="5A504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090AB6"/>
    <w:multiLevelType w:val="multilevel"/>
    <w:tmpl w:val="4F70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6405DD"/>
    <w:multiLevelType w:val="multilevel"/>
    <w:tmpl w:val="1C3A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746451">
    <w:abstractNumId w:val="4"/>
  </w:num>
  <w:num w:numId="2" w16cid:durableId="1859616600">
    <w:abstractNumId w:val="6"/>
  </w:num>
  <w:num w:numId="3" w16cid:durableId="573710848">
    <w:abstractNumId w:val="11"/>
  </w:num>
  <w:num w:numId="4" w16cid:durableId="486484662">
    <w:abstractNumId w:val="1"/>
  </w:num>
  <w:num w:numId="5" w16cid:durableId="299727444">
    <w:abstractNumId w:val="0"/>
  </w:num>
  <w:num w:numId="6" w16cid:durableId="840199136">
    <w:abstractNumId w:val="5"/>
  </w:num>
  <w:num w:numId="7" w16cid:durableId="1543322442">
    <w:abstractNumId w:val="10"/>
  </w:num>
  <w:num w:numId="8" w16cid:durableId="1724795249">
    <w:abstractNumId w:val="12"/>
  </w:num>
  <w:num w:numId="9" w16cid:durableId="2086687213">
    <w:abstractNumId w:val="3"/>
  </w:num>
  <w:num w:numId="10" w16cid:durableId="1104769161">
    <w:abstractNumId w:val="21"/>
  </w:num>
  <w:num w:numId="11" w16cid:durableId="1322462842">
    <w:abstractNumId w:val="19"/>
  </w:num>
  <w:num w:numId="12" w16cid:durableId="93478233">
    <w:abstractNumId w:val="7"/>
  </w:num>
  <w:num w:numId="13" w16cid:durableId="1427921298">
    <w:abstractNumId w:val="18"/>
  </w:num>
  <w:num w:numId="14" w16cid:durableId="489324431">
    <w:abstractNumId w:val="22"/>
  </w:num>
  <w:num w:numId="15" w16cid:durableId="1709454647">
    <w:abstractNumId w:val="17"/>
  </w:num>
  <w:num w:numId="16" w16cid:durableId="338429054">
    <w:abstractNumId w:val="16"/>
  </w:num>
  <w:num w:numId="17" w16cid:durableId="2118213762">
    <w:abstractNumId w:val="14"/>
  </w:num>
  <w:num w:numId="18" w16cid:durableId="1784574185">
    <w:abstractNumId w:val="13"/>
  </w:num>
  <w:num w:numId="19" w16cid:durableId="1862933526">
    <w:abstractNumId w:val="20"/>
  </w:num>
  <w:num w:numId="20" w16cid:durableId="1015228756">
    <w:abstractNumId w:val="15"/>
  </w:num>
  <w:num w:numId="21" w16cid:durableId="2061440152">
    <w:abstractNumId w:val="9"/>
  </w:num>
  <w:num w:numId="22" w16cid:durableId="1658874881">
    <w:abstractNumId w:val="8"/>
  </w:num>
  <w:num w:numId="23" w16cid:durableId="52260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CEB"/>
    <w:rsid w:val="000720F9"/>
    <w:rsid w:val="00074084"/>
    <w:rsid w:val="00080EF4"/>
    <w:rsid w:val="000E2C22"/>
    <w:rsid w:val="000E4427"/>
    <w:rsid w:val="00103C16"/>
    <w:rsid w:val="00126819"/>
    <w:rsid w:val="00140508"/>
    <w:rsid w:val="001464B7"/>
    <w:rsid w:val="001C4E89"/>
    <w:rsid w:val="00291014"/>
    <w:rsid w:val="002E463D"/>
    <w:rsid w:val="00302937"/>
    <w:rsid w:val="00303FEE"/>
    <w:rsid w:val="00371F44"/>
    <w:rsid w:val="0038630A"/>
    <w:rsid w:val="003E3BCC"/>
    <w:rsid w:val="0042376E"/>
    <w:rsid w:val="004A1BDE"/>
    <w:rsid w:val="004E56D0"/>
    <w:rsid w:val="00592E82"/>
    <w:rsid w:val="005B2FD4"/>
    <w:rsid w:val="00617581"/>
    <w:rsid w:val="006462F3"/>
    <w:rsid w:val="006E3F41"/>
    <w:rsid w:val="00777143"/>
    <w:rsid w:val="007A5770"/>
    <w:rsid w:val="0082282E"/>
    <w:rsid w:val="00840202"/>
    <w:rsid w:val="0091762B"/>
    <w:rsid w:val="009774BA"/>
    <w:rsid w:val="009A1351"/>
    <w:rsid w:val="009A3CEB"/>
    <w:rsid w:val="009F2489"/>
    <w:rsid w:val="009F2DAC"/>
    <w:rsid w:val="00A45666"/>
    <w:rsid w:val="00AA3DFB"/>
    <w:rsid w:val="00B051BD"/>
    <w:rsid w:val="00B413EC"/>
    <w:rsid w:val="00B76D76"/>
    <w:rsid w:val="00B86BB1"/>
    <w:rsid w:val="00CA5B1D"/>
    <w:rsid w:val="00CE05DF"/>
    <w:rsid w:val="00D12B5B"/>
    <w:rsid w:val="00D50139"/>
    <w:rsid w:val="00D512C0"/>
    <w:rsid w:val="00D608EF"/>
    <w:rsid w:val="00E2486D"/>
    <w:rsid w:val="00E7363D"/>
    <w:rsid w:val="00F677C3"/>
    <w:rsid w:val="00F87668"/>
    <w:rsid w:val="00FA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260A1"/>
  <w15:chartTrackingRefBased/>
  <w15:docId w15:val="{B745CF84-D31F-4049-86AA-4655CC5E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3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3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C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4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427"/>
  </w:style>
  <w:style w:type="paragraph" w:styleId="Footer">
    <w:name w:val="footer"/>
    <w:basedOn w:val="Normal"/>
    <w:link w:val="FooterChar"/>
    <w:uiPriority w:val="99"/>
    <w:unhideWhenUsed/>
    <w:rsid w:val="000E44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427"/>
  </w:style>
  <w:style w:type="character" w:styleId="Hyperlink">
    <w:name w:val="Hyperlink"/>
    <w:basedOn w:val="DefaultParagraphFont"/>
    <w:uiPriority w:val="99"/>
    <w:unhideWhenUsed/>
    <w:rsid w:val="00592E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E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ae.go.cr/documentos/consultas-publicas/363-ley10086.aspx" TargetMode="External"/><Relationship Id="rId13" Type="http://schemas.openxmlformats.org/officeDocument/2006/relationships/hyperlink" Target="https://sinalevi.go.cr/ResultadosNormativa/Informacion?param1=79376&amp;param2=100377&amp;param3=1&amp;param4=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inalevi.go.cr/ResultadosNormativa/Informacion?param1=96064&amp;param2=128505&amp;param3=1" TargetMode="External"/><Relationship Id="rId12" Type="http://schemas.openxmlformats.org/officeDocument/2006/relationships/hyperlink" Target="https://aresep.go.cr/electricidad/normativa/normativa-tecnica-nacion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inalevi.go.cr/ResultadosNormativa/Informacion?param1=79876&amp;param2=149063&amp;param3=1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powerandcables.com/wp-content/uploads/2020/01/2008-National-Electrical-Code-NFPA-7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iemicr.org/wp-content/uploads/2024/12/Decreto-Codigo-Electrico_compressed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2831</Words>
  <Characters>16139</Characters>
  <Application>Microsoft Office Word</Application>
  <DocSecurity>0</DocSecurity>
  <Lines>134</Lines>
  <Paragraphs>37</Paragraphs>
  <ScaleCrop>false</ScaleCrop>
  <Company/>
  <LinksUpToDate>false</LinksUpToDate>
  <CharactersWithSpaces>18933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BOU ESPINOZA</dc:creator>
  <cp:keywords/>
  <dc:description/>
  <cp:lastModifiedBy>RAQUEL BOU ESPINOZA</cp:lastModifiedBy>
  <cp:revision>3</cp:revision>
  <dcterms:created xsi:type="dcterms:W3CDTF">2026-09-29T23:12:00Z</dcterms:created>
  <dcterms:modified xsi:type="dcterms:W3CDTF">2026-09-29T23:12:00Z</dcterms:modified>
</cp:coreProperties>
</file>