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rnf7m8vfof0" w:id="0"/>
      <w:bookmarkEnd w:id="0"/>
      <w:r w:rsidDel="00000000" w:rsidR="00000000" w:rsidRPr="00000000">
        <w:rPr>
          <w:rtl w:val="0"/>
        </w:rPr>
        <w:t xml:space="preserve">ACADEMIC RESEARCH (REALM SPECIFIC)</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HRITESH LAMA (UP2278088)</w:t>
      </w:r>
    </w:p>
    <w:p w:rsidR="00000000" w:rsidDel="00000000" w:rsidP="00000000" w:rsidRDefault="00000000" w:rsidRPr="00000000" w14:paraId="00000003">
      <w:pPr>
        <w:pStyle w:val="Heading1"/>
        <w:ind w:left="0" w:firstLine="0"/>
        <w:rPr/>
      </w:pPr>
      <w:bookmarkStart w:colFirst="0" w:colLast="0" w:name="_1769nniwgxlo" w:id="1"/>
      <w:bookmarkEnd w:id="1"/>
      <w:r w:rsidDel="00000000" w:rsidR="00000000" w:rsidRPr="00000000">
        <w:rPr>
          <w:rtl w:val="0"/>
        </w:rPr>
      </w:r>
    </w:p>
    <w:p w:rsidR="00000000" w:rsidDel="00000000" w:rsidP="00000000" w:rsidRDefault="00000000" w:rsidRPr="00000000" w14:paraId="00000004">
      <w:pPr>
        <w:pStyle w:val="Heading1"/>
        <w:ind w:left="0" w:firstLine="0"/>
        <w:rPr/>
      </w:pPr>
      <w:bookmarkStart w:colFirst="0" w:colLast="0" w:name="_kjiwii3at1fz" w:id="2"/>
      <w:bookmarkEnd w:id="2"/>
      <w:r w:rsidDel="00000000" w:rsidR="00000000" w:rsidRPr="00000000">
        <w:rPr>
          <w:rtl w:val="0"/>
        </w:rPr>
      </w:r>
    </w:p>
    <w:p w:rsidR="00000000" w:rsidDel="00000000" w:rsidP="00000000" w:rsidRDefault="00000000" w:rsidRPr="00000000" w14:paraId="00000005">
      <w:pPr>
        <w:pStyle w:val="Heading1"/>
        <w:ind w:left="0" w:firstLine="0"/>
        <w:rPr/>
      </w:pPr>
      <w:bookmarkStart w:colFirst="0" w:colLast="0" w:name="_s2syn6djxiab" w:id="3"/>
      <w:bookmarkEnd w:id="3"/>
      <w:r w:rsidDel="00000000" w:rsidR="00000000" w:rsidRPr="00000000">
        <w:rPr>
          <w:rtl w:val="0"/>
        </w:rPr>
        <w:t xml:space="preserve">1.  Why </w:t>
      </w:r>
      <w:r w:rsidDel="00000000" w:rsidR="00000000" w:rsidRPr="00000000">
        <w:rPr>
          <w:b w:val="1"/>
          <w:bCs w:val="1"/>
          <w:rtl w:val="0"/>
        </w:rPr>
        <w:t xml:space="preserve">player power scaling/progression </w:t>
      </w:r>
      <w:r w:rsidDel="00000000" w:rsidR="00000000" w:rsidRPr="00000000">
        <w:rPr>
          <w:rtl w:val="0"/>
        </w:rPr>
        <w:t xml:space="preserve">is</w:t>
      </w:r>
      <w:r w:rsidDel="00000000" w:rsidR="00000000" w:rsidRPr="00000000">
        <w:rPr>
          <w:b w:val="1"/>
          <w:bCs w:val="1"/>
          <w:rtl w:val="0"/>
        </w:rPr>
        <w:t xml:space="preserve"> </w:t>
      </w:r>
      <w:r w:rsidDel="00000000" w:rsidR="00000000" w:rsidRPr="00000000">
        <w:rPr>
          <w:rtl w:val="0"/>
        </w:rPr>
        <w:t xml:space="preserve">important in PvP board games:</w:t>
      </w:r>
    </w:p>
    <w:p w:rsidR="00000000" w:rsidDel="00000000" w:rsidP="00000000" w:rsidRDefault="00000000" w:rsidRPr="00000000" w14:paraId="00000006">
      <w:pPr>
        <w:ind w:left="0" w:firstLine="0"/>
        <w:rPr>
          <w:b w:val="1"/>
          <w:bCs w:val="1"/>
        </w:rPr>
      </w:pPr>
      <w:r w:rsidDel="00000000" w:rsidR="00000000" w:rsidRPr="00000000">
        <w:rPr>
          <w:rtl w:val="0"/>
        </w:rPr>
        <w:t xml:space="preserve">1.1) </w:t>
      </w:r>
      <w:r w:rsidDel="00000000" w:rsidR="00000000" w:rsidRPr="00000000">
        <w:rPr>
          <w:b w:val="1"/>
          <w:bCs w:val="1"/>
          <w:rtl w:val="0"/>
        </w:rPr>
        <w:t xml:space="preserve">Keeps players in the “sweet spot” on different upcoming challenges and can prevent boredom:</w:t>
      </w:r>
    </w:p>
    <w:p w:rsidR="00000000" w:rsidDel="00000000" w:rsidP="00000000" w:rsidRDefault="00000000" w:rsidRPr="00000000" w14:paraId="00000007">
      <w:pPr>
        <w:ind w:left="720" w:firstLine="0"/>
        <w:rPr/>
      </w:pPr>
      <w:r w:rsidDel="00000000" w:rsidR="00000000" w:rsidRPr="00000000">
        <w:rPr>
          <w:rtl w:val="0"/>
        </w:rPr>
        <w:t xml:space="preserve">Player’s power scaling as the game progresses can bring new upcoming challenges that help match task demands to the player’s skill.</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b w:val="1"/>
          <w:bCs w:val="1"/>
          <w:rtl w:val="0"/>
        </w:rPr>
        <w:t xml:space="preserve">Salisbury, J., &amp; Tomlinson, P. (2014).</w:t>
      </w:r>
      <w:r w:rsidDel="00000000" w:rsidR="00000000" w:rsidRPr="00000000">
        <w:rPr>
          <w:rtl w:val="0"/>
        </w:rPr>
        <w:t xml:space="preserve"> </w:t>
      </w:r>
      <w:r w:rsidDel="00000000" w:rsidR="00000000" w:rsidRPr="00000000">
        <w:rPr>
          <w:i w:val="1"/>
          <w:iCs w:val="1"/>
          <w:rtl w:val="0"/>
        </w:rPr>
        <w:t xml:space="preserve">Contextualizing flow in games.</w:t>
      </w:r>
      <w:r w:rsidDel="00000000" w:rsidR="00000000" w:rsidRPr="00000000">
        <w:rPr>
          <w:rtl w:val="0"/>
        </w:rPr>
        <w:t xml:space="preserve"> In </w:t>
      </w:r>
      <w:r w:rsidDel="00000000" w:rsidR="00000000" w:rsidRPr="00000000">
        <w:rPr>
          <w:b w:val="1"/>
          <w:bCs w:val="1"/>
          <w:rtl w:val="0"/>
        </w:rPr>
        <w:t xml:space="preserve">Proceedings of the DiGRA 2014 Conference: &lt;i&gt;Active Noun the Verb of Game Plural&lt;/i&gt;</w:t>
      </w:r>
      <w:r w:rsidDel="00000000" w:rsidR="00000000" w:rsidRPr="00000000">
        <w:rPr>
          <w:rtl w:val="0"/>
        </w:rPr>
        <w:t xml:space="preserve">. Digital Games Research Association (DiGRA)</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1.2) </w:t>
      </w:r>
      <w:r w:rsidDel="00000000" w:rsidR="00000000" w:rsidRPr="00000000">
        <w:rPr>
          <w:b w:val="1"/>
          <w:bCs w:val="1"/>
          <w:rtl w:val="0"/>
        </w:rPr>
        <w:t xml:space="preserve">Can help structure pacing of the game so that gameplay evolution is meaningful: </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Scaling as the game progresses can introduce new mechanics through the increase of resources, which can introduce upcoming threats which will support a rising tension curve and help stop flat, unchanging play.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b w:val="1"/>
          <w:bCs w:val="1"/>
          <w:rtl w:val="0"/>
        </w:rPr>
        <w:t xml:space="preserve">Salisbury, J., &amp; Tomlinson, P. (2014).</w:t>
      </w:r>
      <w:r w:rsidDel="00000000" w:rsidR="00000000" w:rsidRPr="00000000">
        <w:rPr>
          <w:rtl w:val="0"/>
        </w:rPr>
        <w:t xml:space="preserve"> </w:t>
      </w:r>
      <w:r w:rsidDel="00000000" w:rsidR="00000000" w:rsidRPr="00000000">
        <w:rPr>
          <w:i w:val="1"/>
          <w:iCs w:val="1"/>
          <w:rtl w:val="0"/>
        </w:rPr>
        <w:t xml:space="preserve">Contextualizing flow in games.</w:t>
      </w:r>
      <w:r w:rsidDel="00000000" w:rsidR="00000000" w:rsidRPr="00000000">
        <w:rPr>
          <w:rtl w:val="0"/>
        </w:rPr>
        <w:t xml:space="preserve"> In </w:t>
      </w:r>
      <w:r w:rsidDel="00000000" w:rsidR="00000000" w:rsidRPr="00000000">
        <w:rPr>
          <w:b w:val="1"/>
          <w:bCs w:val="1"/>
          <w:rtl w:val="0"/>
        </w:rPr>
        <w:t xml:space="preserve">Proceedings of the DiGRA 2014 Conference: Active Noun the Verb of Game Plural</w:t>
      </w:r>
      <w:r w:rsidDel="00000000" w:rsidR="00000000" w:rsidRPr="00000000">
        <w:rPr>
          <w:rtl w:val="0"/>
        </w:rPr>
        <w:t xml:space="preserve">. Digital Games Research Association (DiGRA)</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t xml:space="preserve">1.3)  </w:t>
      </w:r>
      <w:r w:rsidDel="00000000" w:rsidR="00000000" w:rsidRPr="00000000">
        <w:rPr>
          <w:b w:val="1"/>
          <w:bCs w:val="1"/>
          <w:rtl w:val="0"/>
        </w:rPr>
        <w:t xml:space="preserve">Helps balance player skill differences:</w:t>
      </w:r>
    </w:p>
    <w:p w:rsidR="00000000" w:rsidDel="00000000" w:rsidP="00000000" w:rsidRDefault="00000000" w:rsidRPr="00000000" w14:paraId="00000013">
      <w:pPr>
        <w:ind w:left="720" w:firstLine="0"/>
        <w:rPr/>
      </w:pPr>
      <w:r w:rsidDel="00000000" w:rsidR="00000000" w:rsidRPr="00000000">
        <w:rPr>
          <w:rtl w:val="0"/>
        </w:rPr>
        <w:t xml:space="preserve">Power scaling can help balance the playing field across all players by matching power curves through the progression of the game, which is especially useful where some players may advance quicker naturally.</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firstLine="720"/>
        <w:rPr>
          <w:b w:val="1"/>
          <w:bCs w:val="1"/>
        </w:rPr>
      </w:pPr>
      <w:r w:rsidDel="00000000" w:rsidR="00000000" w:rsidRPr="00000000">
        <w:rPr>
          <w:b w:val="1"/>
          <w:bCs w:val="1"/>
          <w:rtl w:val="0"/>
        </w:rPr>
        <w:t xml:space="preserve"> Polipietro. (n.d.). How progression systems shape engagement in games.</w:t>
      </w:r>
    </w:p>
    <w:p w:rsidR="00000000" w:rsidDel="00000000" w:rsidP="00000000" w:rsidRDefault="00000000" w:rsidRPr="00000000" w14:paraId="00000016">
      <w:pPr>
        <w:ind w:firstLine="720"/>
        <w:rPr>
          <w:b w:val="1"/>
          <w:bCs w:val="1"/>
        </w:rPr>
      </w:pPr>
      <w:r w:rsidDel="00000000" w:rsidR="00000000" w:rsidRPr="00000000">
        <w:rPr>
          <w:rtl w:val="0"/>
        </w:rPr>
      </w:r>
    </w:p>
    <w:p w:rsidR="00000000" w:rsidDel="00000000" w:rsidP="00000000" w:rsidRDefault="00000000" w:rsidRPr="00000000" w14:paraId="00000017">
      <w:pPr>
        <w:pStyle w:val="Heading1"/>
        <w:rPr/>
      </w:pPr>
      <w:bookmarkStart w:colFirst="0" w:colLast="0" w:name="_yszn7wipenp3" w:id="4"/>
      <w:bookmarkEnd w:id="4"/>
      <w:r w:rsidDel="00000000" w:rsidR="00000000" w:rsidRPr="00000000">
        <w:rPr>
          <w:rtl w:val="0"/>
        </w:rPr>
      </w:r>
    </w:p>
    <w:p w:rsidR="00000000" w:rsidDel="00000000" w:rsidP="00000000" w:rsidRDefault="00000000" w:rsidRPr="00000000" w14:paraId="00000018">
      <w:pPr>
        <w:pStyle w:val="Heading1"/>
        <w:rPr/>
      </w:pPr>
      <w:bookmarkStart w:colFirst="0" w:colLast="0" w:name="_nqjcypwh7d72" w:id="5"/>
      <w:bookmarkEnd w:id="5"/>
      <w:r w:rsidDel="00000000" w:rsidR="00000000" w:rsidRPr="00000000">
        <w:rPr>
          <w:rtl w:val="0"/>
        </w:rPr>
      </w:r>
    </w:p>
    <w:p w:rsidR="00000000" w:rsidDel="00000000" w:rsidP="00000000" w:rsidRDefault="00000000" w:rsidRPr="00000000" w14:paraId="00000019">
      <w:pPr>
        <w:pStyle w:val="Heading1"/>
        <w:rPr/>
      </w:pPr>
      <w:bookmarkStart w:colFirst="0" w:colLast="0" w:name="_e9lkmmc18xka" w:id="6"/>
      <w:bookmarkEnd w:id="6"/>
      <w:r w:rsidDel="00000000" w:rsidR="00000000" w:rsidRPr="00000000">
        <w:rPr>
          <w:rtl w:val="0"/>
        </w:rPr>
        <w:t xml:space="preserve">2. The importance of </w:t>
      </w:r>
      <w:r w:rsidDel="00000000" w:rsidR="00000000" w:rsidRPr="00000000">
        <w:rPr>
          <w:b w:val="1"/>
          <w:bCs w:val="1"/>
          <w:rtl w:val="0"/>
        </w:rPr>
        <w:t xml:space="preserve">"Contrast"of a board</w:t>
      </w:r>
      <w:r w:rsidDel="00000000" w:rsidR="00000000" w:rsidRPr="00000000">
        <w:rPr>
          <w:rtl w:val="0"/>
        </w:rPr>
        <w:t xml:space="preserve"> in a PvP style board game:</w:t>
      </w:r>
    </w:p>
    <w:p w:rsidR="00000000" w:rsidDel="00000000" w:rsidP="00000000" w:rsidRDefault="00000000" w:rsidRPr="00000000" w14:paraId="0000001A">
      <w:pPr>
        <w:rPr>
          <w:b w:val="1"/>
          <w:bCs w:val="1"/>
        </w:rPr>
      </w:pPr>
      <w:r w:rsidDel="00000000" w:rsidR="00000000" w:rsidRPr="00000000">
        <w:rPr>
          <w:rtl w:val="0"/>
        </w:rPr>
        <w:t xml:space="preserve">2.1)</w:t>
      </w:r>
      <w:r w:rsidDel="00000000" w:rsidR="00000000" w:rsidRPr="00000000">
        <w:rPr>
          <w:b w:val="1"/>
          <w:bCs w:val="1"/>
          <w:rtl w:val="0"/>
        </w:rPr>
        <w:t xml:space="preserve"> Contrast can improve the clarity of different components used within the game:</w:t>
      </w:r>
    </w:p>
    <w:p w:rsidR="00000000" w:rsidDel="00000000" w:rsidP="00000000" w:rsidRDefault="00000000" w:rsidRPr="00000000" w14:paraId="0000001B">
      <w:pPr>
        <w:ind w:left="720" w:firstLine="0"/>
        <w:rPr/>
      </w:pPr>
      <w:r w:rsidDel="00000000" w:rsidR="00000000" w:rsidRPr="00000000">
        <w:rPr>
          <w:rtl w:val="0"/>
        </w:rPr>
        <w:t xml:space="preserve">The use of good contrast (e.g. the foreground token and background spaces) can support players to distinguish the state of the game and the used resources within the game with no effort. </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ab/>
      </w:r>
    </w:p>
    <w:p w:rsidR="00000000" w:rsidDel="00000000" w:rsidP="00000000" w:rsidRDefault="00000000" w:rsidRPr="00000000" w14:paraId="0000001D">
      <w:pPr>
        <w:ind w:left="720" w:firstLine="0"/>
        <w:rPr/>
      </w:pPr>
      <w:r w:rsidDel="00000000" w:rsidR="00000000" w:rsidRPr="00000000">
        <w:rPr>
          <w:b w:val="1"/>
          <w:bCs w:val="1"/>
          <w:rtl w:val="0"/>
        </w:rPr>
        <w:t xml:space="preserve">Passarelli, M., Masini, M., Piccinno, T. F., &amp; Rizzi, A. (2024).</w:t>
      </w:r>
      <w:r w:rsidDel="00000000" w:rsidR="00000000" w:rsidRPr="00000000">
        <w:rPr>
          <w:rtl w:val="0"/>
        </w:rPr>
        <w:t xml:space="preserve"> Don’t flip the table yet: A framework for the analysis of visual and cognitive ergonomics in board games. Games and Culture. </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t xml:space="preserve">2.2) </w:t>
      </w:r>
      <w:r w:rsidDel="00000000" w:rsidR="00000000" w:rsidRPr="00000000">
        <w:rPr>
          <w:b w:val="1"/>
          <w:bCs w:val="1"/>
          <w:rtl w:val="0"/>
        </w:rPr>
        <w:t xml:space="preserve">Helps lower the mental effort and can decrease player frustration and confusion:</w:t>
      </w:r>
    </w:p>
    <w:p w:rsidR="00000000" w:rsidDel="00000000" w:rsidP="00000000" w:rsidRDefault="00000000" w:rsidRPr="00000000" w14:paraId="00000021">
      <w:pPr>
        <w:ind w:left="720" w:firstLine="0"/>
        <w:rPr/>
      </w:pPr>
      <w:r w:rsidDel="00000000" w:rsidR="00000000" w:rsidRPr="00000000">
        <w:rPr>
          <w:rtl w:val="0"/>
        </w:rPr>
        <w:t xml:space="preserve">When visual elements of a PvP board game have simple contrasting, it can reduce the need of the player’s mental effort to understand what is happening during a match/game, as visual presentation style can affect the difficulty of player’s interpretation of complicated visual information.</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b w:val="1"/>
          <w:bCs w:val="1"/>
          <w:rtl w:val="0"/>
        </w:rPr>
        <w:t xml:space="preserve">Hegarty, M., Keehner, M., Cohen, C., Montello, D. R., &amp; Lippa, Y. (2013). </w:t>
      </w:r>
      <w:r w:rsidDel="00000000" w:rsidR="00000000" w:rsidRPr="00000000">
        <w:rPr>
          <w:rtl w:val="0"/>
        </w:rPr>
        <w:t xml:space="preserve">The role of visual-spatial representations in learning from diagrams. Learning and Instruction, 25, 106–117</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t xml:space="preserve">2.3) </w:t>
      </w:r>
      <w:r w:rsidDel="00000000" w:rsidR="00000000" w:rsidRPr="00000000">
        <w:rPr>
          <w:b w:val="1"/>
          <w:bCs w:val="1"/>
          <w:rtl w:val="0"/>
        </w:rPr>
        <w:t xml:space="preserve">Helps players keep focus on relevant information:</w:t>
      </w:r>
    </w:p>
    <w:p w:rsidR="00000000" w:rsidDel="00000000" w:rsidP="00000000" w:rsidRDefault="00000000" w:rsidRPr="00000000" w14:paraId="00000027">
      <w:pPr>
        <w:ind w:left="720" w:firstLine="0"/>
        <w:rPr/>
      </w:pPr>
      <w:r w:rsidDel="00000000" w:rsidR="00000000" w:rsidRPr="00000000">
        <w:rPr>
          <w:rtl w:val="0"/>
        </w:rPr>
        <w:t xml:space="preserve">Having a good contrast of a board can help organize the visuals of different components and elements used within a match/game, which help the player act faster and more accurately with their actions without being so distracted by visual elements.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b w:val="1"/>
          <w:bCs w:val="1"/>
          <w:rtl w:val="0"/>
        </w:rPr>
        <w:t xml:space="preserve">Chen, S. (2025, May 30). </w:t>
      </w:r>
      <w:r w:rsidDel="00000000" w:rsidR="00000000" w:rsidRPr="00000000">
        <w:rPr>
          <w:rtl w:val="0"/>
        </w:rPr>
        <w:t xml:space="preserve">Study on the Gestalt‑Based Approach to Optimizing 3D Game Interface Layouts. Southwest Jiaotong University, School of Design and Art.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1"/>
        <w:ind w:left="0" w:firstLine="0"/>
        <w:rPr/>
      </w:pPr>
      <w:bookmarkStart w:colFirst="0" w:colLast="0" w:name="_8w88pkx1pkaa" w:id="7"/>
      <w:bookmarkEnd w:id="7"/>
      <w:r w:rsidDel="00000000" w:rsidR="00000000" w:rsidRPr="00000000">
        <w:rPr>
          <w:rtl w:val="0"/>
        </w:rPr>
        <w:t xml:space="preserve">3. The importance of </w:t>
      </w:r>
      <w:r w:rsidDel="00000000" w:rsidR="00000000" w:rsidRPr="00000000">
        <w:rPr>
          <w:b w:val="1"/>
          <w:bCs w:val="1"/>
          <w:rtl w:val="0"/>
        </w:rPr>
        <w:t xml:space="preserve">“Resource management/tracking” </w:t>
      </w:r>
      <w:r w:rsidDel="00000000" w:rsidR="00000000" w:rsidRPr="00000000">
        <w:rPr>
          <w:rtl w:val="0"/>
        </w:rPr>
        <w:t xml:space="preserve"> in a PvP style board game: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3.1) </w:t>
      </w:r>
      <w:r w:rsidDel="00000000" w:rsidR="00000000" w:rsidRPr="00000000">
        <w:rPr>
          <w:b w:val="1"/>
          <w:bCs w:val="1"/>
          <w:rtl w:val="0"/>
        </w:rPr>
        <w:t xml:space="preserve">Supports strategic decision-making:</w:t>
      </w:r>
    </w:p>
    <w:p w:rsidR="00000000" w:rsidDel="00000000" w:rsidP="00000000" w:rsidRDefault="00000000" w:rsidRPr="00000000" w14:paraId="00000035">
      <w:pPr>
        <w:ind w:left="720" w:firstLine="0"/>
        <w:rPr/>
      </w:pPr>
      <w:r w:rsidDel="00000000" w:rsidR="00000000" w:rsidRPr="00000000">
        <w:rPr>
          <w:rtl w:val="0"/>
        </w:rPr>
        <w:t xml:space="preserve">When it comes to resources, players must monitor their resources to help optimize moves/actions, which can help prevent misuse of resources and allow more strategic plays and meaningful choices.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b w:val="1"/>
          <w:bCs w:val="1"/>
          <w:rtl w:val="0"/>
        </w:rPr>
        <w:t xml:space="preserve">Fullerton, T. (2014). </w:t>
      </w:r>
      <w:r w:rsidDel="00000000" w:rsidR="00000000" w:rsidRPr="00000000">
        <w:rPr>
          <w:b w:val="1"/>
          <w:bCs w:val="1"/>
          <w:i w:val="1"/>
          <w:iCs w:val="1"/>
          <w:rtl w:val="0"/>
        </w:rPr>
        <w:t xml:space="preserve">Game Design Workshop: </w:t>
      </w:r>
      <w:r w:rsidDel="00000000" w:rsidR="00000000" w:rsidRPr="00000000">
        <w:rPr>
          <w:rtl w:val="0"/>
        </w:rPr>
        <w:t xml:space="preserve">A Playcentric Approach to Creating Innovative Games (3rd ed.). CRC Press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t xml:space="preserve">3.2) </w:t>
      </w:r>
      <w:r w:rsidDel="00000000" w:rsidR="00000000" w:rsidRPr="00000000">
        <w:rPr>
          <w:b w:val="1"/>
          <w:bCs w:val="1"/>
          <w:rtl w:val="0"/>
        </w:rPr>
        <w:t xml:space="preserve">Supports balancing and fairness across all players:</w:t>
      </w:r>
    </w:p>
    <w:p w:rsidR="00000000" w:rsidDel="00000000" w:rsidP="00000000" w:rsidRDefault="00000000" w:rsidRPr="00000000" w14:paraId="0000003B">
      <w:pPr>
        <w:ind w:left="720" w:firstLine="0"/>
        <w:rPr/>
      </w:pPr>
      <w:r w:rsidDel="00000000" w:rsidR="00000000" w:rsidRPr="00000000">
        <w:rPr>
          <w:rtl w:val="0"/>
        </w:rPr>
        <w:t xml:space="preserve">Tracking resources can prevent players gaining an unfair advantage and give them an upper hand over others  and prevent players from making mistakes that unintentionally break the mechanics of a game. This is critical in a PvP style board game as equal competition is key to a competitive situation(s)</w:t>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ind w:left="720" w:firstLine="0"/>
        <w:rPr/>
      </w:pPr>
      <w:r w:rsidDel="00000000" w:rsidR="00000000" w:rsidRPr="00000000">
        <w:rPr>
          <w:b w:val="1"/>
          <w:bCs w:val="1"/>
          <w:rtl w:val="0"/>
        </w:rPr>
        <w:t xml:space="preserve">Rollings, A., &amp; Adams, E. (2003). </w:t>
      </w:r>
      <w:r w:rsidDel="00000000" w:rsidR="00000000" w:rsidRPr="00000000">
        <w:rPr>
          <w:rtl w:val="0"/>
        </w:rPr>
        <w:t xml:space="preserve">Andrew Rollings and Ernest Adams on Game Design. New Riders.</w:t>
      </w:r>
    </w:p>
    <w:p w:rsidR="00000000" w:rsidDel="00000000" w:rsidP="00000000" w:rsidRDefault="00000000" w:rsidRPr="00000000" w14:paraId="0000003E">
      <w:pPr>
        <w:rPr/>
      </w:pPr>
      <w:r w:rsidDel="00000000" w:rsidR="00000000" w:rsidRPr="00000000">
        <w:rPr>
          <w:rtl w:val="0"/>
        </w:rPr>
        <w:tab/>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t xml:space="preserve">3.3) </w:t>
      </w:r>
      <w:r w:rsidDel="00000000" w:rsidR="00000000" w:rsidRPr="00000000">
        <w:rPr>
          <w:b w:val="1"/>
          <w:bCs w:val="1"/>
          <w:rtl w:val="0"/>
        </w:rPr>
        <w:t xml:space="preserve">Increase player involvement and engagement through risk-reward outcomes:</w:t>
      </w:r>
    </w:p>
    <w:p w:rsidR="00000000" w:rsidDel="00000000" w:rsidP="00000000" w:rsidRDefault="00000000" w:rsidRPr="00000000" w14:paraId="00000041">
      <w:pPr>
        <w:ind w:left="720" w:firstLine="0"/>
        <w:rPr/>
      </w:pPr>
      <w:r w:rsidDel="00000000" w:rsidR="00000000" w:rsidRPr="00000000">
        <w:rPr>
          <w:rtl w:val="0"/>
        </w:rPr>
        <w:t xml:space="preserve">When resources are scarce, it can create trade-offs and entice more risk-reward decisions, which can maximize engagement of players through emotional investments and strategic thinking.</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b w:val="1"/>
          <w:bCs w:val="1"/>
          <w:rtl w:val="0"/>
        </w:rPr>
        <w:t xml:space="preserve">Hunicke, R., LeBlanc, M., &amp; Zubek, R. (2004).</w:t>
      </w:r>
      <w:r w:rsidDel="00000000" w:rsidR="00000000" w:rsidRPr="00000000">
        <w:rPr>
          <w:rtl w:val="0"/>
        </w:rPr>
        <w:t xml:space="preserve"> MDA: A Formal Approach to Game Design and Game Research. Proceedings of the Challenges in Games AI Workshop, Nineteenth National Conference on Artificial Intelligence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1"/>
        <w:rPr/>
      </w:pPr>
      <w:bookmarkStart w:colFirst="0" w:colLast="0" w:name="_52cvvw14rgbj" w:id="8"/>
      <w:bookmarkEnd w:id="8"/>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hy0d2rmhdwan" w:id="9"/>
      <w:bookmarkEnd w:id="9"/>
      <w:r w:rsidDel="00000000" w:rsidR="00000000" w:rsidRPr="00000000">
        <w:rPr>
          <w:rtl w:val="0"/>
        </w:rPr>
        <w:t xml:space="preserve">CITATIONS/REFERENCES:</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1.1, 1.2) Salisbury, J., &amp; Tomlinson, P. (2014).</w:t>
      </w:r>
      <w:r w:rsidDel="00000000" w:rsidR="00000000" w:rsidRPr="00000000">
        <w:rPr>
          <w:rtl w:val="0"/>
        </w:rPr>
        <w:t xml:space="preserve"> </w:t>
      </w:r>
      <w:r w:rsidDel="00000000" w:rsidR="00000000" w:rsidRPr="00000000">
        <w:rPr>
          <w:i w:val="1"/>
          <w:iCs w:val="1"/>
          <w:rtl w:val="0"/>
        </w:rPr>
        <w:t xml:space="preserve">Contextualizing flow in games.</w:t>
      </w:r>
      <w:r w:rsidDel="00000000" w:rsidR="00000000" w:rsidRPr="00000000">
        <w:rPr>
          <w:rtl w:val="0"/>
        </w:rPr>
        <w:t xml:space="preserve"> In </w:t>
      </w:r>
      <w:r w:rsidDel="00000000" w:rsidR="00000000" w:rsidRPr="00000000">
        <w:rPr>
          <w:b w:val="1"/>
          <w:bCs w:val="1"/>
          <w:rtl w:val="0"/>
        </w:rPr>
        <w:t xml:space="preserve">Proceedings of the DiGRA 2014 Conference: Active Noun the Verb of Game Plural&lt;/i&gt;</w:t>
      </w:r>
      <w:r w:rsidDel="00000000" w:rsidR="00000000" w:rsidRPr="00000000">
        <w:rPr>
          <w:rtl w:val="0"/>
        </w:rPr>
        <w:t xml:space="preserve">. Digital Games Research Association (DiGRA) </w:t>
      </w:r>
      <w:hyperlink r:id="rId6">
        <w:r w:rsidDel="00000000" w:rsidR="00000000" w:rsidRPr="00000000">
          <w:rPr>
            <w:color w:val="1155cc"/>
            <w:u w:val="single"/>
            <w:rtl w:val="0"/>
          </w:rPr>
          <w:t xml:space="preserve">https://dl.digra.org/index.php/dl/article/view/637</w:t>
        </w:r>
      </w:hyperlink>
      <w:r w:rsidDel="00000000" w:rsidR="00000000" w:rsidRPr="00000000">
        <w:rPr>
          <w:rtl w:val="0"/>
        </w:rPr>
      </w:r>
    </w:p>
    <w:p w:rsidR="00000000" w:rsidDel="00000000" w:rsidP="00000000" w:rsidRDefault="00000000" w:rsidRPr="00000000" w14:paraId="00000053">
      <w:pPr>
        <w:ind w:left="0" w:firstLine="0"/>
        <w:rPr>
          <w:b w:val="1"/>
          <w:bCs w:val="1"/>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1.3) Polipietro. (n.d.). </w:t>
      </w:r>
      <w:r w:rsidDel="00000000" w:rsidR="00000000" w:rsidRPr="00000000">
        <w:rPr>
          <w:b w:val="1"/>
          <w:bCs w:val="1"/>
          <w:rtl w:val="0"/>
        </w:rPr>
        <w:t xml:space="preserve">How progression systems shape engagement in games. </w:t>
      </w:r>
    </w:p>
    <w:p w:rsidR="00000000" w:rsidDel="00000000" w:rsidP="00000000" w:rsidRDefault="00000000" w:rsidRPr="00000000" w14:paraId="00000055">
      <w:pPr>
        <w:ind w:left="0" w:firstLine="0"/>
        <w:rPr/>
      </w:pPr>
      <w:hyperlink r:id="rId7">
        <w:r w:rsidDel="00000000" w:rsidR="00000000" w:rsidRPr="00000000">
          <w:rPr>
            <w:color w:val="1155cc"/>
            <w:u w:val="single"/>
            <w:rtl w:val="0"/>
          </w:rPr>
          <w:t xml:space="preserve">https://polipietro.de/how-progression-systems-shape-engagement-in-games/</w:t>
        </w:r>
      </w:hyperlink>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b w:val="1"/>
          <w:bCs w:val="1"/>
          <w:rtl w:val="0"/>
        </w:rPr>
        <w:t xml:space="preserve">2.1) Passarelli, M., Masini, M., Piccinno, T. F., &amp; Rizzi, A. (2024).</w:t>
      </w:r>
      <w:r w:rsidDel="00000000" w:rsidR="00000000" w:rsidRPr="00000000">
        <w:rPr>
          <w:rtl w:val="0"/>
        </w:rPr>
        <w:t xml:space="preserve"> Don’t flip the table yet: A framework for the analysis of visual and cognitive ergonomics in board games. Games and Culture. </w:t>
      </w:r>
      <w:hyperlink r:id="rId8">
        <w:r w:rsidDel="00000000" w:rsidR="00000000" w:rsidRPr="00000000">
          <w:rPr>
            <w:color w:val="1155cc"/>
            <w:u w:val="single"/>
            <w:rtl w:val="0"/>
          </w:rPr>
          <w:t xml:space="preserve">https://iris.cnr.it/retrieve/531b61ca-df32-4217-8235-e007980dcd0b/Boardgame_fatigue_rev_convertedToPDF.pdf</w:t>
        </w:r>
      </w:hyperlink>
      <w:r w:rsidDel="00000000" w:rsidR="00000000" w:rsidRPr="00000000">
        <w:rPr>
          <w:rtl w:val="0"/>
        </w:rPr>
      </w:r>
    </w:p>
    <w:p w:rsidR="00000000" w:rsidDel="00000000" w:rsidP="00000000" w:rsidRDefault="00000000" w:rsidRPr="00000000" w14:paraId="00000058">
      <w:pPr>
        <w:ind w:left="0" w:firstLine="0"/>
        <w:rPr>
          <w:sz w:val="26"/>
          <w:szCs w:val="26"/>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b w:val="1"/>
          <w:bCs w:val="1"/>
          <w:rtl w:val="0"/>
        </w:rPr>
        <w:t xml:space="preserve">2.2) Chen, S. (2025, May 30). </w:t>
      </w:r>
      <w:r w:rsidDel="00000000" w:rsidR="00000000" w:rsidRPr="00000000">
        <w:rPr>
          <w:rtl w:val="0"/>
        </w:rPr>
        <w:t xml:space="preserve">Study on the Gestalt‑Based Approach to Optimizing 3D Game Interface Layouts. Southwest Jiaotong University, School of Design and Art.</w:t>
      </w:r>
    </w:p>
    <w:p w:rsidR="00000000" w:rsidDel="00000000" w:rsidP="00000000" w:rsidRDefault="00000000" w:rsidRPr="00000000" w14:paraId="0000005A">
      <w:pPr>
        <w:ind w:left="0" w:firstLine="0"/>
        <w:rPr/>
      </w:pPr>
      <w:hyperlink r:id="rId9">
        <w:r w:rsidDel="00000000" w:rsidR="00000000" w:rsidRPr="00000000">
          <w:rPr>
            <w:color w:val="1155cc"/>
            <w:u w:val="single"/>
            <w:rtl w:val="0"/>
          </w:rPr>
          <w:t xml:space="preserve">https://ace.ewapub.com/article/view/23497</w:t>
        </w:r>
      </w:hyperlink>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b w:val="1"/>
          <w:bCs w:val="1"/>
          <w:rtl w:val="0"/>
        </w:rPr>
        <w:t xml:space="preserve">3.1) Fullerton, T. (2014). </w:t>
      </w:r>
      <w:r w:rsidDel="00000000" w:rsidR="00000000" w:rsidRPr="00000000">
        <w:rPr>
          <w:b w:val="1"/>
          <w:bCs w:val="1"/>
          <w:i w:val="1"/>
          <w:iCs w:val="1"/>
          <w:rtl w:val="0"/>
        </w:rPr>
        <w:t xml:space="preserve">Game Design Workshop: </w:t>
      </w:r>
      <w:r w:rsidDel="00000000" w:rsidR="00000000" w:rsidRPr="00000000">
        <w:rPr>
          <w:rtl w:val="0"/>
        </w:rPr>
        <w:t xml:space="preserve">A Playcentric Approach to Creating Innovative Games (3rd ed.). CRC Press.</w:t>
      </w:r>
    </w:p>
    <w:p w:rsidR="00000000" w:rsidDel="00000000" w:rsidP="00000000" w:rsidRDefault="00000000" w:rsidRPr="00000000" w14:paraId="0000005D">
      <w:pPr>
        <w:ind w:left="0" w:firstLine="0"/>
        <w:rPr/>
      </w:pPr>
      <w:hyperlink r:id="rId10">
        <w:r w:rsidDel="00000000" w:rsidR="00000000" w:rsidRPr="00000000">
          <w:rPr>
            <w:color w:val="1155cc"/>
            <w:u w:val="single"/>
            <w:rtl w:val="0"/>
          </w:rPr>
          <w:t xml:space="preserve">https://www.crcpress.com/Game-Design-Workshop-A-Playcentric-Approach-to-Creating-Innovative-Games/Fullerton/p/book/9781466577130</w:t>
        </w:r>
      </w:hyperlink>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b w:val="1"/>
          <w:bCs w:val="1"/>
          <w:rtl w:val="0"/>
        </w:rPr>
        <w:t xml:space="preserve">3.2) Rollings, A., &amp; Adams, E. (2003). </w:t>
      </w:r>
      <w:r w:rsidDel="00000000" w:rsidR="00000000" w:rsidRPr="00000000">
        <w:rPr>
          <w:rtl w:val="0"/>
        </w:rPr>
        <w:t xml:space="preserve">Andrew Rollings and Ernest Adams on Game Design. New Riders.</w:t>
      </w:r>
    </w:p>
    <w:p w:rsidR="00000000" w:rsidDel="00000000" w:rsidP="00000000" w:rsidRDefault="00000000" w:rsidRPr="00000000" w14:paraId="00000060">
      <w:pPr>
        <w:ind w:left="0" w:firstLine="0"/>
        <w:rPr/>
      </w:pPr>
      <w:hyperlink r:id="rId11">
        <w:r w:rsidDel="00000000" w:rsidR="00000000" w:rsidRPr="00000000">
          <w:rPr>
            <w:color w:val="1155cc"/>
            <w:u w:val="single"/>
            <w:rtl w:val="0"/>
          </w:rPr>
          <w:t xml:space="preserve">https://www.newriders.com/books/9780735713432</w:t>
        </w:r>
      </w:hyperlink>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b w:val="1"/>
          <w:bCs w:val="1"/>
          <w:rtl w:val="0"/>
        </w:rPr>
        <w:t xml:space="preserve">3.3) Hunicke, R., LeBlanc, M., &amp; Zubek, R. (2004).</w:t>
      </w:r>
      <w:r w:rsidDel="00000000" w:rsidR="00000000" w:rsidRPr="00000000">
        <w:rPr>
          <w:rtl w:val="0"/>
        </w:rPr>
        <w:t xml:space="preserve"> MDA: A Formal Approach to Game Design and Game Research. Proceedings of the Challenges in Games AI Workshop, Nineteenth National Conference on Artificial Intelligence</w:t>
      </w:r>
    </w:p>
    <w:p w:rsidR="00000000" w:rsidDel="00000000" w:rsidP="00000000" w:rsidRDefault="00000000" w:rsidRPr="00000000" w14:paraId="00000063">
      <w:pPr>
        <w:ind w:left="0" w:firstLine="0"/>
        <w:rPr/>
      </w:pPr>
      <w:hyperlink r:id="rId12">
        <w:r w:rsidDel="00000000" w:rsidR="00000000" w:rsidRPr="00000000">
          <w:rPr>
            <w:color w:val="1155cc"/>
            <w:u w:val="single"/>
            <w:rtl w:val="0"/>
          </w:rPr>
          <w:t xml:space="preserve">https://www.cs.northwestern.edu/~hunicke/MDA.pdf</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ewriders.com/books/9780735713432" TargetMode="External"/><Relationship Id="rId10" Type="http://schemas.openxmlformats.org/officeDocument/2006/relationships/hyperlink" Target="https://www.crcpress.com/Game-Design-Workshop-A-Playcentric-Approach-to-Creating-Innovative-Games/Fullerton/p/book/9781466577130" TargetMode="External"/><Relationship Id="rId12" Type="http://schemas.openxmlformats.org/officeDocument/2006/relationships/hyperlink" Target="https://www.cs.northwestern.edu/~hunicke/MDA.pdf" TargetMode="External"/><Relationship Id="rId9" Type="http://schemas.openxmlformats.org/officeDocument/2006/relationships/hyperlink" Target="https://ace.ewapub.com/article/view/23497" TargetMode="External"/><Relationship Id="rId5" Type="http://schemas.openxmlformats.org/officeDocument/2006/relationships/styles" Target="styles.xml"/><Relationship Id="rId6" Type="http://schemas.openxmlformats.org/officeDocument/2006/relationships/hyperlink" Target="https://dl.digra.org/index.php/dl/article/view/637" TargetMode="External"/><Relationship Id="rId7" Type="http://schemas.openxmlformats.org/officeDocument/2006/relationships/hyperlink" Target="https://polipietro.de/how-progression-systems-shape-engagement-in-games/" TargetMode="External"/><Relationship Id="rId8" Type="http://schemas.openxmlformats.org/officeDocument/2006/relationships/hyperlink" Target="https://iris.cnr.it/retrieve/531b61ca-df32-4217-8235-e007980dcd0b/Boardgame_fatigue_rev_convertedToPD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