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657"/>
        <w:gridCol w:w="1657"/>
        <w:gridCol w:w="1657"/>
        <w:gridCol w:w="1657"/>
      </w:tblGrid>
      <w:tr w:rsidR="00D60557" w:rsidRPr="00B76EBF" w14:paraId="7F21223F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A212" w14:textId="77777777" w:rsidR="00D60557" w:rsidRPr="008065B8" w:rsidRDefault="00D60557" w:rsidP="006F6E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44556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(VOLUME) </w:t>
            </w:r>
          </w:p>
        </w:tc>
        <w:tc>
          <w:tcPr>
            <w:tcW w:w="3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4C1F1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VAL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ue</w:t>
            </w:r>
            <w:proofErr w:type="spellEnd"/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D60557" w:rsidRPr="00B76EBF" w14:paraId="13BFCDBD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DA13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E93C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96F0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3DA5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AF37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</w:tr>
      <w:tr w:rsidR="00D60557" w:rsidRPr="00B76EBF" w14:paraId="3F9B61A3" w14:textId="77777777" w:rsidTr="00182900">
        <w:trPr>
          <w:trHeight w:val="43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8FC5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C56AE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60A16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D9C4C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1F331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100.0%</w:t>
            </w:r>
          </w:p>
        </w:tc>
      </w:tr>
      <w:tr w:rsidR="00D60557" w:rsidRPr="00B76EBF" w14:paraId="7758A0EA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84F4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25D36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51.7%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E888E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53.0%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9824E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55.4%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8D88E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57.6%</w:t>
            </w:r>
          </w:p>
        </w:tc>
      </w:tr>
      <w:tr w:rsidR="00D60557" w:rsidRPr="00B76EBF" w14:paraId="03205214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2F57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ED9AD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176BF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37.1%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5605E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36.3%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ECDF7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38.9%</w:t>
            </w:r>
          </w:p>
        </w:tc>
      </w:tr>
      <w:tr w:rsidR="00D60557" w:rsidRPr="00B76EBF" w14:paraId="340F4FD4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7879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F7E12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16.6%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44748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F5C09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19.0%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ABF08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12.0%</w:t>
            </w:r>
          </w:p>
        </w:tc>
      </w:tr>
      <w:tr w:rsidR="00D60557" w:rsidRPr="00B76EBF" w14:paraId="3DD63FF8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3B27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8176B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2BF3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5.6%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DFF71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0.0%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D56C2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6.7%</w:t>
            </w:r>
          </w:p>
        </w:tc>
      </w:tr>
      <w:tr w:rsidR="00D60557" w:rsidRPr="00B76EBF" w14:paraId="32A0E6CC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F1B9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61DE0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25.1%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4E1C8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16.1%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69377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23.2%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425F4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15.5%</w:t>
            </w:r>
          </w:p>
        </w:tc>
      </w:tr>
      <w:tr w:rsidR="00D60557" w:rsidRPr="00B76EBF" w14:paraId="04CD4466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DBFA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DE4AF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8.2%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ABF66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DA43D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9.4%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29F7D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13.0%</w:t>
            </w:r>
          </w:p>
        </w:tc>
      </w:tr>
      <w:tr w:rsidR="00D60557" w:rsidRPr="00B76EBF" w14:paraId="6C59BDA3" w14:textId="77777777" w:rsidTr="00182900">
        <w:trPr>
          <w:trHeight w:val="393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331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27A1A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15.0%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2EF1E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19.5%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C2A29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12.0%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A660C" w14:textId="77777777" w:rsidR="00D60557" w:rsidRPr="00182900" w:rsidRDefault="00D60557" w:rsidP="006F6EBC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82900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14.0%</w:t>
            </w:r>
          </w:p>
        </w:tc>
      </w:tr>
    </w:tbl>
    <w:p w14:paraId="1D0A5F23" w14:textId="49CD09E7" w:rsidR="00203B9B" w:rsidRDefault="00203B9B"/>
    <w:p w14:paraId="5A01CE24" w14:textId="124E1226" w:rsidR="00D60557" w:rsidRDefault="00D60557"/>
    <w:p w14:paraId="1F785014" w14:textId="77777777" w:rsidR="00D60557" w:rsidRPr="00B76EBF" w:rsidRDefault="00D60557" w:rsidP="00D60557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B76EBF">
        <w:rPr>
          <w:rFonts w:ascii="Arial" w:hAnsi="Arial" w:cs="Arial"/>
          <w:b/>
          <w:sz w:val="22"/>
          <w:szCs w:val="22"/>
        </w:rPr>
        <w:t>Annexe 1</w:t>
      </w:r>
    </w:p>
    <w:tbl>
      <w:tblPr>
        <w:tblW w:w="0" w:type="auto"/>
        <w:tblInd w:w="-4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678"/>
        <w:gridCol w:w="678"/>
        <w:gridCol w:w="955"/>
        <w:gridCol w:w="709"/>
        <w:gridCol w:w="851"/>
        <w:gridCol w:w="992"/>
        <w:gridCol w:w="567"/>
        <w:gridCol w:w="992"/>
        <w:gridCol w:w="1056"/>
      </w:tblGrid>
      <w:tr w:rsidR="00D60557" w:rsidRPr="00B76EBF" w14:paraId="47B9D92B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DB3E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PANEL DISTRIBUTEUR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BA69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FC4D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EB9E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E2FA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7976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D8F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31E7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6DE4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B126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0557" w:rsidRPr="00B76EBF" w14:paraId="5F74861A" w14:textId="77777777" w:rsidTr="006F6EBC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22B5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5CA9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SALES</w:t>
            </w: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VOL (M </w:t>
            </w:r>
            <w:proofErr w:type="spellStart"/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cups</w:t>
            </w:r>
            <w:proofErr w:type="spellEnd"/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903E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SALES </w:t>
            </w: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VAL (M €)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73FE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C30DA">
              <w:rPr>
                <w:rFonts w:ascii="Arial" w:hAnsi="Arial" w:cs="Arial"/>
                <w:b/>
                <w:bCs/>
                <w:sz w:val="22"/>
                <w:szCs w:val="22"/>
              </w:rPr>
              <w:t>AVERAGE NUMBER OF REFERENCES</w:t>
            </w:r>
          </w:p>
        </w:tc>
      </w:tr>
      <w:tr w:rsidR="00D60557" w:rsidRPr="00B76EBF" w14:paraId="25630541" w14:textId="77777777" w:rsidTr="006F6EBC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8172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AF67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FD13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A901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2CE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51B3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2A33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F20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EE59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7936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</w:tr>
      <w:tr w:rsidR="00D60557" w:rsidRPr="00B76EBF" w14:paraId="1716EDC0" w14:textId="77777777" w:rsidTr="006F6EBC">
        <w:trPr>
          <w:trHeight w:val="300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532C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A08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415.1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BB0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441.1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CBDEC5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6.3%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348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192.4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E8B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197.6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19209C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DC5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22.6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811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23.1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60F615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2.2%</w:t>
            </w:r>
          </w:p>
        </w:tc>
      </w:tr>
      <w:tr w:rsidR="00D60557" w:rsidRPr="00B76EBF" w14:paraId="052B4381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A4BB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8CC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214.6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596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233.7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933C8D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8.9%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D24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106.5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5A7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113.8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FD13FF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6.9%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3A72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12.2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1A3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12.4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F74213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1.6%</w:t>
            </w:r>
          </w:p>
        </w:tc>
      </w:tr>
      <w:tr w:rsidR="00D60557" w:rsidRPr="00B76EBF" w14:paraId="5EAF1C65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D64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A1A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145.5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E20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163.5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28CEB0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12.4%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462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69.8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50FB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76.8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80B9ACE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10.0%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A0B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31B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888444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-1.2%</w:t>
            </w:r>
          </w:p>
        </w:tc>
      </w:tr>
      <w:tr w:rsidR="00D60557" w:rsidRPr="00B76EBF" w14:paraId="342F81AC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4407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AB9E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69.1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959B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45.7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ABF208B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-33.9%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480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36.6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95C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8C6CD9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-35.1%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24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31E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121AE7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-28.3%</w:t>
            </w:r>
          </w:p>
        </w:tc>
      </w:tr>
      <w:tr w:rsidR="00D60557" w:rsidRPr="00B76EBF" w14:paraId="2CF2FADE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66FF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115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F69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24.5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47229E0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307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567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01AC191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AE7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0BEE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F236C00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</w:tr>
      <w:tr w:rsidR="00D60557" w:rsidRPr="00B76EBF" w14:paraId="03720E97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D957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850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104.0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D7C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71.1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CC3D2E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-31.6%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1FE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44.7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A88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5E43F6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-31.6%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B65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634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3F75B3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-10.3%</w:t>
            </w:r>
          </w:p>
        </w:tc>
      </w:tr>
      <w:tr w:rsidR="00D60557" w:rsidRPr="00B76EBF" w14:paraId="4DA0E71E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7BA4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12AE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34.2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575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50.2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36B161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46.8%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A75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18.1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311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25.6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D5ADE3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41.2%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2A9E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B72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D3F3A0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28.6%</w:t>
            </w:r>
          </w:p>
        </w:tc>
      </w:tr>
      <w:tr w:rsidR="00D60557" w:rsidRPr="00B76EBF" w14:paraId="72B95A2C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50ED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649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62.3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120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86.1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C6359FB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38.2%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B7F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23.1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768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27.6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28F510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19.5%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B11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5.2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A67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D1ED40B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44.2%</w:t>
            </w:r>
          </w:p>
        </w:tc>
      </w:tr>
    </w:tbl>
    <w:p w14:paraId="581AF1D4" w14:textId="4BC54252" w:rsidR="00D60557" w:rsidRDefault="00D60557"/>
    <w:p w14:paraId="698E12D6" w14:textId="0A758DC9" w:rsidR="00D60557" w:rsidRDefault="00D60557"/>
    <w:tbl>
      <w:tblPr>
        <w:tblW w:w="0" w:type="auto"/>
        <w:tblInd w:w="-4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678"/>
        <w:gridCol w:w="678"/>
        <w:gridCol w:w="955"/>
        <w:gridCol w:w="709"/>
        <w:gridCol w:w="851"/>
        <w:gridCol w:w="992"/>
      </w:tblGrid>
      <w:tr w:rsidR="00D60557" w:rsidRPr="00B76EBF" w14:paraId="372F62F7" w14:textId="77777777" w:rsidTr="006F6EBC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EAA2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EF37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DN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EAD3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DV</w:t>
            </w:r>
          </w:p>
        </w:tc>
      </w:tr>
      <w:tr w:rsidR="00D60557" w:rsidRPr="00B76EBF" w14:paraId="281D4126" w14:textId="77777777" w:rsidTr="006F6EBC">
        <w:trPr>
          <w:trHeight w:val="270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6E0E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DE22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B064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D7B4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D308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AE0D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01E3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</w:tr>
      <w:tr w:rsidR="00D60557" w:rsidRPr="00B76EBF" w14:paraId="522F34E9" w14:textId="77777777" w:rsidTr="006F6EBC">
        <w:trPr>
          <w:trHeight w:val="300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6ED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MARCHE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6F696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EC3F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8CFBA2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586F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89EC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BB036B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</w:tr>
      <w:tr w:rsidR="00D60557" w:rsidRPr="00B76EBF" w14:paraId="0BCF2748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BE36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7093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9568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4B940D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8B8F2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BCAA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3FAE926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</w:tr>
      <w:tr w:rsidR="00D60557" w:rsidRPr="00B76EBF" w14:paraId="2B645F78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ABC8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4DB1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5ED7B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3A43F4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C7E7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C050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ACAA68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</w:tr>
      <w:tr w:rsidR="00D60557" w:rsidRPr="00B76EBF" w14:paraId="20D29D0A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35D1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067B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8D58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E74F01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1.1%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B7DD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798F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F0513BB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1.1%</w:t>
            </w:r>
          </w:p>
        </w:tc>
      </w:tr>
      <w:tr w:rsidR="00D60557" w:rsidRPr="00B76EBF" w14:paraId="03A7B0EE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53A3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8673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D4C8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A2DA7E5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EAF4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7A57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1C2A7AE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</w:tr>
      <w:tr w:rsidR="00D60557" w:rsidRPr="00B76EBF" w14:paraId="2ABB617B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5175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0DBC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C5F2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30BFAD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-11.8%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209F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5A4C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26FEBF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-25.3%</w:t>
            </w:r>
          </w:p>
        </w:tc>
      </w:tr>
      <w:tr w:rsidR="00D60557" w:rsidRPr="00B76EBF" w14:paraId="619F964C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78DB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46D3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DE69A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68774D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4.2%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977A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8F1F1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CA7EF9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12.2%</w:t>
            </w:r>
          </w:p>
        </w:tc>
      </w:tr>
      <w:tr w:rsidR="00D60557" w:rsidRPr="00B76EBF" w14:paraId="0BED7AD7" w14:textId="77777777" w:rsidTr="006F6EBC">
        <w:trPr>
          <w:trHeight w:val="300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DA05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9C7AE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E649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1B48FA6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7BB0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DFE3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19D55B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0.0%</w:t>
            </w:r>
          </w:p>
        </w:tc>
      </w:tr>
    </w:tbl>
    <w:p w14:paraId="5ACD1D07" w14:textId="3580FEB2" w:rsidR="00D60557" w:rsidRDefault="00D60557"/>
    <w:p w14:paraId="30B7C34A" w14:textId="14CBB272" w:rsidR="00D60557" w:rsidRDefault="00D60557"/>
    <w:tbl>
      <w:tblPr>
        <w:tblW w:w="9072" w:type="dxa"/>
        <w:tblInd w:w="-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713"/>
        <w:gridCol w:w="962"/>
        <w:gridCol w:w="1281"/>
        <w:gridCol w:w="1181"/>
        <w:gridCol w:w="1181"/>
        <w:gridCol w:w="1528"/>
      </w:tblGrid>
      <w:tr w:rsidR="00D60557" w:rsidRPr="00B76EBF" w14:paraId="41F98930" w14:textId="77777777" w:rsidTr="006F6EBC">
        <w:trPr>
          <w:trHeight w:val="300"/>
        </w:trPr>
        <w:tc>
          <w:tcPr>
            <w:tcW w:w="2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792D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PANEL CONSOMMATEUR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B0A1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DEF0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7DD9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AD72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D06C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0557" w:rsidRPr="00B76EBF" w14:paraId="605E91FB" w14:textId="77777777" w:rsidTr="006F6EBC">
        <w:trPr>
          <w:trHeight w:val="27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DAFE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2F9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NA/100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A5FB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QA/NA</w:t>
            </w:r>
          </w:p>
        </w:tc>
      </w:tr>
      <w:tr w:rsidR="00D60557" w:rsidRPr="00B76EBF" w14:paraId="2B8B9BE8" w14:textId="77777777" w:rsidTr="006F6EBC">
        <w:trPr>
          <w:trHeight w:val="27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3781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2A3B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CF29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146F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DD8A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AA3C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94FE" w14:textId="77777777" w:rsidR="00D60557" w:rsidRPr="00B76EBF" w:rsidRDefault="00D60557" w:rsidP="006F6EB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B76EBF">
              <w:rPr>
                <w:rFonts w:ascii="Arial" w:hAnsi="Arial" w:cs="Arial"/>
                <w:i/>
                <w:iCs/>
                <w:sz w:val="22"/>
                <w:szCs w:val="22"/>
              </w:rPr>
              <w:t>evol</w:t>
            </w:r>
            <w:proofErr w:type="spellEnd"/>
            <w:proofErr w:type="gramEnd"/>
          </w:p>
        </w:tc>
      </w:tr>
      <w:tr w:rsidR="00D60557" w:rsidRPr="00B76EBF" w14:paraId="1D537329" w14:textId="77777777" w:rsidTr="006F6EBC">
        <w:trPr>
          <w:trHeight w:val="300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DFA3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MARCHE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2736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42.6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28E6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46.4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FDEB0C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8.9%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CF7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37.4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9D7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sz w:val="22"/>
                <w:szCs w:val="22"/>
              </w:rPr>
              <w:t>36.6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E0B94A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-2.2%</w:t>
            </w:r>
          </w:p>
        </w:tc>
      </w:tr>
      <w:tr w:rsidR="00D60557" w:rsidRPr="00B76EBF" w14:paraId="4CE74D84" w14:textId="77777777" w:rsidTr="006F6EBC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BC4B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FRUITA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5F4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31.5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7B43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32.3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E597EB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2.5%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60B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26.2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25D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27.9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B71842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6.5%</w:t>
            </w:r>
          </w:p>
        </w:tc>
      </w:tr>
      <w:tr w:rsidR="00D60557" w:rsidRPr="00B76EBF" w14:paraId="67C6528D" w14:textId="77777777" w:rsidTr="006F6EBC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A548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Classiques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9D4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18.6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DDF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20.5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114B5F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10.2%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231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30.1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EDD6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30.7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7043732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2.0%</w:t>
            </w:r>
          </w:p>
        </w:tc>
      </w:tr>
      <w:tr w:rsidR="00D60557" w:rsidRPr="00B76EBF" w14:paraId="6FF96D6A" w14:textId="77777777" w:rsidTr="006F6EBC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DFD0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Gourmandes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FA5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14.2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C16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57E6D4C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-7.0%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F77F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18.7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726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7F43DF2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-28.8%</w:t>
            </w:r>
          </w:p>
        </w:tc>
      </w:tr>
      <w:tr w:rsidR="00D60557" w:rsidRPr="00B76EBF" w14:paraId="06FFB890" w14:textId="77777777" w:rsidTr="006F6EBC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6921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 xml:space="preserve">  Saveurs d'Ailleurs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E6F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57C2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8.0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74B38DC2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34F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2B12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11.8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4ECC199F" w14:textId="77777777" w:rsidR="00D60557" w:rsidRPr="00B76EBF" w:rsidRDefault="00D60557" w:rsidP="006F6EBC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</w:tr>
      <w:tr w:rsidR="00D60557" w:rsidRPr="00B76EBF" w14:paraId="2DFFCE5E" w14:textId="77777777" w:rsidTr="006F6EBC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30F3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COMPOTELLE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9C7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13.8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5D70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9.5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567D68F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-31.2%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301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29.0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49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28.8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6C4265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-0.7%</w:t>
            </w:r>
          </w:p>
        </w:tc>
      </w:tr>
      <w:tr w:rsidR="00D60557" w:rsidRPr="00B76EBF" w14:paraId="5448EAF4" w14:textId="77777777" w:rsidTr="006F6EBC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C22A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STYLEA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B32E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4.4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B11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7.2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43DC734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63.6%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D56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29.9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B801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26.8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04EA627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-10.4%</w:t>
            </w:r>
          </w:p>
        </w:tc>
      </w:tr>
      <w:tr w:rsidR="00D60557" w:rsidRPr="00B76EBF" w14:paraId="0F47D8E7" w14:textId="77777777" w:rsidTr="006F6EBC">
        <w:trPr>
          <w:trHeight w:val="30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62BE" w14:textId="77777777" w:rsidR="00D60557" w:rsidRPr="00B76EBF" w:rsidRDefault="00D60557" w:rsidP="006F6EBC">
            <w:pPr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MDD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CD2A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7.7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C2A9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9.8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39A1B7A5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27.3%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FE4D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31.1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7CC8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6EBF">
              <w:rPr>
                <w:rFonts w:ascii="Arial" w:hAnsi="Arial" w:cs="Arial"/>
                <w:sz w:val="22"/>
                <w:szCs w:val="22"/>
              </w:rPr>
              <w:t>33.8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1645CFF6" w14:textId="77777777" w:rsidR="00D60557" w:rsidRPr="00B76EBF" w:rsidRDefault="00D60557" w:rsidP="006F6EBC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76EBF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8.6%</w:t>
            </w:r>
          </w:p>
        </w:tc>
      </w:tr>
    </w:tbl>
    <w:p w14:paraId="65897A9B" w14:textId="36078B88" w:rsidR="00D60557" w:rsidRDefault="00D60557"/>
    <w:p w14:paraId="138D8191" w14:textId="77777777" w:rsidR="00D60557" w:rsidRPr="008878A6" w:rsidRDefault="00D60557" w:rsidP="00D6055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8878A6">
        <w:rPr>
          <w:rFonts w:ascii="Arial" w:hAnsi="Arial" w:cs="Arial"/>
          <w:b/>
          <w:bCs/>
          <w:sz w:val="22"/>
          <w:szCs w:val="22"/>
          <w:lang w:val="en-GB"/>
        </w:rPr>
        <w:t>Analysis:</w:t>
      </w:r>
    </w:p>
    <w:p w14:paraId="36B05964" w14:textId="77777777" w:rsidR="00D60557" w:rsidRPr="003E44B2" w:rsidRDefault="00D60557" w:rsidP="00D60557">
      <w:pPr>
        <w:rPr>
          <w:rFonts w:ascii="Arial" w:hAnsi="Arial" w:cs="Arial"/>
          <w:sz w:val="22"/>
          <w:szCs w:val="22"/>
          <w:lang w:val="en-GB"/>
        </w:rPr>
      </w:pPr>
    </w:p>
    <w:p w14:paraId="77B49EEB" w14:textId="67418A64" w:rsidR="00D60557" w:rsidRPr="00D60557" w:rsidRDefault="00D60557" w:rsidP="00D6055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D60557">
        <w:rPr>
          <w:rFonts w:ascii="Arial" w:hAnsi="Arial" w:cs="Arial"/>
          <w:sz w:val="22"/>
          <w:szCs w:val="22"/>
          <w:lang w:val="en-GB"/>
        </w:rPr>
        <w:t xml:space="preserve">We can clearly see that </w:t>
      </w:r>
      <w:r w:rsidRPr="00D60557">
        <w:rPr>
          <w:rFonts w:ascii="Arial" w:hAnsi="Arial" w:cs="Arial"/>
          <w:b/>
          <w:bCs/>
          <w:sz w:val="22"/>
          <w:szCs w:val="22"/>
          <w:lang w:val="en-GB"/>
        </w:rPr>
        <w:t>both the volum</w:t>
      </w:r>
      <w:r w:rsidRPr="00D60557">
        <w:rPr>
          <w:rFonts w:ascii="Arial" w:hAnsi="Arial" w:cs="Arial" w:hint="eastAsia"/>
          <w:b/>
          <w:bCs/>
          <w:sz w:val="22"/>
          <w:szCs w:val="22"/>
          <w:lang w:val="en-GB" w:eastAsia="zh-CN"/>
        </w:rPr>
        <w:t>e</w:t>
      </w:r>
      <w:r w:rsidRPr="00D60557">
        <w:rPr>
          <w:rFonts w:ascii="Arial" w:hAnsi="Arial" w:cs="Arial"/>
          <w:b/>
          <w:bCs/>
          <w:sz w:val="22"/>
          <w:szCs w:val="22"/>
          <w:lang w:val="en-GB"/>
        </w:rPr>
        <w:t xml:space="preserve"> and value</w:t>
      </w:r>
      <w:r w:rsidRPr="00D60557">
        <w:rPr>
          <w:rFonts w:ascii="Arial" w:hAnsi="Arial" w:cs="Arial"/>
          <w:sz w:val="22"/>
          <w:szCs w:val="22"/>
          <w:lang w:val="en-GB"/>
        </w:rPr>
        <w:t xml:space="preserve"> of the market are </w:t>
      </w:r>
      <w:r w:rsidRPr="00D60557">
        <w:rPr>
          <w:rFonts w:ascii="Arial" w:hAnsi="Arial" w:cs="Arial"/>
          <w:b/>
          <w:bCs/>
          <w:sz w:val="22"/>
          <w:szCs w:val="22"/>
          <w:lang w:val="en-GB"/>
        </w:rPr>
        <w:t>increased</w:t>
      </w:r>
      <w:r w:rsidRPr="00D60557">
        <w:rPr>
          <w:rFonts w:ascii="Arial" w:hAnsi="Arial" w:cs="Arial"/>
          <w:sz w:val="22"/>
          <w:szCs w:val="22"/>
          <w:lang w:val="en-GB"/>
        </w:rPr>
        <w:t xml:space="preserve"> from the year </w:t>
      </w:r>
      <w:r w:rsidRPr="00D60557">
        <w:rPr>
          <w:rFonts w:ascii="Arial" w:hAnsi="Arial" w:cs="Arial"/>
          <w:b/>
          <w:bCs/>
          <w:sz w:val="22"/>
          <w:szCs w:val="22"/>
          <w:lang w:val="en-GB"/>
        </w:rPr>
        <w:t>2020 to 2021</w:t>
      </w:r>
      <w:r w:rsidRPr="00D60557">
        <w:rPr>
          <w:rFonts w:ascii="Arial" w:hAnsi="Arial" w:cs="Arial"/>
          <w:sz w:val="22"/>
          <w:szCs w:val="22"/>
          <w:lang w:val="en-GB"/>
        </w:rPr>
        <w:t xml:space="preserve">. With the increase of </w:t>
      </w:r>
      <w:r w:rsidRPr="00D60557">
        <w:rPr>
          <w:rFonts w:ascii="Arial" w:hAnsi="Arial" w:cs="Arial"/>
          <w:b/>
          <w:bCs/>
          <w:sz w:val="22"/>
          <w:szCs w:val="22"/>
          <w:lang w:val="en-GB"/>
        </w:rPr>
        <w:t>6.3%</w:t>
      </w:r>
      <w:r w:rsidRPr="00D60557">
        <w:rPr>
          <w:rFonts w:ascii="Arial" w:hAnsi="Arial" w:cs="Arial"/>
          <w:sz w:val="22"/>
          <w:szCs w:val="22"/>
          <w:lang w:val="en-GB"/>
        </w:rPr>
        <w:t xml:space="preserve"> and </w:t>
      </w:r>
      <w:r w:rsidRPr="00D60557">
        <w:rPr>
          <w:rFonts w:ascii="Arial" w:hAnsi="Arial" w:cs="Arial"/>
          <w:b/>
          <w:bCs/>
          <w:sz w:val="22"/>
          <w:szCs w:val="22"/>
          <w:lang w:val="en-GB"/>
        </w:rPr>
        <w:t>2.7%</w:t>
      </w:r>
      <w:r w:rsidRPr="00D60557">
        <w:rPr>
          <w:rFonts w:ascii="Arial" w:hAnsi="Arial" w:cs="Arial"/>
          <w:sz w:val="22"/>
          <w:szCs w:val="22"/>
          <w:lang w:val="en-GB"/>
        </w:rPr>
        <w:t xml:space="preserve"> respectively.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</w:r>
      <w:r w:rsidRPr="00D60557">
        <w:rPr>
          <w:rFonts w:ascii="Arial" w:hAnsi="Arial" w:cs="Arial" w:hint="eastAsia"/>
          <w:b/>
          <w:bCs/>
          <w:sz w:val="22"/>
          <w:szCs w:val="22"/>
          <w:lang w:val="en-GB" w:eastAsia="zh-CN"/>
        </w:rPr>
        <w:t>For</w:t>
      </w:r>
      <w:r w:rsidRPr="00D60557">
        <w:rPr>
          <w:rFonts w:ascii="Arial" w:hAnsi="Arial" w:cs="Arial"/>
          <w:b/>
          <w:bCs/>
          <w:sz w:val="22"/>
          <w:szCs w:val="22"/>
          <w:lang w:val="en-GB" w:eastAsia="zh-CN"/>
        </w:rPr>
        <w:t xml:space="preserve">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companies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,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except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Competelle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, the other companies presented an augmentation for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both MS volume and MS value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. To be more specific,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Stylea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and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MDD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increased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the most</w:t>
      </w:r>
      <w:r w:rsidRPr="00D60557">
        <w:rPr>
          <w:rFonts w:ascii="Arial" w:hAnsi="Arial" w:cs="Arial"/>
          <w:sz w:val="22"/>
          <w:szCs w:val="22"/>
          <w:lang w:val="en-US" w:eastAsia="zh-CN"/>
        </w:rPr>
        <w:t>.</w:t>
      </w:r>
      <w:r>
        <w:rPr>
          <w:rFonts w:ascii="Arial" w:hAnsi="Arial" w:cs="Arial"/>
          <w:sz w:val="22"/>
          <w:szCs w:val="22"/>
          <w:lang w:val="en-US" w:eastAsia="zh-CN"/>
        </w:rPr>
        <w:br/>
      </w:r>
    </w:p>
    <w:p w14:paraId="38C3AC67" w14:textId="0F58DE54" w:rsidR="00D60557" w:rsidRPr="00D60557" w:rsidRDefault="00D60557" w:rsidP="00D6055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GB"/>
        </w:rPr>
      </w:pP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For products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, it is easy to discover that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Gourmandes’s</w:t>
      </w:r>
      <w:proofErr w:type="spellEnd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 MS decreased significantly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. (from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16.6%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to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10.4%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and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19%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to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12%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respectively) while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Saveurs</w:t>
      </w:r>
      <w:proofErr w:type="spellEnd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d’Ailleurs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rose from 0 to some certain numbers of MS.</w:t>
      </w:r>
      <w:r>
        <w:rPr>
          <w:rFonts w:ascii="Arial" w:hAnsi="Arial" w:cs="Arial"/>
          <w:sz w:val="22"/>
          <w:szCs w:val="22"/>
          <w:lang w:val="en-US" w:eastAsia="zh-CN"/>
        </w:rPr>
        <w:br/>
      </w:r>
      <w:r>
        <w:rPr>
          <w:rFonts w:ascii="Arial" w:hAnsi="Arial" w:cs="Arial"/>
          <w:sz w:val="22"/>
          <w:szCs w:val="22"/>
          <w:lang w:val="en-US" w:eastAsia="zh-CN"/>
        </w:rPr>
        <w:br/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A</w:t>
      </w:r>
      <w:r>
        <w:rPr>
          <w:rFonts w:ascii="Arial" w:hAnsi="Arial" w:cs="Arial"/>
          <w:b/>
          <w:bCs/>
          <w:sz w:val="22"/>
          <w:szCs w:val="22"/>
          <w:lang w:val="en-US" w:eastAsia="zh-CN"/>
        </w:rPr>
        <w:t>t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the side of consumers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, the quantity </w:t>
      </w:r>
      <w:proofErr w:type="gramStart"/>
      <w:r w:rsidRPr="00D60557">
        <w:rPr>
          <w:rFonts w:ascii="Arial" w:hAnsi="Arial" w:cs="Arial"/>
          <w:sz w:val="22"/>
          <w:szCs w:val="22"/>
          <w:lang w:val="en-US" w:eastAsia="zh-CN"/>
        </w:rPr>
        <w:t>purchased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(</w:t>
      </w:r>
      <w:proofErr w:type="gramEnd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NA)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for product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Gourmandes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decreased slightly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while its number of customers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(QA)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decreased significantly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from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18.7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to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13.3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(about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28.8%</w:t>
      </w:r>
      <w:r w:rsidRPr="00D60557">
        <w:rPr>
          <w:rFonts w:ascii="Arial" w:hAnsi="Arial" w:cs="Arial"/>
          <w:sz w:val="22"/>
          <w:szCs w:val="22"/>
          <w:lang w:val="en-US" w:eastAsia="zh-CN"/>
        </w:rPr>
        <w:t>)</w:t>
      </w:r>
    </w:p>
    <w:p w14:paraId="00D47D8B" w14:textId="2143273E" w:rsidR="00D60557" w:rsidRDefault="00D60557" w:rsidP="00D60557">
      <w:pPr>
        <w:rPr>
          <w:rFonts w:ascii="Arial" w:hAnsi="Arial" w:cs="Arial"/>
          <w:sz w:val="22"/>
          <w:szCs w:val="22"/>
          <w:lang w:val="en-US" w:eastAsia="zh-CN"/>
        </w:rPr>
      </w:pPr>
    </w:p>
    <w:p w14:paraId="72E0F10B" w14:textId="77777777" w:rsidR="00D60557" w:rsidRPr="008878A6" w:rsidRDefault="00D60557" w:rsidP="00D60557">
      <w:pPr>
        <w:rPr>
          <w:rFonts w:ascii="Arial" w:hAnsi="Arial" w:cs="Arial"/>
          <w:b/>
          <w:bCs/>
          <w:sz w:val="22"/>
          <w:szCs w:val="22"/>
          <w:lang w:val="en-US" w:eastAsia="zh-CN"/>
        </w:rPr>
      </w:pPr>
      <w:r w:rsidRPr="008878A6">
        <w:rPr>
          <w:rFonts w:ascii="Arial" w:hAnsi="Arial" w:cs="Arial"/>
          <w:b/>
          <w:bCs/>
          <w:sz w:val="22"/>
          <w:szCs w:val="22"/>
          <w:lang w:val="en-US" w:eastAsia="zh-CN"/>
        </w:rPr>
        <w:t>Suggestions:</w:t>
      </w:r>
    </w:p>
    <w:p w14:paraId="2F670AE2" w14:textId="4928DB7C" w:rsidR="00D60557" w:rsidRPr="00D60557" w:rsidRDefault="00D60557" w:rsidP="00D6055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 w:eastAsia="zh-CN"/>
        </w:rPr>
      </w:pP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It seems that customers no longer that like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Gourmandes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maybe because less people love </w:t>
      </w:r>
      <w:r w:rsidRPr="00D60557">
        <w:rPr>
          <w:rFonts w:ascii="Arial" w:hAnsi="Arial" w:cs="Arial" w:hint="eastAsia"/>
          <w:sz w:val="22"/>
          <w:szCs w:val="22"/>
          <w:lang w:val="en-US" w:eastAsia="zh-CN"/>
        </w:rPr>
        <w:t>mel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ted fruit. It is suggested to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reduce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the amount of production of this product.</w:t>
      </w:r>
      <w:r>
        <w:rPr>
          <w:rFonts w:ascii="Arial" w:hAnsi="Arial" w:cs="Arial"/>
          <w:sz w:val="22"/>
          <w:szCs w:val="22"/>
          <w:lang w:val="en-US" w:eastAsia="zh-CN"/>
        </w:rPr>
        <w:br/>
      </w:r>
      <w:r>
        <w:rPr>
          <w:rFonts w:ascii="Arial" w:hAnsi="Arial" w:cs="Arial"/>
          <w:sz w:val="22"/>
          <w:szCs w:val="22"/>
          <w:lang w:val="en-US" w:eastAsia="zh-CN"/>
        </w:rPr>
        <w:br/>
      </w:r>
      <w:r w:rsidRPr="00D60557">
        <w:rPr>
          <w:rFonts w:ascii="Arial" w:hAnsi="Arial" w:cs="Arial"/>
          <w:sz w:val="22"/>
          <w:szCs w:val="22"/>
          <w:lang w:val="en-US" w:eastAsia="zh-CN"/>
        </w:rPr>
        <w:t>In the same time, the new product (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Saveurs</w:t>
      </w:r>
      <w:proofErr w:type="spellEnd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d’Ailleurs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>) seems to attract customers to some extent</w:t>
      </w:r>
      <w:r w:rsidRPr="00D60557">
        <w:rPr>
          <w:rFonts w:ascii="Arial" w:hAnsi="Arial" w:cs="Arial" w:hint="eastAsia"/>
          <w:sz w:val="22"/>
          <w:szCs w:val="22"/>
          <w:lang w:val="en-US" w:eastAsia="zh-CN"/>
        </w:rPr>
        <w:t>s</w:t>
      </w:r>
      <w:r w:rsidRPr="00D60557">
        <w:rPr>
          <w:rFonts w:ascii="Arial" w:hAnsi="Arial" w:cs="Arial"/>
          <w:sz w:val="22"/>
          <w:szCs w:val="22"/>
          <w:lang w:val="en-US" w:eastAsia="zh-CN"/>
        </w:rPr>
        <w:t>. We should keep this trend and put more efforts in producing this new product.</w:t>
      </w:r>
    </w:p>
    <w:p w14:paraId="1F19549F" w14:textId="77777777" w:rsidR="00D60557" w:rsidRDefault="00D60557" w:rsidP="00D60557">
      <w:pPr>
        <w:rPr>
          <w:rFonts w:ascii="Arial" w:hAnsi="Arial" w:cs="Arial"/>
          <w:sz w:val="22"/>
          <w:szCs w:val="22"/>
          <w:lang w:val="en-US" w:eastAsia="zh-CN"/>
        </w:rPr>
      </w:pPr>
    </w:p>
    <w:p w14:paraId="29D02D68" w14:textId="3034CC43" w:rsidR="00D60557" w:rsidRPr="00D60557" w:rsidRDefault="00D60557" w:rsidP="00D6055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 w:eastAsia="zh-CN"/>
        </w:rPr>
      </w:pP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By analyzing the last table which shows us the number of buyers on the one hand and the ratio between the quantity purchased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(NA) 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and the number of buyers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(QA/NA)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, we can see that unlike all the other brands, the number of buyers of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"Les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gourmandes</w:t>
      </w:r>
      <w:proofErr w:type="spellEnd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" has decreased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. And the same is true for the AQ/NA ratio. In order to improve "Les </w:t>
      </w:r>
      <w:proofErr w:type="spellStart"/>
      <w:r w:rsidRPr="00D60557">
        <w:rPr>
          <w:rFonts w:ascii="Arial" w:hAnsi="Arial" w:cs="Arial"/>
          <w:sz w:val="22"/>
          <w:szCs w:val="22"/>
          <w:lang w:val="en-US" w:eastAsia="zh-CN"/>
        </w:rPr>
        <w:t>Gourmandes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", I recommend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an increase in distribution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to offer the product to more people, since the brand is not the most distributed at the moment.</w:t>
      </w:r>
    </w:p>
    <w:p w14:paraId="326AB9DC" w14:textId="77777777" w:rsidR="00D60557" w:rsidRDefault="00D60557" w:rsidP="00D60557">
      <w:pPr>
        <w:rPr>
          <w:rFonts w:ascii="Arial" w:hAnsi="Arial" w:cs="Arial"/>
          <w:sz w:val="22"/>
          <w:szCs w:val="22"/>
          <w:lang w:val="en-US" w:eastAsia="zh-CN"/>
        </w:rPr>
      </w:pPr>
    </w:p>
    <w:p w14:paraId="436906E9" w14:textId="5B710BF5" w:rsidR="00D60557" w:rsidRPr="00D60557" w:rsidRDefault="00D60557" w:rsidP="00D60557">
      <w:pPr>
        <w:pStyle w:val="ListParagraph"/>
        <w:numPr>
          <w:ilvl w:val="0"/>
          <w:numId w:val="2"/>
        </w:numPr>
        <w:rPr>
          <w:rFonts w:ascii="Arial" w:hAnsi="Arial" w:cs="Arial" w:hint="eastAsia"/>
          <w:sz w:val="22"/>
          <w:szCs w:val="22"/>
          <w:lang w:val="en-US" w:eastAsia="zh-CN"/>
        </w:rPr>
      </w:pP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For our competitors, first it is happy to see that Le </w:t>
      </w:r>
      <w:proofErr w:type="spellStart"/>
      <w:r w:rsidRPr="00D60557">
        <w:rPr>
          <w:rFonts w:ascii="Arial" w:hAnsi="Arial" w:cs="Arial"/>
          <w:sz w:val="22"/>
          <w:szCs w:val="22"/>
          <w:lang w:val="en-US" w:eastAsia="zh-CN"/>
        </w:rPr>
        <w:t>Compotelle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loss several points of market share, so we can say that our product </w:t>
      </w:r>
      <w:proofErr w:type="spellStart"/>
      <w:r w:rsidRPr="00D60557">
        <w:rPr>
          <w:rFonts w:ascii="Arial" w:hAnsi="Arial" w:cs="Arial"/>
          <w:sz w:val="22"/>
          <w:szCs w:val="22"/>
          <w:lang w:val="en-US" w:eastAsia="zh-CN"/>
        </w:rPr>
        <w:t>Classiques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did better job than the competitor does. However,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 xml:space="preserve">Le </w:t>
      </w:r>
      <w:proofErr w:type="spellStart"/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stylea</w:t>
      </w:r>
      <w:proofErr w:type="spellEnd"/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and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Le MDD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seem to gain a large growth of market share, it reveals a trend that </w:t>
      </w:r>
      <w:r w:rsidRPr="00D60557">
        <w:rPr>
          <w:rFonts w:ascii="Arial" w:hAnsi="Arial" w:cs="Arial"/>
          <w:b/>
          <w:bCs/>
          <w:sz w:val="22"/>
          <w:szCs w:val="22"/>
          <w:lang w:val="en-US" w:eastAsia="zh-CN"/>
        </w:rPr>
        <w:t>more customers are likely to eat fruit compotes with no extra sugar</w:t>
      </w:r>
      <w:r w:rsidRPr="00D60557">
        <w:rPr>
          <w:rFonts w:ascii="Arial" w:hAnsi="Arial" w:cs="Arial"/>
          <w:sz w:val="22"/>
          <w:szCs w:val="22"/>
          <w:lang w:val="en-US" w:eastAsia="zh-CN"/>
        </w:rPr>
        <w:t xml:space="preserve"> and we should study what specific ingredients some MDDs used in their </w:t>
      </w:r>
      <w:proofErr w:type="gramStart"/>
      <w:r w:rsidRPr="00D60557">
        <w:rPr>
          <w:rFonts w:ascii="Arial" w:hAnsi="Arial" w:cs="Arial"/>
          <w:sz w:val="22"/>
          <w:szCs w:val="22"/>
          <w:lang w:val="en-US" w:eastAsia="zh-CN"/>
        </w:rPr>
        <w:t>product(</w:t>
      </w:r>
      <w:proofErr w:type="gramEnd"/>
      <w:r w:rsidRPr="00D60557">
        <w:rPr>
          <w:rFonts w:ascii="Arial" w:hAnsi="Arial" w:cs="Arial"/>
          <w:sz w:val="22"/>
          <w:szCs w:val="22"/>
          <w:lang w:val="en-US" w:eastAsia="zh-CN"/>
        </w:rPr>
        <w:t>what makes them successful).</w:t>
      </w:r>
    </w:p>
    <w:p w14:paraId="5A80A02B" w14:textId="77777777" w:rsidR="00D60557" w:rsidRPr="00D60557" w:rsidRDefault="00D60557">
      <w:pPr>
        <w:rPr>
          <w:lang w:val="en-GB"/>
        </w:rPr>
      </w:pPr>
    </w:p>
    <w:sectPr w:rsidR="00D60557" w:rsidRPr="00D6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40D"/>
    <w:multiLevelType w:val="hybridMultilevel"/>
    <w:tmpl w:val="1B607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D37EB"/>
    <w:multiLevelType w:val="hybridMultilevel"/>
    <w:tmpl w:val="E5F45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ED"/>
    <w:rsid w:val="00047910"/>
    <w:rsid w:val="0006676B"/>
    <w:rsid w:val="001443ED"/>
    <w:rsid w:val="00182900"/>
    <w:rsid w:val="001A21B7"/>
    <w:rsid w:val="00203B9B"/>
    <w:rsid w:val="002F5215"/>
    <w:rsid w:val="00342EA3"/>
    <w:rsid w:val="00591EC4"/>
    <w:rsid w:val="005C4AAA"/>
    <w:rsid w:val="006545CC"/>
    <w:rsid w:val="006866BD"/>
    <w:rsid w:val="006A04E3"/>
    <w:rsid w:val="006E08E4"/>
    <w:rsid w:val="00707F17"/>
    <w:rsid w:val="007E4B50"/>
    <w:rsid w:val="008E3C7A"/>
    <w:rsid w:val="008F0ABB"/>
    <w:rsid w:val="00960900"/>
    <w:rsid w:val="00A36E73"/>
    <w:rsid w:val="00A415FE"/>
    <w:rsid w:val="00A63412"/>
    <w:rsid w:val="00AB0974"/>
    <w:rsid w:val="00B830C8"/>
    <w:rsid w:val="00CC0AC4"/>
    <w:rsid w:val="00D60557"/>
    <w:rsid w:val="00D73CB4"/>
    <w:rsid w:val="00D7517C"/>
    <w:rsid w:val="00DC3265"/>
    <w:rsid w:val="00E96137"/>
    <w:rsid w:val="00ED56AB"/>
    <w:rsid w:val="00F134B9"/>
    <w:rsid w:val="00F25AAA"/>
    <w:rsid w:val="00F6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7C888"/>
  <w15:chartTrackingRefBased/>
  <w15:docId w15:val="{148F1AF7-17BB-9E4A-96D8-9E45934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57"/>
    <w:rPr>
      <w:rFonts w:ascii="Times New Roman" w:eastAsia="SimSu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Malfoy</dc:creator>
  <cp:keywords/>
  <dc:description/>
  <cp:lastModifiedBy>Skye Malfoy</cp:lastModifiedBy>
  <cp:revision>3</cp:revision>
  <dcterms:created xsi:type="dcterms:W3CDTF">2022-12-08T10:07:00Z</dcterms:created>
  <dcterms:modified xsi:type="dcterms:W3CDTF">2022-12-08T10:11:00Z</dcterms:modified>
</cp:coreProperties>
</file>