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17365D"/>
          <w:sz w:val="52"/>
        </w:rPr>
        <w:t>WHestBench Canonical Research State</w:t>
      </w:r>
    </w:p>
    <w:p>
      <w:pPr>
        <w:jc w:val="center"/>
      </w:pPr>
      <w:r>
        <w:rPr>
          <w:rFonts w:ascii="Aptos Display" w:hAnsi="Aptos Display"/>
          <w:b/>
          <w:color w:val="1F4E78"/>
          <w:sz w:val="30"/>
        </w:rPr>
        <w:t>ARC White-Box Estimation Challenge 2026</w:t>
      </w:r>
    </w:p>
    <w:p>
      <w:pPr>
        <w:spacing w:before="240"/>
        <w:jc w:val="center"/>
      </w:pPr>
      <w:r>
        <w:rPr>
          <w:rFonts w:ascii="Aptos" w:hAnsi="Aptos"/>
          <w:i/>
          <w:color w:val="666666"/>
          <w:sz w:val="22"/>
        </w:rPr>
        <w:t>Full reconciliation of experiments, evidence quality, closure scope, and next decisions</w:t>
      </w:r>
    </w:p>
    <w:tbl>
      <w:tblPr>
        <w:tblStyle w:val="TableGrid"/>
        <w:tblW w:type="auto" w:w="0"/>
        <w:jc w:val="center"/>
        <w:tblLook w:firstColumn="1" w:firstRow="1" w:lastColumn="0" w:lastRow="0" w:noHBand="0" w:noVBand="1" w:val="04A0"/>
      </w:tblPr>
      <w:tblGrid>
        <w:gridCol w:w="10224"/>
      </w:tblGrid>
      <w:tr>
        <w:trPr>
          <w:cantSplit w:val="true"/>
        </w:trPr>
        <w:tc>
          <w:tcPr>
            <w:tcW w:type="dxa" w:w="10224"/>
            <w:shd w:fill="D9EAF7"/>
            <w:tcMar>
              <w:top w:w="120" w:type="dxa"/>
              <w:start w:w="140" w:type="dxa"/>
              <w:bottom w:w="120" w:type="dxa"/>
              <w:end w:w="140" w:type="dxa"/>
            </w:tcMar>
          </w:tcPr>
          <w:p>
            <w:pPr>
              <w:spacing w:after="0"/>
            </w:pPr>
            <w:r/>
            <w:r>
              <w:rPr>
                <w:rFonts w:ascii="Aptos" w:hAnsi="Aptos"/>
                <w:b/>
                <w:color w:val="17365D"/>
                <w:sz w:val="21"/>
              </w:rPr>
              <w:t>Canonical policy: a small or synthetic sandbox result may close the exact implementation it tested, but it does not close a broad research avenue unless the environment is matched, the evidence is replicated, or a rigorous theorem applies.</w:t>
            </w:r>
          </w:p>
        </w:tc>
      </w:tr>
    </w:tbl>
    <w:p>
      <w:pPr>
        <w:spacing w:after="20"/>
      </w:pPr>
    </w:p>
    <w:p>
      <w:pPr>
        <w:spacing w:before="360"/>
        <w:jc w:val="center"/>
      </w:pPr>
      <w:r>
        <w:rPr>
          <w:rFonts w:ascii="Aptos" w:hAnsi="Aptos"/>
          <w:b/>
          <w:color w:val="17365D"/>
          <w:sz w:val="20"/>
        </w:rPr>
        <w:t>Evidence cutoff: July 29, 2026, 12:36 p.m. ET</w:t>
      </w:r>
    </w:p>
    <w:p>
      <w:pPr>
        <w:jc w:val="center"/>
      </w:pPr>
      <w:r>
        <w:rPr>
          <w:rFonts w:ascii="Aptos" w:hAnsi="Aptos"/>
          <w:color w:val="666666"/>
          <w:sz w:val="17"/>
        </w:rPr>
        <w:t>Companion workbook: whestbench_canonical_research_ledger_20260729_reconciled.xlsx</w:t>
      </w:r>
    </w:p>
    <w:p>
      <w:r>
        <w:br w:type="page"/>
      </w:r>
    </w:p>
    <w:p>
      <w:pPr>
        <w:pStyle w:val="Heading1"/>
      </w:pPr>
      <w:r>
        <w:t>1. Executive summary</w:t>
      </w:r>
    </w:p>
    <w:tbl>
      <w:tblPr>
        <w:tblStyle w:val="TableGrid"/>
        <w:tblW w:type="auto" w:w="0"/>
        <w:jc w:val="center"/>
        <w:tblLook w:firstColumn="1" w:firstRow="1" w:lastColumn="0" w:lastRow="0" w:noHBand="0" w:noVBand="1" w:val="04A0"/>
      </w:tblPr>
      <w:tblGrid>
        <w:gridCol w:w="10224"/>
      </w:tblGrid>
      <w:tr>
        <w:trPr>
          <w:cantSplit w:val="true"/>
        </w:trPr>
        <w:tc>
          <w:tcPr>
            <w:tcW w:type="dxa" w:w="10224"/>
            <w:shd w:fill="D9EAF7"/>
            <w:tcMar>
              <w:top w:w="120" w:type="dxa"/>
              <w:start w:w="140" w:type="dxa"/>
              <w:bottom w:w="120" w:type="dxa"/>
              <w:end w:w="140" w:type="dxa"/>
            </w:tcMar>
          </w:tcPr>
          <w:p>
            <w:pPr>
              <w:spacing w:after="0"/>
            </w:pPr>
            <w:r/>
            <w:r>
              <w:rPr>
                <w:rFonts w:ascii="Aptos" w:hAnsi="Aptos"/>
                <w:b/>
                <w:color w:val="17365D"/>
                <w:sz w:val="21"/>
              </w:rPr>
              <w:t>The research has localized a large, real, late-layer correction channel, and the adjoint compute problem is largely solved. The unresolved problem is observability: cheaply predicting the signed absolute center/source defect that the complete Kerdock rule misses.</w:t>
            </w:r>
          </w:p>
        </w:tc>
      </w:tr>
    </w:tbl>
    <w:p>
      <w:pPr>
        <w:spacing w:after="20"/>
      </w:pPr>
    </w:p>
    <w:p>
      <w:pPr>
        <w:pStyle w:val="ListBullet"/>
        <w:spacing w:after="40"/>
      </w:pPr>
      <w:r>
        <w:rPr>
          <w:rFonts w:ascii="Aptos" w:hAnsi="Aptos"/>
          <w:sz w:val="19"/>
        </w:rPr>
        <w:t>The only shipping-ready direction is arithmetic: compare the fixed three-layer and adaptive depth-2–6 suffix compilers inside the current partial-tree implementation with measured FlopScope and residual wall time.</w:t>
      </w:r>
    </w:p>
    <w:p>
      <w:pPr>
        <w:pStyle w:val="ListBullet"/>
        <w:spacing w:after="40"/>
      </w:pPr>
      <w:r>
        <w:rPr>
          <w:rFonts w:ascii="Aptos" w:hAnsi="Aptos"/>
          <w:sz w:val="19"/>
        </w:rPr>
        <w:t>The strongest validated mechanism is the layer-31 post-ReLU mean defect: exact correction produced candidate/base 0.2187 on 64 holdout networks with 64/64 wins.</w:t>
      </w:r>
    </w:p>
    <w:p>
      <w:pPr>
        <w:pStyle w:val="ListBullet"/>
        <w:spacing w:after="40"/>
      </w:pPr>
      <w:r>
        <w:rPr>
          <w:rFonts w:ascii="Aptos" w:hAnsi="Aptos"/>
          <w:sz w:val="19"/>
        </w:rPr>
        <w:t>Connected-cubic controls contain transferable signal. Oracle-state rank-4 c21 reached candidate/base 0.5993 on 16/16 networks; the M85 factorized-anchor control reached 0.8814 on frozen holdout but had a 1.4277 worst-network tail.</w:t>
      </w:r>
    </w:p>
    <w:p>
      <w:pPr>
        <w:pStyle w:val="ListBullet"/>
        <w:spacing w:after="40"/>
      </w:pPr>
      <w:r>
        <w:rPr>
          <w:rFonts w:ascii="Aptos" w:hAnsi="Aptos"/>
          <w:sz w:val="19"/>
        </w:rPr>
        <w:t>The checkpoint adjoint handoff is no longer merely a derivation. A local layer-24 q=32 implementation reproduces the factorized target within 2.31% at about 10.3B compute; however, it is still roughly 31% from the oracle anchor.</w:t>
      </w:r>
    </w:p>
    <w:p>
      <w:pPr>
        <w:pStyle w:val="ListBullet"/>
        <w:spacing w:after="40"/>
      </w:pPr>
      <w:r>
        <w:rPr>
          <w:rFonts w:ascii="Aptos" w:hAnsi="Aptos"/>
          <w:sz w:val="19"/>
        </w:rPr>
        <w:t>The 128-probe 0.190 candidate/base claim is still only an eight-network development ceiling. The frozen probes, arrays, and untouched output are missing from shared artifacts.</w:t>
      </w:r>
    </w:p>
    <w:p>
      <w:pPr>
        <w:pStyle w:val="ListBullet"/>
        <w:spacing w:after="40"/>
      </w:pPr>
      <w:r>
        <w:rPr>
          <w:rFonts w:ascii="Aptos" w:hAnsi="Aptos"/>
          <w:sz w:val="19"/>
        </w:rPr>
        <w:t>Several attractive closures were recorded too broadly. Network-specific K2 coresets, conditional integration, stable-gate MLMC, ordinary sampled pilots, and reduced-width equivariant models are negative for their exact tested forms, but not all imply class-level impossibility.</w:t>
      </w:r>
    </w:p>
    <w:p>
      <w:pPr>
        <w:pStyle w:val="Heading2"/>
      </w:pPr>
      <w:r>
        <w:t>What changed in this reconciliation</w:t>
      </w:r>
    </w:p>
    <w:p>
      <w:pPr>
        <w:pStyle w:val="ListBullet"/>
        <w:spacing w:after="40"/>
      </w:pPr>
      <w:r>
        <w:rPr>
          <w:rFonts w:ascii="Aptos" w:hAnsi="Aptos"/>
          <w:sz w:val="19"/>
        </w:rPr>
        <w:t>Added 18 missing or overly compressed experiment rows, including the local adjoint implementation, oracle-state rank-4 c21, source-closure failures, granular activation-region experiments, and individual equivariant-model results.</w:t>
      </w:r>
    </w:p>
    <w:p>
      <w:pPr>
        <w:pStyle w:val="ListBullet"/>
        <w:spacing w:after="40"/>
      </w:pPr>
      <w:r>
        <w:rPr>
          <w:rFonts w:ascii="Aptos" w:hAnsi="Aptos"/>
          <w:sz w:val="19"/>
        </w:rPr>
        <w:t>Corrected stale or wrong top-level statements: the old 1.442e-7 compiler projection used an obsolete baseline; the exact quadratic control is closed; the stable-gate MLMC report did not contain the previously attributed 2.02 worst-network value.</w:t>
      </w:r>
    </w:p>
    <w:p>
      <w:pPr>
        <w:pStyle w:val="ListBullet"/>
        <w:spacing w:after="40"/>
      </w:pPr>
      <w:r>
        <w:rPr>
          <w:rFonts w:ascii="Aptos" w:hAnsi="Aptos"/>
          <w:sz w:val="19"/>
        </w:rPr>
        <w:t>Downgraded the claim that sparse centering is low-dimensional. It is exactly shared, but its empirical rank on the real frozen probes is unknown; a width-256 proxy span has rank 128.</w:t>
      </w:r>
    </w:p>
    <w:p>
      <w:pPr>
        <w:pStyle w:val="ListBullet"/>
        <w:spacing w:after="40"/>
      </w:pPr>
      <w:r>
        <w:rPr>
          <w:rFonts w:ascii="Aptos" w:hAnsi="Aptos"/>
          <w:sz w:val="19"/>
        </w:rPr>
        <w:t>Inserted the missing negative toy evidence against short-suffix source localization. Real source attribution is now a prerequisite for micro-cubature or suffix-only closure work.</w:t>
      </w:r>
    </w:p>
    <w:p>
      <w:pPr>
        <w:pStyle w:val="ListBullet"/>
        <w:spacing w:after="40"/>
      </w:pPr>
      <w:r>
        <w:rPr>
          <w:rFonts w:ascii="Aptos" w:hAnsi="Aptos"/>
          <w:sz w:val="19"/>
        </w:rPr>
        <w:t>Separated tested-form closure from broad-class closure throughout the ledger.</w:t>
      </w:r>
    </w:p>
    <w:p>
      <w:r>
        <w:br w:type="page"/>
      </w:r>
    </w:p>
    <w:p>
      <w:pPr>
        <w:pStyle w:val="Heading1"/>
      </w:pPr>
      <w:r>
        <w:t>2. Evidence hierarchy and closure rules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2016"/>
            <w:shd w:fill="17365D"/>
            <w:vAlign w:val="top"/>
            <w:tcMar>
              <w:top w:w="60" w:type="dxa"/>
              <w:start w:w="75" w:type="dxa"/>
              <w:bottom w:w="60" w:type="dxa"/>
              <w:end w:w="75" w:type="dxa"/>
            </w:tcMar>
          </w:tcPr>
          <w:p>
            <w:pPr>
              <w:spacing w:after="0" w:line="240" w:lineRule="auto"/>
              <w:jc w:val="center"/>
            </w:pPr>
            <w:r/>
            <w:r>
              <w:rPr>
                <w:rFonts w:ascii="Aptos" w:hAnsi="Aptos"/>
                <w:b/>
                <w:color w:val="FFFFFF"/>
                <w:sz w:val="16"/>
              </w:rPr>
              <w:t>Tier</w:t>
            </w:r>
          </w:p>
        </w:tc>
        <w:tc>
          <w:tcPr>
            <w:tcW w:type="dxa" w:w="3744"/>
            <w:shd w:fill="17365D"/>
            <w:vAlign w:val="top"/>
            <w:tcMar>
              <w:top w:w="60" w:type="dxa"/>
              <w:start w:w="75" w:type="dxa"/>
              <w:bottom w:w="60" w:type="dxa"/>
              <w:end w:w="75" w:type="dxa"/>
            </w:tcMar>
          </w:tcPr>
          <w:p>
            <w:pPr>
              <w:spacing w:after="0" w:line="240" w:lineRule="auto"/>
              <w:jc w:val="center"/>
            </w:pPr>
            <w:r/>
            <w:r>
              <w:rPr>
                <w:rFonts w:ascii="Aptos" w:hAnsi="Aptos"/>
                <w:b/>
                <w:color w:val="FFFFFF"/>
                <w:sz w:val="16"/>
              </w:rPr>
              <w:t>Meaning</w:t>
            </w:r>
          </w:p>
        </w:tc>
        <w:tc>
          <w:tcPr>
            <w:tcW w:type="dxa" w:w="5040"/>
            <w:shd w:fill="17365D"/>
            <w:vAlign w:val="top"/>
            <w:tcMar>
              <w:top w:w="60" w:type="dxa"/>
              <w:start w:w="75" w:type="dxa"/>
              <w:bottom w:w="60" w:type="dxa"/>
              <w:end w:w="75" w:type="dxa"/>
            </w:tcMar>
          </w:tcPr>
          <w:p>
            <w:pPr>
              <w:spacing w:after="0" w:line="240" w:lineRule="auto"/>
              <w:jc w:val="center"/>
            </w:pPr>
            <w:r/>
            <w:r>
              <w:rPr>
                <w:rFonts w:ascii="Aptos" w:hAnsi="Aptos"/>
                <w:b/>
                <w:color w:val="FFFFFF"/>
                <w:sz w:val="16"/>
              </w:rPr>
              <w:t>Allowed conclusion</w:t>
            </w:r>
          </w:p>
        </w:tc>
      </w:tr>
      <w:tr>
        <w:trPr>
          <w:cantSplit w:val="true"/>
        </w:trPr>
        <w:tc>
          <w:tcPr>
            <w:tcW w:type="dxa" w:w="2016"/>
            <w:vAlign w:val="top"/>
            <w:tcMar>
              <w:top w:w="60" w:type="dxa"/>
              <w:start w:w="75" w:type="dxa"/>
              <w:bottom w:w="60" w:type="dxa"/>
              <w:end w:w="75" w:type="dxa"/>
            </w:tcMar>
          </w:tcPr>
          <w:p>
            <w:pPr>
              <w:spacing w:after="0" w:line="240" w:lineRule="auto"/>
            </w:pPr>
            <w:r/>
            <w:r>
              <w:rPr>
                <w:rFonts w:ascii="Aptos" w:hAnsi="Aptos"/>
                <w:b w:val="0"/>
                <w:color w:val="1F1F1F"/>
                <w:sz w:val="16"/>
              </w:rPr>
              <w:t>E5 — official paired grader</w:t>
            </w:r>
          </w:p>
        </w:tc>
        <w:tc>
          <w:tcPr>
            <w:tcW w:type="dxa" w:w="3744"/>
            <w:vAlign w:val="top"/>
            <w:tcMar>
              <w:top w:w="60" w:type="dxa"/>
              <w:start w:w="75" w:type="dxa"/>
              <w:bottom w:w="60" w:type="dxa"/>
              <w:end w:w="75" w:type="dxa"/>
            </w:tcMar>
          </w:tcPr>
          <w:p>
            <w:pPr>
              <w:spacing w:after="0" w:line="240" w:lineRule="auto"/>
            </w:pPr>
            <w:r/>
            <w:r>
              <w:rPr>
                <w:rFonts w:ascii="Aptos" w:hAnsi="Aptos"/>
                <w:b w:val="0"/>
                <w:color w:val="1F1F1F"/>
                <w:sz w:val="16"/>
              </w:rPr>
              <w:t>Exact benchmark, current implementation, target comparison, full compute/wall accounting</w:t>
            </w:r>
          </w:p>
        </w:tc>
        <w:tc>
          <w:tcPr>
            <w:tcW w:type="dxa" w:w="5040"/>
            <w:vAlign w:val="top"/>
            <w:tcMar>
              <w:top w:w="60" w:type="dxa"/>
              <w:start w:w="75" w:type="dxa"/>
              <w:bottom w:w="60" w:type="dxa"/>
              <w:end w:w="75" w:type="dxa"/>
            </w:tcMar>
          </w:tcPr>
          <w:p>
            <w:pPr>
              <w:spacing w:after="0" w:line="240" w:lineRule="auto"/>
            </w:pPr>
            <w:r/>
            <w:r>
              <w:rPr>
                <w:rFonts w:ascii="Aptos" w:hAnsi="Aptos"/>
                <w:b w:val="0"/>
                <w:color w:val="1F1F1F"/>
                <w:sz w:val="16"/>
              </w:rPr>
              <w:t>Submission decision and measured score claim</w:t>
            </w:r>
          </w:p>
        </w:tc>
      </w:tr>
      <w:tr>
        <w:trPr>
          <w:cantSplit w:val="true"/>
        </w:trPr>
        <w:tc>
          <w:tcPr>
            <w:tcW w:type="dxa" w:w="2016"/>
            <w:shd w:fill="F8FBFD"/>
            <w:vAlign w:val="top"/>
            <w:tcMar>
              <w:top w:w="60" w:type="dxa"/>
              <w:start w:w="75" w:type="dxa"/>
              <w:bottom w:w="60" w:type="dxa"/>
              <w:end w:w="75" w:type="dxa"/>
            </w:tcMar>
          </w:tcPr>
          <w:p>
            <w:pPr>
              <w:spacing w:after="0" w:line="240" w:lineRule="auto"/>
            </w:pPr>
            <w:r/>
            <w:r>
              <w:rPr>
                <w:rFonts w:ascii="Aptos" w:hAnsi="Aptos"/>
                <w:b w:val="0"/>
                <w:color w:val="1F1F1F"/>
                <w:sz w:val="16"/>
              </w:rPr>
              <w:t>E4 — frozen full-width holdout</w:t>
            </w:r>
          </w:p>
        </w:tc>
        <w:tc>
          <w:tcPr>
            <w:tcW w:type="dxa" w:w="3744"/>
            <w:shd w:fill="F8FBFD"/>
            <w:vAlign w:val="top"/>
            <w:tcMar>
              <w:top w:w="60" w:type="dxa"/>
              <w:start w:w="75" w:type="dxa"/>
              <w:bottom w:w="60" w:type="dxa"/>
              <w:end w:w="75" w:type="dxa"/>
            </w:tcMar>
          </w:tcPr>
          <w:p>
            <w:pPr>
              <w:spacing w:after="0" w:line="240" w:lineRule="auto"/>
            </w:pPr>
            <w:r/>
            <w:r>
              <w:rPr>
                <w:rFonts w:ascii="Aptos" w:hAnsi="Aptos"/>
                <w:b w:val="0"/>
                <w:color w:val="1F1F1F"/>
                <w:sz w:val="16"/>
              </w:rPr>
              <w:t>Fresh width-256/depth-32 networks after settings are frozen</w:t>
            </w:r>
          </w:p>
        </w:tc>
        <w:tc>
          <w:tcPr>
            <w:tcW w:type="dxa" w:w="5040"/>
            <w:shd w:fill="F8FBFD"/>
            <w:vAlign w:val="top"/>
            <w:tcMar>
              <w:top w:w="60" w:type="dxa"/>
              <w:start w:w="75" w:type="dxa"/>
              <w:bottom w:w="60" w:type="dxa"/>
              <w:end w:w="75" w:type="dxa"/>
            </w:tcMar>
          </w:tcPr>
          <w:p>
            <w:pPr>
              <w:spacing w:after="0" w:line="240" w:lineRule="auto"/>
            </w:pPr>
            <w:r/>
            <w:r>
              <w:rPr>
                <w:rFonts w:ascii="Aptos" w:hAnsi="Aptos"/>
                <w:b w:val="0"/>
                <w:color w:val="1F1F1F"/>
                <w:sz w:val="16"/>
              </w:rPr>
              <w:t>Primary pre-official evidence; may close a tested implementation</w:t>
            </w:r>
          </w:p>
        </w:tc>
      </w:tr>
      <w:tr>
        <w:trPr>
          <w:cantSplit w:val="true"/>
        </w:trPr>
        <w:tc>
          <w:tcPr>
            <w:tcW w:type="dxa" w:w="2016"/>
            <w:vAlign w:val="top"/>
            <w:tcMar>
              <w:top w:w="60" w:type="dxa"/>
              <w:start w:w="75" w:type="dxa"/>
              <w:bottom w:w="60" w:type="dxa"/>
              <w:end w:w="75" w:type="dxa"/>
            </w:tcMar>
          </w:tcPr>
          <w:p>
            <w:pPr>
              <w:spacing w:after="0" w:line="240" w:lineRule="auto"/>
            </w:pPr>
            <w:r/>
            <w:r>
              <w:rPr>
                <w:rFonts w:ascii="Aptos" w:hAnsi="Aptos"/>
                <w:b w:val="0"/>
                <w:color w:val="1F1F1F"/>
                <w:sz w:val="16"/>
              </w:rPr>
              <w:t>E3 — architecture-matched synthetic</w:t>
            </w:r>
          </w:p>
        </w:tc>
        <w:tc>
          <w:tcPr>
            <w:tcW w:type="dxa" w:w="3744"/>
            <w:vAlign w:val="top"/>
            <w:tcMar>
              <w:top w:w="60" w:type="dxa"/>
              <w:start w:w="75" w:type="dxa"/>
              <w:bottom w:w="60" w:type="dxa"/>
              <w:end w:w="75" w:type="dxa"/>
            </w:tcMar>
          </w:tcPr>
          <w:p>
            <w:pPr>
              <w:spacing w:after="0" w:line="240" w:lineRule="auto"/>
            </w:pPr>
            <w:r/>
            <w:r>
              <w:rPr>
                <w:rFonts w:ascii="Aptos" w:hAnsi="Aptos"/>
                <w:b w:val="0"/>
                <w:color w:val="1F1F1F"/>
                <w:sz w:val="16"/>
              </w:rPr>
              <w:t>Correct width/geometry but synthetic targets, development use, or incomplete runtime fidelity</w:t>
            </w:r>
          </w:p>
        </w:tc>
        <w:tc>
          <w:tcPr>
            <w:tcW w:type="dxa" w:w="5040"/>
            <w:vAlign w:val="top"/>
            <w:tcMar>
              <w:top w:w="60" w:type="dxa"/>
              <w:start w:w="75" w:type="dxa"/>
              <w:bottom w:w="60" w:type="dxa"/>
              <w:end w:w="75" w:type="dxa"/>
            </w:tcMar>
          </w:tcPr>
          <w:p>
            <w:pPr>
              <w:spacing w:after="0" w:line="240" w:lineRule="auto"/>
            </w:pPr>
            <w:r/>
            <w:r>
              <w:rPr>
                <w:rFonts w:ascii="Aptos" w:hAnsi="Aptos"/>
                <w:b w:val="0"/>
                <w:color w:val="1F1F1F"/>
                <w:sz w:val="16"/>
              </w:rPr>
              <w:t>Select or kill exact variants; do not make broad class claims</w:t>
            </w:r>
          </w:p>
        </w:tc>
      </w:tr>
      <w:tr>
        <w:trPr>
          <w:cantSplit w:val="true"/>
        </w:trPr>
        <w:tc>
          <w:tcPr>
            <w:tcW w:type="dxa" w:w="2016"/>
            <w:shd w:fill="F8FBFD"/>
            <w:vAlign w:val="top"/>
            <w:tcMar>
              <w:top w:w="60" w:type="dxa"/>
              <w:start w:w="75" w:type="dxa"/>
              <w:bottom w:w="60" w:type="dxa"/>
              <w:end w:w="75" w:type="dxa"/>
            </w:tcMar>
          </w:tcPr>
          <w:p>
            <w:pPr>
              <w:spacing w:after="0" w:line="240" w:lineRule="auto"/>
            </w:pPr>
            <w:r/>
            <w:r>
              <w:rPr>
                <w:rFonts w:ascii="Aptos" w:hAnsi="Aptos"/>
                <w:b w:val="0"/>
                <w:color w:val="1F1F1F"/>
                <w:sz w:val="16"/>
              </w:rPr>
              <w:t>E2 — oracle mechanism</w:t>
            </w:r>
          </w:p>
        </w:tc>
        <w:tc>
          <w:tcPr>
            <w:tcW w:type="dxa" w:w="3744"/>
            <w:shd w:fill="F8FBFD"/>
            <w:vAlign w:val="top"/>
            <w:tcMar>
              <w:top w:w="60" w:type="dxa"/>
              <w:start w:w="75" w:type="dxa"/>
              <w:bottom w:w="60" w:type="dxa"/>
              <w:end w:w="75" w:type="dxa"/>
            </w:tcMar>
          </w:tcPr>
          <w:p>
            <w:pPr>
              <w:spacing w:after="0" w:line="240" w:lineRule="auto"/>
            </w:pPr>
            <w:r/>
            <w:r>
              <w:rPr>
                <w:rFonts w:ascii="Aptos" w:hAnsi="Aptos"/>
                <w:b w:val="0"/>
                <w:color w:val="1F1F1F"/>
                <w:sz w:val="16"/>
              </w:rPr>
              <w:t>True moments, target-aware directions, unavailable anchors or interventions</w:t>
            </w:r>
          </w:p>
        </w:tc>
        <w:tc>
          <w:tcPr>
            <w:tcW w:type="dxa" w:w="5040"/>
            <w:shd w:fill="F8FBFD"/>
            <w:vAlign w:val="top"/>
            <w:tcMar>
              <w:top w:w="60" w:type="dxa"/>
              <w:start w:w="75" w:type="dxa"/>
              <w:bottom w:w="60" w:type="dxa"/>
              <w:end w:w="75" w:type="dxa"/>
            </w:tcMar>
          </w:tcPr>
          <w:p>
            <w:pPr>
              <w:spacing w:after="0" w:line="240" w:lineRule="auto"/>
            </w:pPr>
            <w:r/>
            <w:r>
              <w:rPr>
                <w:rFonts w:ascii="Aptos" w:hAnsi="Aptos"/>
                <w:b w:val="0"/>
                <w:color w:val="1F1F1F"/>
                <w:sz w:val="16"/>
              </w:rPr>
              <w:t>Establishes headroom and structure only</w:t>
            </w:r>
          </w:p>
        </w:tc>
      </w:tr>
      <w:tr>
        <w:trPr>
          <w:cantSplit w:val="true"/>
        </w:trPr>
        <w:tc>
          <w:tcPr>
            <w:tcW w:type="dxa" w:w="2016"/>
            <w:vAlign w:val="top"/>
            <w:tcMar>
              <w:top w:w="60" w:type="dxa"/>
              <w:start w:w="75" w:type="dxa"/>
              <w:bottom w:w="60" w:type="dxa"/>
              <w:end w:w="75" w:type="dxa"/>
            </w:tcMar>
          </w:tcPr>
          <w:p>
            <w:pPr>
              <w:spacing w:after="0" w:line="240" w:lineRule="auto"/>
            </w:pPr>
            <w:r/>
            <w:r>
              <w:rPr>
                <w:rFonts w:ascii="Aptos" w:hAnsi="Aptos"/>
                <w:b w:val="0"/>
                <w:color w:val="1F1F1F"/>
                <w:sz w:val="16"/>
              </w:rPr>
              <w:t>E1 — algebra / infrastructure</w:t>
            </w:r>
          </w:p>
        </w:tc>
        <w:tc>
          <w:tcPr>
            <w:tcW w:type="dxa" w:w="3744"/>
            <w:vAlign w:val="top"/>
            <w:tcMar>
              <w:top w:w="60" w:type="dxa"/>
              <w:start w:w="75" w:type="dxa"/>
              <w:bottom w:w="60" w:type="dxa"/>
              <w:end w:w="75" w:type="dxa"/>
            </w:tcMar>
          </w:tcPr>
          <w:p>
            <w:pPr>
              <w:spacing w:after="0" w:line="240" w:lineRule="auto"/>
            </w:pPr>
            <w:r/>
            <w:r>
              <w:rPr>
                <w:rFonts w:ascii="Aptos" w:hAnsi="Aptos"/>
                <w:b w:val="0"/>
                <w:color w:val="1F1F1F"/>
                <w:sz w:val="16"/>
              </w:rPr>
              <w:t>Identity proof, unit test, code harness, complexity estimate</w:t>
            </w:r>
          </w:p>
        </w:tc>
        <w:tc>
          <w:tcPr>
            <w:tcW w:type="dxa" w:w="5040"/>
            <w:vAlign w:val="top"/>
            <w:tcMar>
              <w:top w:w="60" w:type="dxa"/>
              <w:start w:w="75" w:type="dxa"/>
              <w:bottom w:w="60" w:type="dxa"/>
              <w:end w:w="75" w:type="dxa"/>
            </w:tcMar>
          </w:tcPr>
          <w:p>
            <w:pPr>
              <w:spacing w:after="0" w:line="240" w:lineRule="auto"/>
            </w:pPr>
            <w:r/>
            <w:r>
              <w:rPr>
                <w:rFonts w:ascii="Aptos" w:hAnsi="Aptos"/>
                <w:b w:val="0"/>
                <w:color w:val="1F1F1F"/>
                <w:sz w:val="16"/>
              </w:rPr>
              <w:t>No MSE or deployment claim</w:t>
            </w:r>
          </w:p>
        </w:tc>
      </w:tr>
    </w:tbl>
    <w:p>
      <w:pPr>
        <w:spacing w:after="20"/>
      </w:pPr>
    </w:p>
    <w:p>
      <w:pPr>
        <w:pStyle w:val="Heading2"/>
      </w:pPr>
      <w:r>
        <w:t>Mandatory provenance fields</w:t>
      </w:r>
    </w:p>
    <w:p>
      <w:pPr>
        <w:pStyle w:val="ListBullet"/>
        <w:spacing w:after="40"/>
      </w:pPr>
      <w:r>
        <w:rPr>
          <w:rFonts w:ascii="Aptos" w:hAnsi="Aptos"/>
          <w:sz w:val="19"/>
        </w:rPr>
        <w:t>Execution environment: local full repository, exact code archive, architecture-matched sandbox, wrong-width sandbox, or official runner.</w:t>
      </w:r>
    </w:p>
    <w:p>
      <w:pPr>
        <w:pStyle w:val="ListBullet"/>
        <w:spacing w:after="40"/>
      </w:pPr>
      <w:r>
        <w:rPr>
          <w:rFonts w:ascii="Aptos" w:hAnsi="Aptos"/>
          <w:sz w:val="19"/>
        </w:rPr>
        <w:t>Network architecture and geometry: width, depth, exact Kerdock point count, basis count, support size, and whether the real seed-3 design was used.</w:t>
      </w:r>
    </w:p>
    <w:p>
      <w:pPr>
        <w:pStyle w:val="ListBullet"/>
        <w:spacing w:after="40"/>
      </w:pPr>
      <w:r>
        <w:rPr>
          <w:rFonts w:ascii="Aptos" w:hAnsi="Aptos"/>
          <w:sz w:val="19"/>
        </w:rPr>
        <w:t>Stage and sample scale: screen, frozen validation, holdout, training/calibration sizes, network IDs or seed manifest, and reference-target precision.</w:t>
      </w:r>
    </w:p>
    <w:p>
      <w:pPr>
        <w:pStyle w:val="ListBullet"/>
        <w:spacing w:after="40"/>
      </w:pPr>
      <w:r>
        <w:rPr>
          <w:rFonts w:ascii="Aptos" w:hAnsi="Aptos"/>
          <w:sz w:val="19"/>
        </w:rPr>
        <w:t>Estimator status: oracle, deployable-shaped, fully deployable, infrastructure-only, or projected.</w:t>
      </w:r>
    </w:p>
    <w:p>
      <w:pPr>
        <w:pStyle w:val="ListBullet"/>
        <w:spacing w:after="40"/>
      </w:pPr>
      <w:r>
        <w:rPr>
          <w:rFonts w:ascii="Aptos" w:hAnsi="Aptos"/>
          <w:sz w:val="19"/>
        </w:rPr>
        <w:t>Performance convention: candidate/base lower-is-better or baseline/candidate gain higher-is-better; raw MSE and adjusted score must be separated.</w:t>
      </w:r>
    </w:p>
    <w:p>
      <w:pPr>
        <w:pStyle w:val="ListBullet"/>
        <w:spacing w:after="40"/>
      </w:pPr>
      <w:r>
        <w:rPr>
          <w:rFonts w:ascii="Aptos" w:hAnsi="Aptos"/>
          <w:sz w:val="19"/>
        </w:rPr>
        <w:t>Risk: wins, worst network, confidence interval, reference-noise fraction, compute estimate versus measured cost, and protected-holdout use.</w:t>
      </w:r>
    </w:p>
    <w:tbl>
      <w:tblPr>
        <w:tblStyle w:val="TableGrid"/>
        <w:tblW w:type="auto" w:w="0"/>
        <w:jc w:val="center"/>
        <w:tblLook w:firstColumn="1" w:firstRow="1" w:lastColumn="0" w:lastRow="0" w:noHBand="0" w:noVBand="1" w:val="04A0"/>
      </w:tblPr>
      <w:tblGrid>
        <w:gridCol w:w="10224"/>
      </w:tblGrid>
      <w:tr>
        <w:trPr>
          <w:cantSplit w:val="true"/>
        </w:trPr>
        <w:tc>
          <w:tcPr>
            <w:tcW w:type="dxa" w:w="10224"/>
            <w:shd w:fill="FCE4D6"/>
            <w:tcMar>
              <w:top w:w="120" w:type="dxa"/>
              <w:start w:w="140" w:type="dxa"/>
              <w:bottom w:w="120" w:type="dxa"/>
              <w:end w:w="140" w:type="dxa"/>
            </w:tcMar>
          </w:tcPr>
          <w:p>
            <w:pPr>
              <w:spacing w:after="0"/>
            </w:pPr>
            <w:r/>
            <w:r>
              <w:rPr>
                <w:rFonts w:ascii="Aptos" w:hAnsi="Aptos"/>
                <w:b/>
                <w:color w:val="17365D"/>
                <w:sz w:val="21"/>
              </w:rPr>
              <w:t>Governance correction: global IDs 0–199 are exposed. The V73 64-network block is valuable oracle-mechanism evidence, but it is not available as a fresh deployable-estimator holdout.</w:t>
            </w:r>
          </w:p>
        </w:tc>
      </w:tr>
    </w:tbl>
    <w:p>
      <w:pPr>
        <w:spacing w:after="20"/>
      </w:pPr>
    </w:p>
    <w:p>
      <w:r>
        <w:br w:type="page"/>
      </w:r>
    </w:p>
    <w:p>
      <w:pPr>
        <w:pStyle w:val="Heading1"/>
      </w:pPr>
      <w:r>
        <w:t>3. Canonical portfolio</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val="true"/>
        </w:trPr>
        <w:tc>
          <w:tcPr>
            <w:tcW w:type="dxa" w:w="1800"/>
            <w:shd w:fill="1F4E78"/>
            <w:vAlign w:val="top"/>
            <w:tcMar>
              <w:top w:w="60" w:type="dxa"/>
              <w:start w:w="75" w:type="dxa"/>
              <w:bottom w:w="60" w:type="dxa"/>
              <w:end w:w="75" w:type="dxa"/>
            </w:tcMar>
          </w:tcPr>
          <w:p>
            <w:pPr>
              <w:spacing w:after="0" w:line="240" w:lineRule="auto"/>
              <w:jc w:val="center"/>
            </w:pPr>
            <w:r/>
            <w:r>
              <w:rPr>
                <w:rFonts w:ascii="Aptos" w:hAnsi="Aptos"/>
                <w:b/>
                <w:color w:val="FFFFFF"/>
                <w:sz w:val="16"/>
              </w:rPr>
              <w:t>Branch</w:t>
            </w:r>
          </w:p>
        </w:tc>
        <w:tc>
          <w:tcPr>
            <w:tcW w:type="dxa" w:w="1944"/>
            <w:shd w:fill="1F4E78"/>
            <w:vAlign w:val="top"/>
            <w:tcMar>
              <w:top w:w="60" w:type="dxa"/>
              <w:start w:w="75" w:type="dxa"/>
              <w:bottom w:w="60" w:type="dxa"/>
              <w:end w:w="75" w:type="dxa"/>
            </w:tcMar>
          </w:tcPr>
          <w:p>
            <w:pPr>
              <w:spacing w:after="0" w:line="240" w:lineRule="auto"/>
              <w:jc w:val="center"/>
            </w:pPr>
            <w:r/>
            <w:r>
              <w:rPr>
                <w:rFonts w:ascii="Aptos" w:hAnsi="Aptos"/>
                <w:b/>
                <w:color w:val="FFFFFF"/>
                <w:sz w:val="16"/>
              </w:rPr>
              <w:t>Status</w:t>
            </w:r>
          </w:p>
        </w:tc>
        <w:tc>
          <w:tcPr>
            <w:tcW w:type="dxa" w:w="3168"/>
            <w:shd w:fill="1F4E78"/>
            <w:vAlign w:val="top"/>
            <w:tcMar>
              <w:top w:w="60" w:type="dxa"/>
              <w:start w:w="75" w:type="dxa"/>
              <w:bottom w:w="60" w:type="dxa"/>
              <w:end w:w="75" w:type="dxa"/>
            </w:tcMar>
          </w:tcPr>
          <w:p>
            <w:pPr>
              <w:spacing w:after="0" w:line="240" w:lineRule="auto"/>
              <w:jc w:val="center"/>
            </w:pPr>
            <w:r/>
            <w:r>
              <w:rPr>
                <w:rFonts w:ascii="Aptos" w:hAnsi="Aptos"/>
                <w:b/>
                <w:color w:val="FFFFFF"/>
                <w:sz w:val="16"/>
              </w:rPr>
              <w:t>Best evidence</w:t>
            </w:r>
          </w:p>
        </w:tc>
        <w:tc>
          <w:tcPr>
            <w:tcW w:type="dxa" w:w="2880"/>
            <w:shd w:fill="1F4E78"/>
            <w:vAlign w:val="top"/>
            <w:tcMar>
              <w:top w:w="60" w:type="dxa"/>
              <w:start w:w="75" w:type="dxa"/>
              <w:bottom w:w="60" w:type="dxa"/>
              <w:end w:w="75" w:type="dxa"/>
            </w:tcMar>
          </w:tcPr>
          <w:p>
            <w:pPr>
              <w:spacing w:after="0" w:line="240" w:lineRule="auto"/>
              <w:jc w:val="center"/>
            </w:pPr>
            <w:r/>
            <w:r>
              <w:rPr>
                <w:rFonts w:ascii="Aptos" w:hAnsi="Aptos"/>
                <w:b/>
                <w:color w:val="FFFFFF"/>
                <w:sz w:val="16"/>
              </w:rPr>
              <w:t>Scale / caveat</w:t>
            </w:r>
          </w:p>
        </w:tc>
        <w:tc>
          <w:tcPr>
            <w:tcW w:type="dxa" w:w="3024"/>
            <w:shd w:fill="1F4E78"/>
            <w:vAlign w:val="top"/>
            <w:tcMar>
              <w:top w:w="60" w:type="dxa"/>
              <w:start w:w="75" w:type="dxa"/>
              <w:bottom w:w="60" w:type="dxa"/>
              <w:end w:w="75" w:type="dxa"/>
            </w:tcMar>
          </w:tcPr>
          <w:p>
            <w:pPr>
              <w:spacing w:after="0" w:line="240" w:lineRule="auto"/>
              <w:jc w:val="center"/>
            </w:pPr>
            <w:r/>
            <w:r>
              <w:rPr>
                <w:rFonts w:ascii="Aptos" w:hAnsi="Aptos"/>
                <w:b/>
                <w:color w:val="FFFFFF"/>
                <w:sz w:val="16"/>
              </w:rPr>
              <w:t>Next decision</w:t>
            </w:r>
          </w:p>
        </w:tc>
      </w:tr>
      <w:tr>
        <w:trPr>
          <w:cantSplit w:val="true"/>
        </w:trPr>
        <w:tc>
          <w:tcPr>
            <w:tcW w:type="dxa" w:w="1800"/>
            <w:vAlign w:val="top"/>
            <w:tcMar>
              <w:top w:w="60" w:type="dxa"/>
              <w:start w:w="75" w:type="dxa"/>
              <w:bottom w:w="60" w:type="dxa"/>
              <w:end w:w="75" w:type="dxa"/>
            </w:tcMar>
          </w:tcPr>
          <w:p>
            <w:pPr>
              <w:spacing w:after="0" w:line="240" w:lineRule="auto"/>
            </w:pPr>
            <w:r/>
            <w:r>
              <w:rPr>
                <w:rFonts w:ascii="Aptos" w:hAnsi="Aptos"/>
                <w:b w:val="0"/>
                <w:color w:val="1F1F1F"/>
                <w:sz w:val="14"/>
              </w:rPr>
              <w:t>Shipping compiler</w:t>
            </w:r>
          </w:p>
        </w:tc>
        <w:tc>
          <w:tcPr>
            <w:tcW w:type="dxa" w:w="1944"/>
            <w:vAlign w:val="top"/>
            <w:tcMar>
              <w:top w:w="60" w:type="dxa"/>
              <w:start w:w="75" w:type="dxa"/>
              <w:bottom w:w="60" w:type="dxa"/>
              <w:end w:w="75" w:type="dxa"/>
            </w:tcMar>
          </w:tcPr>
          <w:p>
            <w:pPr>
              <w:spacing w:after="0" w:line="240" w:lineRule="auto"/>
            </w:pPr>
            <w:r/>
            <w:r>
              <w:rPr>
                <w:rFonts w:ascii="Aptos" w:hAnsi="Aptos"/>
                <w:b w:val="0"/>
                <w:color w:val="1F1F1F"/>
                <w:sz w:val="14"/>
              </w:rPr>
              <w:t>Shipping pending measurement</w:t>
            </w:r>
          </w:p>
        </w:tc>
        <w:tc>
          <w:tcPr>
            <w:tcW w:type="dxa" w:w="3168"/>
            <w:vAlign w:val="top"/>
            <w:tcMar>
              <w:top w:w="60" w:type="dxa"/>
              <w:start w:w="75" w:type="dxa"/>
              <w:bottom w:w="60" w:type="dxa"/>
              <w:end w:w="75" w:type="dxa"/>
            </w:tcMar>
          </w:tcPr>
          <w:p>
            <w:pPr>
              <w:spacing w:after="0" w:line="240" w:lineRule="auto"/>
            </w:pPr>
            <w:r/>
            <w:r>
              <w:rPr>
                <w:rFonts w:ascii="Aptos" w:hAnsi="Aptos"/>
                <w:b w:val="0"/>
                <w:color w:val="1F1F1F"/>
                <w:sz w:val="14"/>
              </w:rPr>
              <w:t>Adaptive calibrated adjusted ratio 0.97865 on 60 fresh networks; fixed3 is simpler</w:t>
            </w:r>
          </w:p>
        </w:tc>
        <w:tc>
          <w:tcPr>
            <w:tcW w:type="dxa" w:w="2880"/>
            <w:vAlign w:val="top"/>
            <w:tcMar>
              <w:top w:w="60" w:type="dxa"/>
              <w:start w:w="75" w:type="dxa"/>
              <w:bottom w:w="60" w:type="dxa"/>
              <w:end w:w="75" w:type="dxa"/>
            </w:tcMar>
          </w:tcPr>
          <w:p>
            <w:pPr>
              <w:spacing w:after="0" w:line="240" w:lineRule="auto"/>
            </w:pPr>
            <w:r/>
            <w:r>
              <w:rPr>
                <w:rFonts w:ascii="Aptos" w:hAnsi="Aptos"/>
                <w:b w:val="0"/>
                <w:color w:val="1F1F1F"/>
                <w:sz w:val="14"/>
              </w:rPr>
              <w:t>Final integrated current-package cost not measured; old absolute projection is stale</w:t>
            </w:r>
          </w:p>
        </w:tc>
        <w:tc>
          <w:tcPr>
            <w:tcW w:type="dxa" w:w="3024"/>
            <w:vAlign w:val="top"/>
            <w:tcMar>
              <w:top w:w="60" w:type="dxa"/>
              <w:start w:w="75" w:type="dxa"/>
              <w:bottom w:w="60" w:type="dxa"/>
              <w:end w:w="75" w:type="dxa"/>
            </w:tcMar>
          </w:tcPr>
          <w:p>
            <w:pPr>
              <w:spacing w:after="0" w:line="240" w:lineRule="auto"/>
            </w:pPr>
            <w:r/>
            <w:r>
              <w:rPr>
                <w:rFonts w:ascii="Aptos" w:hAnsi="Aptos"/>
                <w:b w:val="0"/>
                <w:color w:val="1F1F1F"/>
                <w:sz w:val="14"/>
              </w:rPr>
              <w:t>Paired partial-tree baseline vs fixed3 vs adaptive</w:t>
            </w:r>
          </w:p>
        </w:tc>
      </w:tr>
      <w:tr>
        <w:trPr>
          <w:cantSplit w:val="true"/>
        </w:trPr>
        <w:tc>
          <w:tcPr>
            <w:tcW w:type="dxa" w:w="1800"/>
            <w:shd w:fill="F8FBFD"/>
            <w:vAlign w:val="top"/>
            <w:tcMar>
              <w:top w:w="60" w:type="dxa"/>
              <w:start w:w="75" w:type="dxa"/>
              <w:bottom w:w="60" w:type="dxa"/>
              <w:end w:w="75" w:type="dxa"/>
            </w:tcMar>
          </w:tcPr>
          <w:p>
            <w:pPr>
              <w:spacing w:after="0" w:line="240" w:lineRule="auto"/>
            </w:pPr>
            <w:r/>
            <w:r>
              <w:rPr>
                <w:rFonts w:ascii="Aptos" w:hAnsi="Aptos"/>
                <w:b w:val="0"/>
                <w:color w:val="1F1F1F"/>
                <w:sz w:val="14"/>
              </w:rPr>
              <w:t>Layer-31 correction</w:t>
            </w:r>
          </w:p>
        </w:tc>
        <w:tc>
          <w:tcPr>
            <w:tcW w:type="dxa" w:w="1944"/>
            <w:shd w:fill="F8FBFD"/>
            <w:vAlign w:val="top"/>
            <w:tcMar>
              <w:top w:w="60" w:type="dxa"/>
              <w:start w:w="75" w:type="dxa"/>
              <w:bottom w:w="60" w:type="dxa"/>
              <w:end w:w="75" w:type="dxa"/>
            </w:tcMar>
          </w:tcPr>
          <w:p>
            <w:pPr>
              <w:spacing w:after="0" w:line="240" w:lineRule="auto"/>
            </w:pPr>
            <w:r/>
            <w:r>
              <w:rPr>
                <w:rFonts w:ascii="Aptos" w:hAnsi="Aptos"/>
                <w:b w:val="0"/>
                <w:color w:val="1F1F1F"/>
                <w:sz w:val="14"/>
              </w:rPr>
              <w:t>Leading oracle target</w:t>
            </w:r>
          </w:p>
        </w:tc>
        <w:tc>
          <w:tcPr>
            <w:tcW w:type="dxa" w:w="3168"/>
            <w:shd w:fill="F8FBFD"/>
            <w:vAlign w:val="top"/>
            <w:tcMar>
              <w:top w:w="60" w:type="dxa"/>
              <w:start w:w="75" w:type="dxa"/>
              <w:bottom w:w="60" w:type="dxa"/>
              <w:end w:w="75" w:type="dxa"/>
            </w:tcMar>
          </w:tcPr>
          <w:p>
            <w:pPr>
              <w:spacing w:after="0" w:line="240" w:lineRule="auto"/>
            </w:pPr>
            <w:r/>
            <w:r>
              <w:rPr>
                <w:rFonts w:ascii="Aptos" w:hAnsi="Aptos"/>
                <w:b w:val="0"/>
                <w:color w:val="1F1F1F"/>
                <w:sz w:val="14"/>
              </w:rPr>
              <w:t>Full oracle candidate/base 0.2187, 64/64; sparse K12 gain 1.7844 and K32 2.9565</w:t>
            </w:r>
          </w:p>
        </w:tc>
        <w:tc>
          <w:tcPr>
            <w:tcW w:type="dxa" w:w="2880"/>
            <w:shd w:fill="F8FBFD"/>
            <w:vAlign w:val="top"/>
            <w:tcMar>
              <w:top w:w="60" w:type="dxa"/>
              <w:start w:w="75" w:type="dxa"/>
              <w:bottom w:w="60" w:type="dxa"/>
              <w:end w:w="75" w:type="dxa"/>
            </w:tcMar>
          </w:tcPr>
          <w:p>
            <w:pPr>
              <w:spacing w:after="0" w:line="240" w:lineRule="auto"/>
            </w:pPr>
            <w:r/>
            <w:r>
              <w:rPr>
                <w:rFonts w:ascii="Aptos" w:hAnsi="Aptos"/>
                <w:b w:val="0"/>
                <w:color w:val="1F1F1F"/>
                <w:sz w:val="14"/>
              </w:rPr>
              <w:t>Sparse support is target-aware N=8; signed deployable coefficient missing</w:t>
            </w:r>
          </w:p>
        </w:tc>
        <w:tc>
          <w:tcPr>
            <w:tcW w:type="dxa" w:w="3024"/>
            <w:shd w:fill="F8FBFD"/>
            <w:vAlign w:val="top"/>
            <w:tcMar>
              <w:top w:w="60" w:type="dxa"/>
              <w:start w:w="75" w:type="dxa"/>
              <w:bottom w:w="60" w:type="dxa"/>
              <w:end w:w="75" w:type="dxa"/>
            </w:tcMar>
          </w:tcPr>
          <w:p>
            <w:pPr>
              <w:spacing w:after="0" w:line="240" w:lineRule="auto"/>
            </w:pPr>
            <w:r/>
            <w:r>
              <w:rPr>
                <w:rFonts w:ascii="Aptos" w:hAnsi="Aptos"/>
                <w:b w:val="0"/>
                <w:color w:val="1F1F1F"/>
                <w:sz w:val="14"/>
              </w:rPr>
              <w:t>Freeze target-free support and independent sign estimator</w:t>
            </w:r>
          </w:p>
        </w:tc>
      </w:tr>
      <w:tr>
        <w:trPr>
          <w:cantSplit w:val="true"/>
        </w:trPr>
        <w:tc>
          <w:tcPr>
            <w:tcW w:type="dxa" w:w="1800"/>
            <w:vAlign w:val="top"/>
            <w:tcMar>
              <w:top w:w="60" w:type="dxa"/>
              <w:start w:w="75" w:type="dxa"/>
              <w:bottom w:w="60" w:type="dxa"/>
              <w:end w:w="75" w:type="dxa"/>
            </w:tcMar>
          </w:tcPr>
          <w:p>
            <w:pPr>
              <w:spacing w:after="0" w:line="240" w:lineRule="auto"/>
            </w:pPr>
            <w:r/>
            <w:r>
              <w:rPr>
                <w:rFonts w:ascii="Aptos" w:hAnsi="Aptos"/>
                <w:b w:val="0"/>
                <w:color w:val="1F1F1F"/>
                <w:sz w:val="14"/>
              </w:rPr>
              <w:t>Sparse cubic</w:t>
            </w:r>
          </w:p>
        </w:tc>
        <w:tc>
          <w:tcPr>
            <w:tcW w:type="dxa" w:w="1944"/>
            <w:vAlign w:val="top"/>
            <w:tcMar>
              <w:top w:w="60" w:type="dxa"/>
              <w:start w:w="75" w:type="dxa"/>
              <w:bottom w:w="60" w:type="dxa"/>
              <w:end w:w="75" w:type="dxa"/>
            </w:tcMar>
          </w:tcPr>
          <w:p>
            <w:pPr>
              <w:spacing w:after="0" w:line="240" w:lineRule="auto"/>
            </w:pPr>
            <w:r/>
            <w:r>
              <w:rPr>
                <w:rFonts w:ascii="Aptos" w:hAnsi="Aptos"/>
                <w:b w:val="0"/>
                <w:color w:val="1F1F1F"/>
                <w:sz w:val="14"/>
              </w:rPr>
              <w:t>Leading unvalidated ceiling</w:t>
            </w:r>
          </w:p>
        </w:tc>
        <w:tc>
          <w:tcPr>
            <w:tcW w:type="dxa" w:w="3168"/>
            <w:vAlign w:val="top"/>
            <w:tcMar>
              <w:top w:w="60" w:type="dxa"/>
              <w:start w:w="75" w:type="dxa"/>
              <w:bottom w:w="60" w:type="dxa"/>
              <w:end w:w="75" w:type="dxa"/>
            </w:tcMar>
          </w:tcPr>
          <w:p>
            <w:pPr>
              <w:spacing w:after="0" w:line="240" w:lineRule="auto"/>
            </w:pPr>
            <w:r/>
            <w:r>
              <w:rPr>
                <w:rFonts w:ascii="Aptos" w:hAnsi="Aptos"/>
                <w:b w:val="0"/>
                <w:color w:val="1F1F1F"/>
                <w:sz w:val="14"/>
              </w:rPr>
              <w:t>128-probe 0.190 claim on N=8; oracle-state rank4 c21 0.5993 on 16/16</w:t>
            </w:r>
          </w:p>
        </w:tc>
        <w:tc>
          <w:tcPr>
            <w:tcW w:type="dxa" w:w="2880"/>
            <w:vAlign w:val="top"/>
            <w:tcMar>
              <w:top w:w="60" w:type="dxa"/>
              <w:start w:w="75" w:type="dxa"/>
              <w:bottom w:w="60" w:type="dxa"/>
              <w:end w:w="75" w:type="dxa"/>
            </w:tcMar>
          </w:tcPr>
          <w:p>
            <w:pPr>
              <w:spacing w:after="0" w:line="240" w:lineRule="auto"/>
            </w:pPr>
            <w:r/>
            <w:r>
              <w:rPr>
                <w:rFonts w:ascii="Aptos" w:hAnsi="Aptos"/>
                <w:b w:val="0"/>
                <w:color w:val="1F1F1F"/>
                <w:sz w:val="14"/>
              </w:rPr>
              <w:t>Frozen sparse assets missing; anchor unavailable</w:t>
            </w:r>
          </w:p>
        </w:tc>
        <w:tc>
          <w:tcPr>
            <w:tcW w:type="dxa" w:w="3024"/>
            <w:vAlign w:val="top"/>
            <w:tcMar>
              <w:top w:w="60" w:type="dxa"/>
              <w:start w:w="75" w:type="dxa"/>
              <w:bottom w:w="60" w:type="dxa"/>
              <w:end w:w="75" w:type="dxa"/>
            </w:tcMar>
          </w:tcPr>
          <w:p>
            <w:pPr>
              <w:spacing w:after="0" w:line="240" w:lineRule="auto"/>
            </w:pPr>
            <w:r/>
            <w:r>
              <w:rPr>
                <w:rFonts w:ascii="Aptos" w:hAnsi="Aptos"/>
                <w:b w:val="0"/>
                <w:color w:val="1F1F1F"/>
                <w:sz w:val="14"/>
              </w:rPr>
              <w:t>New exact-anchor validation, then center/cubic ablation</w:t>
            </w:r>
          </w:p>
        </w:tc>
      </w:tr>
      <w:tr>
        <w:trPr>
          <w:cantSplit w:val="true"/>
        </w:trPr>
        <w:tc>
          <w:tcPr>
            <w:tcW w:type="dxa" w:w="1800"/>
            <w:shd w:fill="F8FBFD"/>
            <w:vAlign w:val="top"/>
            <w:tcMar>
              <w:top w:w="60" w:type="dxa"/>
              <w:start w:w="75" w:type="dxa"/>
              <w:bottom w:w="60" w:type="dxa"/>
              <w:end w:w="75" w:type="dxa"/>
            </w:tcMar>
          </w:tcPr>
          <w:p>
            <w:pPr>
              <w:spacing w:after="0" w:line="240" w:lineRule="auto"/>
            </w:pPr>
            <w:r/>
            <w:r>
              <w:rPr>
                <w:rFonts w:ascii="Aptos" w:hAnsi="Aptos"/>
                <w:b w:val="0"/>
                <w:color w:val="1F1F1F"/>
                <w:sz w:val="14"/>
              </w:rPr>
              <w:t>Adjoint K3</w:t>
            </w:r>
          </w:p>
        </w:tc>
        <w:tc>
          <w:tcPr>
            <w:tcW w:type="dxa" w:w="1944"/>
            <w:shd w:fill="F8FBFD"/>
            <w:vAlign w:val="top"/>
            <w:tcMar>
              <w:top w:w="60" w:type="dxa"/>
              <w:start w:w="75" w:type="dxa"/>
              <w:bottom w:w="60" w:type="dxa"/>
              <w:end w:w="75" w:type="dxa"/>
            </w:tcMar>
          </w:tcPr>
          <w:p>
            <w:pPr>
              <w:spacing w:after="0" w:line="240" w:lineRule="auto"/>
            </w:pPr>
            <w:r/>
            <w:r>
              <w:rPr>
                <w:rFonts w:ascii="Aptos" w:hAnsi="Aptos"/>
                <w:b w:val="0"/>
                <w:color w:val="1F1F1F"/>
                <w:sz w:val="14"/>
              </w:rPr>
              <w:t>Implementation validated, source open</w:t>
            </w:r>
          </w:p>
        </w:tc>
        <w:tc>
          <w:tcPr>
            <w:tcW w:type="dxa" w:w="3168"/>
            <w:shd w:fill="F8FBFD"/>
            <w:vAlign w:val="top"/>
            <w:tcMar>
              <w:top w:w="60" w:type="dxa"/>
              <w:start w:w="75" w:type="dxa"/>
              <w:bottom w:w="60" w:type="dxa"/>
              <w:end w:w="75" w:type="dxa"/>
            </w:tcMar>
          </w:tcPr>
          <w:p>
            <w:pPr>
              <w:spacing w:after="0" w:line="240" w:lineRule="auto"/>
            </w:pPr>
            <w:r/>
            <w:r>
              <w:rPr>
                <w:rFonts w:ascii="Aptos" w:hAnsi="Aptos"/>
                <w:b w:val="0"/>
                <w:color w:val="1F1F1F"/>
                <w:sz w:val="14"/>
              </w:rPr>
              <w:t>q32 layer24: 2.31% factorized error at ~10.3B; q64: 0.117% at 13.34B</w:t>
            </w:r>
          </w:p>
        </w:tc>
        <w:tc>
          <w:tcPr>
            <w:tcW w:type="dxa" w:w="2880"/>
            <w:shd w:fill="F8FBFD"/>
            <w:vAlign w:val="top"/>
            <w:tcMar>
              <w:top w:w="60" w:type="dxa"/>
              <w:start w:w="75" w:type="dxa"/>
              <w:bottom w:w="60" w:type="dxa"/>
              <w:end w:w="75" w:type="dxa"/>
            </w:tcMar>
          </w:tcPr>
          <w:p>
            <w:pPr>
              <w:spacing w:after="0" w:line="240" w:lineRule="auto"/>
            </w:pPr>
            <w:r/>
            <w:r>
              <w:rPr>
                <w:rFonts w:ascii="Aptos" w:hAnsi="Aptos"/>
                <w:b w:val="0"/>
                <w:color w:val="1F1F1F"/>
                <w:sz w:val="14"/>
              </w:rPr>
              <w:t>q32 remains ~31% from oracle; source closures failed</w:t>
            </w:r>
          </w:p>
        </w:tc>
        <w:tc>
          <w:tcPr>
            <w:tcW w:type="dxa" w:w="3024"/>
            <w:shd w:fill="F8FBFD"/>
            <w:vAlign w:val="top"/>
            <w:tcMar>
              <w:top w:w="60" w:type="dxa"/>
              <w:start w:w="75" w:type="dxa"/>
              <w:bottom w:w="60" w:type="dxa"/>
              <w:end w:w="75" w:type="dxa"/>
            </w:tcMar>
          </w:tcPr>
          <w:p>
            <w:pPr>
              <w:spacing w:after="0" w:line="240" w:lineRule="auto"/>
            </w:pPr>
            <w:r/>
            <w:r>
              <w:rPr>
                <w:rFonts w:ascii="Aptos" w:hAnsi="Aptos"/>
                <w:b w:val="0"/>
                <w:color w:val="1F1F1F"/>
                <w:sz w:val="14"/>
              </w:rPr>
              <w:t>Real source-layer attribution and independently centered source</w:t>
            </w:r>
          </w:p>
        </w:tc>
      </w:tr>
      <w:tr>
        <w:trPr>
          <w:cantSplit w:val="true"/>
        </w:trPr>
        <w:tc>
          <w:tcPr>
            <w:tcW w:type="dxa" w:w="1800"/>
            <w:vAlign w:val="top"/>
            <w:tcMar>
              <w:top w:w="60" w:type="dxa"/>
              <w:start w:w="75" w:type="dxa"/>
              <w:bottom w:w="60" w:type="dxa"/>
              <w:end w:w="75" w:type="dxa"/>
            </w:tcMar>
          </w:tcPr>
          <w:p>
            <w:pPr>
              <w:spacing w:after="0" w:line="240" w:lineRule="auto"/>
            </w:pPr>
            <w:r/>
            <w:r>
              <w:rPr>
                <w:rFonts w:ascii="Aptos" w:hAnsi="Aptos"/>
                <w:b w:val="0"/>
                <w:color w:val="1F1F1F"/>
                <w:sz w:val="14"/>
              </w:rPr>
              <w:t>Micro-cubature</w:t>
            </w:r>
          </w:p>
        </w:tc>
        <w:tc>
          <w:tcPr>
            <w:tcW w:type="dxa" w:w="1944"/>
            <w:vAlign w:val="top"/>
            <w:tcMar>
              <w:top w:w="60" w:type="dxa"/>
              <w:start w:w="75" w:type="dxa"/>
              <w:bottom w:w="60" w:type="dxa"/>
              <w:end w:w="75" w:type="dxa"/>
            </w:tcMar>
          </w:tcPr>
          <w:p>
            <w:pPr>
              <w:spacing w:after="0" w:line="240" w:lineRule="auto"/>
            </w:pPr>
            <w:r/>
            <w:r>
              <w:rPr>
                <w:rFonts w:ascii="Aptos" w:hAnsi="Aptos"/>
                <w:b w:val="0"/>
                <w:color w:val="1F1F1F"/>
                <w:sz w:val="14"/>
              </w:rPr>
              <w:t>Open bounded after attribution</w:t>
            </w:r>
          </w:p>
        </w:tc>
        <w:tc>
          <w:tcPr>
            <w:tcW w:type="dxa" w:w="3168"/>
            <w:vAlign w:val="top"/>
            <w:tcMar>
              <w:top w:w="60" w:type="dxa"/>
              <w:start w:w="75" w:type="dxa"/>
              <w:bottom w:w="60" w:type="dxa"/>
              <w:end w:w="75" w:type="dxa"/>
            </w:tcMar>
          </w:tcPr>
          <w:p>
            <w:pPr>
              <w:spacing w:after="0" w:line="240" w:lineRule="auto"/>
            </w:pPr>
            <w:r/>
            <w:r>
              <w:rPr>
                <w:rFonts w:ascii="Aptos" w:hAnsi="Aptos"/>
                <w:b w:val="0"/>
                <w:color w:val="1F1F1F"/>
                <w:sz w:val="14"/>
              </w:rPr>
              <w:t>Synthetic externally centered transport only</w:t>
            </w:r>
          </w:p>
        </w:tc>
        <w:tc>
          <w:tcPr>
            <w:tcW w:type="dxa" w:w="2880"/>
            <w:vAlign w:val="top"/>
            <w:tcMar>
              <w:top w:w="60" w:type="dxa"/>
              <w:start w:w="75" w:type="dxa"/>
              <w:bottom w:w="60" w:type="dxa"/>
              <w:end w:w="75" w:type="dxa"/>
            </w:tcMar>
          </w:tcPr>
          <w:p>
            <w:pPr>
              <w:spacing w:after="0" w:line="240" w:lineRule="auto"/>
            </w:pPr>
            <w:r/>
            <w:r>
              <w:rPr>
                <w:rFonts w:ascii="Aptos" w:hAnsi="Aptos"/>
                <w:b w:val="0"/>
                <w:color w:val="1F1F1F"/>
                <w:sz w:val="14"/>
              </w:rPr>
              <w:t>Toy short-suffix localization was unfavorable; real M83 tolerance much stricter</w:t>
            </w:r>
          </w:p>
        </w:tc>
        <w:tc>
          <w:tcPr>
            <w:tcW w:type="dxa" w:w="3024"/>
            <w:vAlign w:val="top"/>
            <w:tcMar>
              <w:top w:w="60" w:type="dxa"/>
              <w:start w:w="75" w:type="dxa"/>
              <w:bottom w:w="60" w:type="dxa"/>
              <w:end w:w="75" w:type="dxa"/>
            </w:tcMar>
          </w:tcPr>
          <w:p>
            <w:pPr>
              <w:spacing w:after="0" w:line="240" w:lineRule="auto"/>
            </w:pPr>
            <w:r/>
            <w:r>
              <w:rPr>
                <w:rFonts w:ascii="Aptos" w:hAnsi="Aptos"/>
                <w:b w:val="0"/>
                <w:color w:val="1F1F1F"/>
                <w:sz w:val="14"/>
              </w:rPr>
              <w:t>One frozen configuration only after real rank/localization</w:t>
            </w:r>
          </w:p>
        </w:tc>
      </w:tr>
      <w:tr>
        <w:trPr>
          <w:cantSplit w:val="true"/>
        </w:trPr>
        <w:tc>
          <w:tcPr>
            <w:tcW w:type="dxa" w:w="1800"/>
            <w:shd w:fill="F8FBFD"/>
            <w:vAlign w:val="top"/>
            <w:tcMar>
              <w:top w:w="60" w:type="dxa"/>
              <w:start w:w="75" w:type="dxa"/>
              <w:bottom w:w="60" w:type="dxa"/>
              <w:end w:w="75" w:type="dxa"/>
            </w:tcMar>
          </w:tcPr>
          <w:p>
            <w:pPr>
              <w:spacing w:after="0" w:line="240" w:lineRule="auto"/>
            </w:pPr>
            <w:r/>
            <w:r>
              <w:rPr>
                <w:rFonts w:ascii="Aptos" w:hAnsi="Aptos"/>
                <w:b w:val="0"/>
                <w:color w:val="1F1F1F"/>
                <w:sz w:val="14"/>
              </w:rPr>
              <w:t>Companion phase design</w:t>
            </w:r>
          </w:p>
        </w:tc>
        <w:tc>
          <w:tcPr>
            <w:tcW w:type="dxa" w:w="1944"/>
            <w:shd w:fill="F8FBFD"/>
            <w:vAlign w:val="top"/>
            <w:tcMar>
              <w:top w:w="60" w:type="dxa"/>
              <w:start w:w="75" w:type="dxa"/>
              <w:bottom w:w="60" w:type="dxa"/>
              <w:end w:w="75" w:type="dxa"/>
            </w:tcMar>
          </w:tcPr>
          <w:p>
            <w:pPr>
              <w:spacing w:after="0" w:line="240" w:lineRule="auto"/>
            </w:pPr>
            <w:r/>
            <w:r>
              <w:rPr>
                <w:rFonts w:ascii="Aptos" w:hAnsi="Aptos"/>
                <w:b w:val="0"/>
                <w:color w:val="1F1F1F"/>
                <w:sz w:val="14"/>
              </w:rPr>
              <w:t>Open adjacent theory</w:t>
            </w:r>
          </w:p>
        </w:tc>
        <w:tc>
          <w:tcPr>
            <w:tcW w:type="dxa" w:w="3168"/>
            <w:shd w:fill="F8FBFD"/>
            <w:vAlign w:val="top"/>
            <w:tcMar>
              <w:top w:w="60" w:type="dxa"/>
              <w:start w:w="75" w:type="dxa"/>
              <w:bottom w:w="60" w:type="dxa"/>
              <w:end w:w="75" w:type="dxa"/>
            </w:tcMar>
          </w:tcPr>
          <w:p>
            <w:pPr>
              <w:spacing w:after="0" w:line="240" w:lineRule="auto"/>
            </w:pPr>
            <w:r/>
            <w:r>
              <w:rPr>
                <w:rFonts w:ascii="Aptos" w:hAnsi="Aptos"/>
                <w:b w:val="0"/>
                <w:color w:val="1F1F1F"/>
                <w:sz w:val="14"/>
              </w:rPr>
              <w:t>Independent pilots become stable only when compute erases benefit</w:t>
            </w:r>
          </w:p>
        </w:tc>
        <w:tc>
          <w:tcPr>
            <w:tcW w:type="dxa" w:w="2880"/>
            <w:shd w:fill="F8FBFD"/>
            <w:vAlign w:val="top"/>
            <w:tcMar>
              <w:top w:w="60" w:type="dxa"/>
              <w:start w:w="75" w:type="dxa"/>
              <w:bottom w:w="60" w:type="dxa"/>
              <w:end w:w="75" w:type="dxa"/>
            </w:tcMar>
          </w:tcPr>
          <w:p>
            <w:pPr>
              <w:spacing w:after="0" w:line="240" w:lineRule="auto"/>
            </w:pPr>
            <w:r/>
            <w:r>
              <w:rPr>
                <w:rFonts w:ascii="Aptos" w:hAnsi="Aptos"/>
                <w:b w:val="0"/>
                <w:color w:val="1F1F1F"/>
                <w:sz w:val="14"/>
              </w:rPr>
              <w:t>No shared-arithmetic implementation exists</w:t>
            </w:r>
          </w:p>
        </w:tc>
        <w:tc>
          <w:tcPr>
            <w:tcW w:type="dxa" w:w="3024"/>
            <w:shd w:fill="F8FBFD"/>
            <w:vAlign w:val="top"/>
            <w:tcMar>
              <w:top w:w="60" w:type="dxa"/>
              <w:start w:w="75" w:type="dxa"/>
              <w:bottom w:w="60" w:type="dxa"/>
              <w:end w:w="75" w:type="dxa"/>
            </w:tcMar>
          </w:tcPr>
          <w:p>
            <w:pPr>
              <w:spacing w:after="0" w:line="240" w:lineRule="auto"/>
            </w:pPr>
            <w:r/>
            <w:r>
              <w:rPr>
                <w:rFonts w:ascii="Aptos" w:hAnsi="Aptos"/>
                <w:b w:val="0"/>
                <w:color w:val="1F1F1F"/>
                <w:sz w:val="14"/>
              </w:rPr>
              <w:t>Second phase estimate with &lt;1–2% true incremental compute</w:t>
            </w:r>
          </w:p>
        </w:tc>
      </w:tr>
      <w:tr>
        <w:trPr>
          <w:cantSplit w:val="true"/>
        </w:trPr>
        <w:tc>
          <w:tcPr>
            <w:tcW w:type="dxa" w:w="1800"/>
            <w:vAlign w:val="top"/>
            <w:tcMar>
              <w:top w:w="60" w:type="dxa"/>
              <w:start w:w="75" w:type="dxa"/>
              <w:bottom w:w="60" w:type="dxa"/>
              <w:end w:w="75" w:type="dxa"/>
            </w:tcMar>
          </w:tcPr>
          <w:p>
            <w:pPr>
              <w:spacing w:after="0" w:line="240" w:lineRule="auto"/>
            </w:pPr>
            <w:r/>
            <w:r>
              <w:rPr>
                <w:rFonts w:ascii="Aptos" w:hAnsi="Aptos"/>
                <w:b w:val="0"/>
                <w:color w:val="1F1F1F"/>
                <w:sz w:val="14"/>
              </w:rPr>
              <w:t>Equivariant learning</w:t>
            </w:r>
          </w:p>
        </w:tc>
        <w:tc>
          <w:tcPr>
            <w:tcW w:type="dxa" w:w="1944"/>
            <w:vAlign w:val="top"/>
            <w:tcMar>
              <w:top w:w="60" w:type="dxa"/>
              <w:start w:w="75" w:type="dxa"/>
              <w:bottom w:w="60" w:type="dxa"/>
              <w:end w:w="75" w:type="dxa"/>
            </w:tcMar>
          </w:tcPr>
          <w:p>
            <w:pPr>
              <w:spacing w:after="0" w:line="240" w:lineRule="auto"/>
            </w:pPr>
            <w:r/>
            <w:r>
              <w:rPr>
                <w:rFonts w:ascii="Aptos" w:hAnsi="Aptos"/>
                <w:b w:val="0"/>
                <w:color w:val="1F1F1F"/>
                <w:sz w:val="14"/>
              </w:rPr>
              <w:t>Paused / one bounded width-256 test</w:t>
            </w:r>
          </w:p>
        </w:tc>
        <w:tc>
          <w:tcPr>
            <w:tcW w:type="dxa" w:w="3168"/>
            <w:vAlign w:val="top"/>
            <w:tcMar>
              <w:top w:w="60" w:type="dxa"/>
              <w:start w:w="75" w:type="dxa"/>
              <w:bottom w:w="60" w:type="dxa"/>
              <w:end w:w="75" w:type="dxa"/>
            </w:tcMar>
          </w:tcPr>
          <w:p>
            <w:pPr>
              <w:spacing w:after="0" w:line="240" w:lineRule="auto"/>
            </w:pPr>
            <w:r/>
            <w:r>
              <w:rPr>
                <w:rFonts w:ascii="Aptos" w:hAnsi="Aptos"/>
                <w:b w:val="0"/>
                <w:color w:val="1F1F1F"/>
                <w:sz w:val="14"/>
              </w:rPr>
              <w:t>Best reduced-width phase encoder gain 1.01142; replay break-even 1.03125</w:t>
            </w:r>
          </w:p>
        </w:tc>
        <w:tc>
          <w:tcPr>
            <w:tcW w:type="dxa" w:w="2880"/>
            <w:vAlign w:val="top"/>
            <w:tcMar>
              <w:top w:w="60" w:type="dxa"/>
              <w:start w:w="75" w:type="dxa"/>
              <w:bottom w:w="60" w:type="dxa"/>
              <w:end w:w="75" w:type="dxa"/>
            </w:tcMar>
          </w:tcPr>
          <w:p>
            <w:pPr>
              <w:spacing w:after="0" w:line="240" w:lineRule="auto"/>
            </w:pPr>
            <w:r/>
            <w:r>
              <w:rPr>
                <w:rFonts w:ascii="Aptos" w:hAnsi="Aptos"/>
                <w:b w:val="0"/>
                <w:color w:val="1F1F1F"/>
                <w:sz w:val="14"/>
              </w:rPr>
              <w:t>Wrong width, tail 6.12; broad models narrowed, not universally closed</w:t>
            </w:r>
          </w:p>
        </w:tc>
        <w:tc>
          <w:tcPr>
            <w:tcW w:type="dxa" w:w="3024"/>
            <w:vAlign w:val="top"/>
            <w:tcMar>
              <w:top w:w="60" w:type="dxa"/>
              <w:start w:w="75" w:type="dxa"/>
              <w:bottom w:w="60" w:type="dxa"/>
              <w:end w:w="75" w:type="dxa"/>
            </w:tcMar>
          </w:tcPr>
          <w:p>
            <w:pPr>
              <w:spacing w:after="0" w:line="240" w:lineRule="auto"/>
            </w:pPr>
            <w:r/>
            <w:r>
              <w:rPr>
                <w:rFonts w:ascii="Aptos" w:hAnsi="Aptos"/>
                <w:b w:val="0"/>
                <w:color w:val="1F1F1F"/>
                <w:sz w:val="14"/>
              </w:rPr>
              <w:t>Grouped width-256 edge-DWS after target freeze</w:t>
            </w:r>
          </w:p>
        </w:tc>
      </w:tr>
      <w:tr>
        <w:trPr>
          <w:cantSplit w:val="true"/>
        </w:trPr>
        <w:tc>
          <w:tcPr>
            <w:tcW w:type="dxa" w:w="1800"/>
            <w:shd w:fill="F8FBFD"/>
            <w:vAlign w:val="top"/>
            <w:tcMar>
              <w:top w:w="60" w:type="dxa"/>
              <w:start w:w="75" w:type="dxa"/>
              <w:bottom w:w="60" w:type="dxa"/>
              <w:end w:w="75" w:type="dxa"/>
            </w:tcMar>
          </w:tcPr>
          <w:p>
            <w:pPr>
              <w:spacing w:after="0" w:line="240" w:lineRule="auto"/>
            </w:pPr>
            <w:r/>
            <w:r>
              <w:rPr>
                <w:rFonts w:ascii="Aptos" w:hAnsi="Aptos"/>
                <w:b w:val="0"/>
                <w:color w:val="1F1F1F"/>
                <w:sz w:val="14"/>
              </w:rPr>
              <w:t>Network-specific coreset</w:t>
            </w:r>
          </w:p>
        </w:tc>
        <w:tc>
          <w:tcPr>
            <w:tcW w:type="dxa" w:w="1944"/>
            <w:shd w:fill="F8FBFD"/>
            <w:vAlign w:val="top"/>
            <w:tcMar>
              <w:top w:w="60" w:type="dxa"/>
              <w:start w:w="75" w:type="dxa"/>
              <w:bottom w:w="60" w:type="dxa"/>
              <w:end w:w="75" w:type="dxa"/>
            </w:tcMar>
          </w:tcPr>
          <w:p>
            <w:pPr>
              <w:spacing w:after="0" w:line="240" w:lineRule="auto"/>
            </w:pPr>
            <w:r/>
            <w:r>
              <w:rPr>
                <w:rFonts w:ascii="Aptos" w:hAnsi="Aptos"/>
                <w:b w:val="0"/>
                <w:color w:val="1F1F1F"/>
                <w:sz w:val="14"/>
              </w:rPr>
              <w:t>K2 tested form closed; broad class paused</w:t>
            </w:r>
          </w:p>
        </w:tc>
        <w:tc>
          <w:tcPr>
            <w:tcW w:type="dxa" w:w="3168"/>
            <w:shd w:fill="F8FBFD"/>
            <w:vAlign w:val="top"/>
            <w:tcMar>
              <w:top w:w="60" w:type="dxa"/>
              <w:start w:w="75" w:type="dxa"/>
              <w:bottom w:w="60" w:type="dxa"/>
              <w:end w:w="75" w:type="dxa"/>
            </w:tcMar>
          </w:tcPr>
          <w:p>
            <w:pPr>
              <w:spacing w:after="0" w:line="240" w:lineRule="auto"/>
            </w:pPr>
            <w:r/>
            <w:r>
              <w:rPr>
                <w:rFonts w:ascii="Aptos" w:hAnsi="Aptos"/>
                <w:b w:val="0"/>
                <w:color w:val="1F1F1F"/>
                <w:sz w:val="14"/>
              </w:rPr>
              <w:t>Oracle support 2.391e-9 added MSE; deployable K2 1.282e-7</w:t>
            </w:r>
          </w:p>
        </w:tc>
        <w:tc>
          <w:tcPr>
            <w:tcW w:type="dxa" w:w="2880"/>
            <w:shd w:fill="F8FBFD"/>
            <w:vAlign w:val="top"/>
            <w:tcMar>
              <w:top w:w="60" w:type="dxa"/>
              <w:start w:w="75" w:type="dxa"/>
              <w:bottom w:w="60" w:type="dxa"/>
              <w:end w:w="75" w:type="dxa"/>
            </w:tcMar>
          </w:tcPr>
          <w:p>
            <w:pPr>
              <w:spacing w:after="0" w:line="240" w:lineRule="auto"/>
            </w:pPr>
            <w:r/>
            <w:r>
              <w:rPr>
                <w:rFonts w:ascii="Aptos" w:hAnsi="Aptos"/>
                <w:b w:val="0"/>
                <w:color w:val="1F1F1F"/>
                <w:sz w:val="14"/>
              </w:rPr>
              <w:t>Exact geometry synthetic N=20; protected holdouts unopened</w:t>
            </w:r>
          </w:p>
        </w:tc>
        <w:tc>
          <w:tcPr>
            <w:tcW w:type="dxa" w:w="3024"/>
            <w:shd w:fill="F8FBFD"/>
            <w:vAlign w:val="top"/>
            <w:tcMar>
              <w:top w:w="60" w:type="dxa"/>
              <w:start w:w="75" w:type="dxa"/>
              <w:bottom w:w="60" w:type="dxa"/>
              <w:end w:w="75" w:type="dxa"/>
            </w:tcMar>
          </w:tcPr>
          <w:p>
            <w:pPr>
              <w:spacing w:after="0" w:line="240" w:lineRule="auto"/>
            </w:pPr>
            <w:r/>
            <w:r>
              <w:rPr>
                <w:rFonts w:ascii="Aptos" w:hAnsi="Aptos"/>
                <w:b w:val="0"/>
                <w:color w:val="1F1F1F"/>
                <w:sz w:val="14"/>
              </w:rPr>
              <w:t>New proxy-to-oracle support evidence or matched stronger local method</w:t>
            </w:r>
          </w:p>
        </w:tc>
      </w:tr>
      <w:tr>
        <w:trPr>
          <w:cantSplit w:val="true"/>
        </w:trPr>
        <w:tc>
          <w:tcPr>
            <w:tcW w:type="dxa" w:w="1800"/>
            <w:vAlign w:val="top"/>
            <w:tcMar>
              <w:top w:w="60" w:type="dxa"/>
              <w:start w:w="75" w:type="dxa"/>
              <w:bottom w:w="60" w:type="dxa"/>
              <w:end w:w="75" w:type="dxa"/>
            </w:tcMar>
          </w:tcPr>
          <w:p>
            <w:pPr>
              <w:spacing w:after="0" w:line="240" w:lineRule="auto"/>
            </w:pPr>
            <w:r/>
            <w:r>
              <w:rPr>
                <w:rFonts w:ascii="Aptos" w:hAnsi="Aptos"/>
                <w:b w:val="0"/>
                <w:color w:val="1F1F1F"/>
                <w:sz w:val="14"/>
              </w:rPr>
              <w:t>Activation-region / phase stats</w:t>
            </w:r>
          </w:p>
        </w:tc>
        <w:tc>
          <w:tcPr>
            <w:tcW w:type="dxa" w:w="1944"/>
            <w:vAlign w:val="top"/>
            <w:tcMar>
              <w:top w:w="60" w:type="dxa"/>
              <w:start w:w="75" w:type="dxa"/>
              <w:bottom w:w="60" w:type="dxa"/>
              <w:end w:w="75" w:type="dxa"/>
            </w:tcMar>
          </w:tcPr>
          <w:p>
            <w:pPr>
              <w:spacing w:after="0" w:line="240" w:lineRule="auto"/>
            </w:pPr>
            <w:r/>
            <w:r>
              <w:rPr>
                <w:rFonts w:ascii="Aptos" w:hAnsi="Aptos"/>
                <w:b w:val="0"/>
                <w:color w:val="1F1F1F"/>
                <w:sz w:val="14"/>
              </w:rPr>
              <w:t>Closed tested forms</w:t>
            </w:r>
          </w:p>
        </w:tc>
        <w:tc>
          <w:tcPr>
            <w:tcW w:type="dxa" w:w="3168"/>
            <w:vAlign w:val="top"/>
            <w:tcMar>
              <w:top w:w="60" w:type="dxa"/>
              <w:start w:w="75" w:type="dxa"/>
              <w:bottom w:w="60" w:type="dxa"/>
              <w:end w:w="75" w:type="dxa"/>
            </w:tcMar>
          </w:tcPr>
          <w:p>
            <w:pPr>
              <w:spacing w:after="0" w:line="240" w:lineRule="auto"/>
            </w:pPr>
            <w:r/>
            <w:r>
              <w:rPr>
                <w:rFonts w:ascii="Aptos" w:hAnsi="Aptos"/>
                <w:b w:val="0"/>
                <w:color w:val="1F1F1F"/>
                <w:sz w:val="14"/>
              </w:rPr>
              <w:t>Residual CV candidate/base 1.0112 on frozen 24; learned phase statistics ~1.000</w:t>
            </w:r>
          </w:p>
        </w:tc>
        <w:tc>
          <w:tcPr>
            <w:tcW w:type="dxa" w:w="2880"/>
            <w:vAlign w:val="top"/>
            <w:tcMar>
              <w:top w:w="60" w:type="dxa"/>
              <w:start w:w="75" w:type="dxa"/>
              <w:bottom w:w="60" w:type="dxa"/>
              <w:end w:w="75" w:type="dxa"/>
            </w:tcMar>
          </w:tcPr>
          <w:p>
            <w:pPr>
              <w:spacing w:after="0" w:line="240" w:lineRule="auto"/>
            </w:pPr>
            <w:r/>
            <w:r>
              <w:rPr>
                <w:rFonts w:ascii="Aptos" w:hAnsi="Aptos"/>
                <w:b w:val="0"/>
                <w:color w:val="1F1F1F"/>
                <w:sz w:val="14"/>
              </w:rPr>
              <w:t>Sparse-coordinate oracle is retained</w:t>
            </w:r>
          </w:p>
        </w:tc>
        <w:tc>
          <w:tcPr>
            <w:tcW w:type="dxa" w:w="3024"/>
            <w:vAlign w:val="top"/>
            <w:tcMar>
              <w:top w:w="60" w:type="dxa"/>
              <w:start w:w="75" w:type="dxa"/>
              <w:bottom w:w="60" w:type="dxa"/>
              <w:end w:w="75" w:type="dxa"/>
            </w:tcMar>
          </w:tcPr>
          <w:p>
            <w:pPr>
              <w:spacing w:after="0" w:line="240" w:lineRule="auto"/>
            </w:pPr>
            <w:r/>
            <w:r>
              <w:rPr>
                <w:rFonts w:ascii="Aptos" w:hAnsi="Aptos"/>
                <w:b w:val="0"/>
                <w:color w:val="1F1F1F"/>
                <w:sz w:val="14"/>
              </w:rPr>
              <w:t>No more orthant/gate tuning</w:t>
            </w:r>
          </w:p>
        </w:tc>
      </w:tr>
      <w:tr>
        <w:trPr>
          <w:cantSplit w:val="true"/>
        </w:trPr>
        <w:tc>
          <w:tcPr>
            <w:tcW w:type="dxa" w:w="1800"/>
            <w:shd w:fill="F8FBFD"/>
            <w:vAlign w:val="top"/>
            <w:tcMar>
              <w:top w:w="60" w:type="dxa"/>
              <w:start w:w="75" w:type="dxa"/>
              <w:bottom w:w="60" w:type="dxa"/>
              <w:end w:w="75" w:type="dxa"/>
            </w:tcMar>
          </w:tcPr>
          <w:p>
            <w:pPr>
              <w:spacing w:after="0" w:line="240" w:lineRule="auto"/>
            </w:pPr>
            <w:r/>
            <w:r>
              <w:rPr>
                <w:rFonts w:ascii="Aptos" w:hAnsi="Aptos"/>
                <w:b w:val="0"/>
                <w:color w:val="1F1F1F"/>
                <w:sz w:val="14"/>
              </w:rPr>
              <w:t>Stable-gate MLMC</w:t>
            </w:r>
          </w:p>
        </w:tc>
        <w:tc>
          <w:tcPr>
            <w:tcW w:type="dxa" w:w="1944"/>
            <w:shd w:fill="F8FBFD"/>
            <w:vAlign w:val="top"/>
            <w:tcMar>
              <w:top w:w="60" w:type="dxa"/>
              <w:start w:w="75" w:type="dxa"/>
              <w:bottom w:w="60" w:type="dxa"/>
              <w:end w:w="75" w:type="dxa"/>
            </w:tcMar>
          </w:tcPr>
          <w:p>
            <w:pPr>
              <w:spacing w:after="0" w:line="240" w:lineRule="auto"/>
            </w:pPr>
            <w:r/>
            <w:r>
              <w:rPr>
                <w:rFonts w:ascii="Aptos" w:hAnsi="Aptos"/>
                <w:b w:val="0"/>
                <w:color w:val="1F1F1F"/>
                <w:sz w:val="14"/>
              </w:rPr>
              <w:t>Closed statistically</w:t>
            </w:r>
          </w:p>
        </w:tc>
        <w:tc>
          <w:tcPr>
            <w:tcW w:type="dxa" w:w="3168"/>
            <w:shd w:fill="F8FBFD"/>
            <w:vAlign w:val="top"/>
            <w:tcMar>
              <w:top w:w="60" w:type="dxa"/>
              <w:start w:w="75" w:type="dxa"/>
              <w:bottom w:w="60" w:type="dxa"/>
              <w:end w:w="75" w:type="dxa"/>
            </w:tcMar>
          </w:tcPr>
          <w:p>
            <w:pPr>
              <w:spacing w:after="0" w:line="240" w:lineRule="auto"/>
            </w:pPr>
            <w:r/>
            <w:r>
              <w:rPr>
                <w:rFonts w:ascii="Aptos" w:hAnsi="Aptos"/>
                <w:b w:val="0"/>
                <w:color w:val="1F1F1F"/>
                <w:sz w:val="14"/>
              </w:rPr>
              <w:t>Candidate/base 1.2645 despite correlation 0.99944</w:t>
            </w:r>
          </w:p>
        </w:tc>
        <w:tc>
          <w:tcPr>
            <w:tcW w:type="dxa" w:w="2880"/>
            <w:shd w:fill="F8FBFD"/>
            <w:vAlign w:val="top"/>
            <w:tcMar>
              <w:top w:w="60" w:type="dxa"/>
              <w:start w:w="75" w:type="dxa"/>
              <w:bottom w:w="60" w:type="dxa"/>
              <w:end w:w="75" w:type="dxa"/>
            </w:tcMar>
          </w:tcPr>
          <w:p>
            <w:pPr>
              <w:spacing w:after="0" w:line="240" w:lineRule="auto"/>
            </w:pPr>
            <w:r/>
            <w:r>
              <w:rPr>
                <w:rFonts w:ascii="Aptos" w:hAnsi="Aptos"/>
                <w:b w:val="0"/>
                <w:color w:val="1F1F1F"/>
                <w:sz w:val="14"/>
              </w:rPr>
              <w:t>Partial allocation destroyed complete-design cancellation</w:t>
            </w:r>
          </w:p>
        </w:tc>
        <w:tc>
          <w:tcPr>
            <w:tcW w:type="dxa" w:w="3024"/>
            <w:shd w:fill="F8FBFD"/>
            <w:vAlign w:val="top"/>
            <w:tcMar>
              <w:top w:w="60" w:type="dxa"/>
              <w:start w:w="75" w:type="dxa"/>
              <w:bottom w:w="60" w:type="dxa"/>
              <w:end w:w="75" w:type="dxa"/>
            </w:tcMar>
          </w:tcPr>
          <w:p>
            <w:pPr>
              <w:spacing w:after="0" w:line="240" w:lineRule="auto"/>
            </w:pPr>
            <w:r/>
            <w:r>
              <w:rPr>
                <w:rFonts w:ascii="Aptos" w:hAnsi="Aptos"/>
                <w:b w:val="0"/>
                <w:color w:val="1F1F1F"/>
                <w:sz w:val="14"/>
              </w:rPr>
              <w:t>Compiler arithmetic only</w:t>
            </w:r>
          </w:p>
        </w:tc>
      </w:tr>
      <w:tr>
        <w:trPr>
          <w:cantSplit w:val="true"/>
        </w:trPr>
        <w:tc>
          <w:tcPr>
            <w:tcW w:type="dxa" w:w="1800"/>
            <w:vAlign w:val="top"/>
            <w:tcMar>
              <w:top w:w="60" w:type="dxa"/>
              <w:start w:w="75" w:type="dxa"/>
              <w:bottom w:w="60" w:type="dxa"/>
              <w:end w:w="75" w:type="dxa"/>
            </w:tcMar>
          </w:tcPr>
          <w:p>
            <w:pPr>
              <w:spacing w:after="0" w:line="240" w:lineRule="auto"/>
            </w:pPr>
            <w:r/>
            <w:r>
              <w:rPr>
                <w:rFonts w:ascii="Aptos" w:hAnsi="Aptos"/>
                <w:b w:val="0"/>
                <w:color w:val="1F1F1F"/>
                <w:sz w:val="14"/>
              </w:rPr>
              <w:t>Harmonic controls</w:t>
            </w:r>
          </w:p>
        </w:tc>
        <w:tc>
          <w:tcPr>
            <w:tcW w:type="dxa" w:w="1944"/>
            <w:vAlign w:val="top"/>
            <w:tcMar>
              <w:top w:w="60" w:type="dxa"/>
              <w:start w:w="75" w:type="dxa"/>
              <w:bottom w:w="60" w:type="dxa"/>
              <w:end w:w="75" w:type="dxa"/>
            </w:tcMar>
          </w:tcPr>
          <w:p>
            <w:pPr>
              <w:spacing w:after="0" w:line="240" w:lineRule="auto"/>
            </w:pPr>
            <w:r/>
            <w:r>
              <w:rPr>
                <w:rFonts w:ascii="Aptos" w:hAnsi="Aptos"/>
                <w:b w:val="0"/>
                <w:color w:val="1F1F1F"/>
                <w:sz w:val="14"/>
              </w:rPr>
              <w:t>Closed standalone</w:t>
            </w:r>
          </w:p>
        </w:tc>
        <w:tc>
          <w:tcPr>
            <w:tcW w:type="dxa" w:w="3168"/>
            <w:vAlign w:val="top"/>
            <w:tcMar>
              <w:top w:w="60" w:type="dxa"/>
              <w:start w:w="75" w:type="dxa"/>
              <w:bottom w:w="60" w:type="dxa"/>
              <w:end w:w="75" w:type="dxa"/>
            </w:tcMar>
          </w:tcPr>
          <w:p>
            <w:pPr>
              <w:spacing w:after="0" w:line="240" w:lineRule="auto"/>
            </w:pPr>
            <w:r/>
            <w:r>
              <w:rPr>
                <w:rFonts w:ascii="Aptos" w:hAnsi="Aptos"/>
                <w:b w:val="0"/>
                <w:color w:val="1F1F1F"/>
                <w:sz w:val="14"/>
              </w:rPr>
              <w:t>Broad frozen candidate/base 1.00444; q8 frozen 0.995, worst 1.471</w:t>
            </w:r>
          </w:p>
        </w:tc>
        <w:tc>
          <w:tcPr>
            <w:tcW w:type="dxa" w:w="2880"/>
            <w:vAlign w:val="top"/>
            <w:tcMar>
              <w:top w:w="60" w:type="dxa"/>
              <w:start w:w="75" w:type="dxa"/>
              <w:bottom w:w="60" w:type="dxa"/>
              <w:end w:w="75" w:type="dxa"/>
            </w:tcMar>
          </w:tcPr>
          <w:p>
            <w:pPr>
              <w:spacing w:after="0" w:line="240" w:lineRule="auto"/>
            </w:pPr>
            <w:r/>
            <w:r>
              <w:rPr>
                <w:rFonts w:ascii="Aptos" w:hAnsi="Aptos"/>
                <w:b w:val="0"/>
                <w:color w:val="1F1F1F"/>
                <w:sz w:val="14"/>
              </w:rPr>
              <w:t>May remain an internal exact-zero-mean feature</w:t>
            </w:r>
          </w:p>
        </w:tc>
        <w:tc>
          <w:tcPr>
            <w:tcW w:type="dxa" w:w="3024"/>
            <w:vAlign w:val="top"/>
            <w:tcMar>
              <w:top w:w="60" w:type="dxa"/>
              <w:start w:w="75" w:type="dxa"/>
              <w:bottom w:w="60" w:type="dxa"/>
              <w:end w:w="75" w:type="dxa"/>
            </w:tcMar>
          </w:tcPr>
          <w:p>
            <w:pPr>
              <w:spacing w:after="0" w:line="240" w:lineRule="auto"/>
            </w:pPr>
            <w:r/>
            <w:r>
              <w:rPr>
                <w:rFonts w:ascii="Aptos" w:hAnsi="Aptos"/>
                <w:b w:val="0"/>
                <w:color w:val="1F1F1F"/>
                <w:sz w:val="14"/>
              </w:rPr>
              <w:t>No standalone revival</w:t>
            </w:r>
          </w:p>
        </w:tc>
      </w:tr>
    </w:tbl>
    <w:p>
      <w:pPr>
        <w:spacing w:after="20"/>
      </w:pPr>
    </w:p>
    <w:p>
      <w:r>
        <w:br w:type="page"/>
      </w:r>
    </w:p>
    <w:p>
      <w:pPr>
        <w:pStyle w:val="Heading1"/>
      </w:pPr>
      <w:r>
        <w:t>4. Reconciliation audit: what was missing or misrecorded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cantSplit w:val="true"/>
        </w:trPr>
        <w:tc>
          <w:tcPr>
            <w:tcW w:type="dxa" w:w="1584"/>
            <w:shd w:fill="C65911"/>
            <w:vAlign w:val="top"/>
            <w:tcMar>
              <w:top w:w="60" w:type="dxa"/>
              <w:start w:w="75" w:type="dxa"/>
              <w:bottom w:w="60" w:type="dxa"/>
              <w:end w:w="75" w:type="dxa"/>
            </w:tcMar>
          </w:tcPr>
          <w:p>
            <w:pPr>
              <w:spacing w:after="0" w:line="240" w:lineRule="auto"/>
              <w:jc w:val="center"/>
            </w:pPr>
            <w:r/>
            <w:r>
              <w:rPr>
                <w:rFonts w:ascii="Aptos" w:hAnsi="Aptos"/>
                <w:b/>
                <w:color w:val="FFFFFF"/>
                <w:sz w:val="16"/>
              </w:rPr>
              <w:t>Issue</w:t>
            </w:r>
          </w:p>
        </w:tc>
        <w:tc>
          <w:tcPr>
            <w:tcW w:type="dxa" w:w="2448"/>
            <w:shd w:fill="C65911"/>
            <w:vAlign w:val="top"/>
            <w:tcMar>
              <w:top w:w="60" w:type="dxa"/>
              <w:start w:w="75" w:type="dxa"/>
              <w:bottom w:w="60" w:type="dxa"/>
              <w:end w:w="75" w:type="dxa"/>
            </w:tcMar>
          </w:tcPr>
          <w:p>
            <w:pPr>
              <w:spacing w:after="0" w:line="240" w:lineRule="auto"/>
              <w:jc w:val="center"/>
            </w:pPr>
            <w:r/>
            <w:r>
              <w:rPr>
                <w:rFonts w:ascii="Aptos" w:hAnsi="Aptos"/>
                <w:b/>
                <w:color w:val="FFFFFF"/>
                <w:sz w:val="16"/>
              </w:rPr>
              <w:t>Previous / ambiguous recording</w:t>
            </w:r>
          </w:p>
        </w:tc>
        <w:tc>
          <w:tcPr>
            <w:tcW w:type="dxa" w:w="3312"/>
            <w:shd w:fill="C65911"/>
            <w:vAlign w:val="top"/>
            <w:tcMar>
              <w:top w:w="60" w:type="dxa"/>
              <w:start w:w="75" w:type="dxa"/>
              <w:bottom w:w="60" w:type="dxa"/>
              <w:end w:w="75" w:type="dxa"/>
            </w:tcMar>
          </w:tcPr>
          <w:p>
            <w:pPr>
              <w:spacing w:after="0" w:line="240" w:lineRule="auto"/>
              <w:jc w:val="center"/>
            </w:pPr>
            <w:r/>
            <w:r>
              <w:rPr>
                <w:rFonts w:ascii="Aptos" w:hAnsi="Aptos"/>
                <w:b/>
                <w:color w:val="FFFFFF"/>
                <w:sz w:val="16"/>
              </w:rPr>
              <w:t>Corrected evidence</w:t>
            </w:r>
          </w:p>
        </w:tc>
        <w:tc>
          <w:tcPr>
            <w:tcW w:type="dxa" w:w="1872"/>
            <w:shd w:fill="C65911"/>
            <w:vAlign w:val="top"/>
            <w:tcMar>
              <w:top w:w="60" w:type="dxa"/>
              <w:start w:w="75" w:type="dxa"/>
              <w:bottom w:w="60" w:type="dxa"/>
              <w:end w:w="75" w:type="dxa"/>
            </w:tcMar>
          </w:tcPr>
          <w:p>
            <w:pPr>
              <w:spacing w:after="0" w:line="240" w:lineRule="auto"/>
              <w:jc w:val="center"/>
            </w:pPr>
            <w:r/>
            <w:r>
              <w:rPr>
                <w:rFonts w:ascii="Aptos" w:hAnsi="Aptos"/>
                <w:b/>
                <w:color w:val="FFFFFF"/>
                <w:sz w:val="16"/>
              </w:rPr>
              <w:t>Environment / scale</w:t>
            </w:r>
          </w:p>
        </w:tc>
        <w:tc>
          <w:tcPr>
            <w:tcW w:type="dxa" w:w="1296"/>
            <w:shd w:fill="C65911"/>
            <w:vAlign w:val="top"/>
            <w:tcMar>
              <w:top w:w="60" w:type="dxa"/>
              <w:start w:w="75" w:type="dxa"/>
              <w:bottom w:w="60" w:type="dxa"/>
              <w:end w:w="75" w:type="dxa"/>
            </w:tcMar>
          </w:tcPr>
          <w:p>
            <w:pPr>
              <w:spacing w:after="0" w:line="240" w:lineRule="auto"/>
              <w:jc w:val="center"/>
            </w:pPr>
            <w:r/>
            <w:r>
              <w:rPr>
                <w:rFonts w:ascii="Aptos" w:hAnsi="Aptos"/>
                <w:b/>
                <w:color w:val="FFFFFF"/>
                <w:sz w:val="16"/>
              </w:rPr>
              <w:t>Confidence</w:t>
            </w:r>
          </w:p>
        </w:tc>
        <w:tc>
          <w:tcPr>
            <w:tcW w:type="dxa" w:w="2736"/>
            <w:shd w:fill="C65911"/>
            <w:vAlign w:val="top"/>
            <w:tcMar>
              <w:top w:w="60" w:type="dxa"/>
              <w:start w:w="75" w:type="dxa"/>
              <w:bottom w:w="60" w:type="dxa"/>
              <w:end w:w="75" w:type="dxa"/>
            </w:tcMar>
          </w:tcPr>
          <w:p>
            <w:pPr>
              <w:spacing w:after="0" w:line="240" w:lineRule="auto"/>
              <w:jc w:val="center"/>
            </w:pPr>
            <w:r/>
            <w:r>
              <w:rPr>
                <w:rFonts w:ascii="Aptos" w:hAnsi="Aptos"/>
                <w:b/>
                <w:color w:val="FFFFFF"/>
                <w:sz w:val="16"/>
              </w:rPr>
              <w:t>Canonical correction</w:t>
            </w:r>
          </w:p>
        </w:tc>
        <w:tc>
          <w:tcPr>
            <w:tcW w:type="dxa" w:w="1872"/>
            <w:shd w:fill="C65911"/>
            <w:vAlign w:val="top"/>
            <w:tcMar>
              <w:top w:w="60" w:type="dxa"/>
              <w:start w:w="75" w:type="dxa"/>
              <w:bottom w:w="60" w:type="dxa"/>
              <w:end w:w="75" w:type="dxa"/>
            </w:tcMar>
          </w:tcPr>
          <w:p>
            <w:pPr>
              <w:spacing w:after="0" w:line="240" w:lineRule="auto"/>
              <w:jc w:val="center"/>
            </w:pPr>
            <w:r/>
            <w:r>
              <w:rPr>
                <w:rFonts w:ascii="Aptos" w:hAnsi="Aptos"/>
                <w:b/>
                <w:color w:val="FFFFFF"/>
                <w:sz w:val="16"/>
              </w:rPr>
              <w:t>Source</w:t>
            </w:r>
          </w:p>
        </w:tc>
      </w:tr>
      <w:tr>
        <w:trPr>
          <w:cantSplit w:val="true"/>
        </w:trPr>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3"/>
              </w:rPr>
              <w:t>R1 Compiler absolute projection</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3"/>
              </w:rPr>
              <w:t>Adaptive compiler listed as ~1.442e-7 best near-term score.</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1.442e-7 was calibrated from older1.473e-7 assembly-free baseline; current partial-tree row0 is~1.12e-7 but not full-suite. Relative0.97865 remains valid evidence.</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Local N=60 plus row0 checkpoint</w:t>
            </w:r>
          </w:p>
        </w:tc>
        <w:tc>
          <w:tcPr>
            <w:tcW w:type="dxa" w:w="1296"/>
            <w:vAlign w:val="top"/>
            <w:tcMar>
              <w:top w:w="60" w:type="dxa"/>
              <w:start w:w="75" w:type="dxa"/>
              <w:bottom w:w="60" w:type="dxa"/>
              <w:end w:w="75" w:type="dxa"/>
            </w:tcMar>
          </w:tcPr>
          <w:p>
            <w:pPr>
              <w:spacing w:after="0" w:line="240" w:lineRule="auto"/>
            </w:pPr>
            <w:r/>
            <w:r>
              <w:rPr>
                <w:rFonts w:ascii="Aptos" w:hAnsi="Aptos"/>
                <w:b w:val="0"/>
                <w:color w:val="1F1F1F"/>
                <w:sz w:val="13"/>
              </w:rPr>
              <w:t>High</w:t>
            </w:r>
          </w:p>
        </w:tc>
        <w:tc>
          <w:tcPr>
            <w:tcW w:type="dxa" w:w="2736"/>
            <w:vAlign w:val="top"/>
            <w:tcMar>
              <w:top w:w="60" w:type="dxa"/>
              <w:start w:w="75" w:type="dxa"/>
              <w:bottom w:w="60" w:type="dxa"/>
              <w:end w:w="75" w:type="dxa"/>
            </w:tcMar>
          </w:tcPr>
          <w:p>
            <w:pPr>
              <w:spacing w:after="0" w:line="240" w:lineRule="auto"/>
            </w:pPr>
            <w:r/>
            <w:r>
              <w:rPr>
                <w:rFonts w:ascii="Aptos" w:hAnsi="Aptos"/>
                <w:b w:val="0"/>
                <w:color w:val="1F1F1F"/>
                <w:sz w:val="13"/>
              </w:rPr>
              <w:t>Use relative ratio only; run integrated paired measurement.</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NONK3_CONTINUATION_REPORT; compendium</w:t>
            </w:r>
          </w:p>
        </w:tc>
      </w:tr>
      <w:tr>
        <w:trPr>
          <w:cantSplit w:val="true"/>
        </w:trPr>
        <w:tc>
          <w:tcPr>
            <w:tcW w:type="dxa" w:w="1584"/>
            <w:shd w:fill="F8FBFD"/>
            <w:vAlign w:val="top"/>
            <w:tcMar>
              <w:top w:w="60" w:type="dxa"/>
              <w:start w:w="75" w:type="dxa"/>
              <w:bottom w:w="60" w:type="dxa"/>
              <w:end w:w="75" w:type="dxa"/>
            </w:tcMar>
          </w:tcPr>
          <w:p>
            <w:pPr>
              <w:spacing w:after="0" w:line="240" w:lineRule="auto"/>
            </w:pPr>
            <w:r/>
            <w:r>
              <w:rPr>
                <w:rFonts w:ascii="Aptos" w:hAnsi="Aptos"/>
                <w:b w:val="0"/>
                <w:color w:val="1F1F1F"/>
                <w:sz w:val="13"/>
              </w:rPr>
              <w:t>R2 Quadratic control stale open</w:t>
            </w:r>
          </w:p>
        </w:tc>
        <w:tc>
          <w:tcPr>
            <w:tcW w:type="dxa" w:w="2448"/>
            <w:shd w:fill="F8FBFD"/>
            <w:vAlign w:val="top"/>
            <w:tcMar>
              <w:top w:w="60" w:type="dxa"/>
              <w:start w:w="75" w:type="dxa"/>
              <w:bottom w:w="60" w:type="dxa"/>
              <w:end w:w="75" w:type="dxa"/>
            </w:tcMar>
          </w:tcPr>
          <w:p>
            <w:pPr>
              <w:spacing w:after="0" w:line="240" w:lineRule="auto"/>
            </w:pPr>
            <w:r/>
            <w:r>
              <w:rPr>
                <w:rFonts w:ascii="Aptos" w:hAnsi="Aptos"/>
                <w:b w:val="0"/>
                <w:color w:val="1F1F1F"/>
                <w:sz w:val="13"/>
              </w:rPr>
              <w:t>Current State still called 4–7% exact quadratic best open non-K3 control.</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Fresh frozen N=12 reversed to candidate/base1.0188.</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Local full-width N=12</w:t>
            </w:r>
          </w:p>
        </w:tc>
        <w:tc>
          <w:tcPr>
            <w:tcW w:type="dxa" w:w="1296"/>
            <w:shd w:fill="F8FBFD"/>
            <w:vAlign w:val="top"/>
            <w:tcMar>
              <w:top w:w="60" w:type="dxa"/>
              <w:start w:w="75" w:type="dxa"/>
              <w:bottom w:w="60" w:type="dxa"/>
              <w:end w:w="75" w:type="dxa"/>
            </w:tcMar>
          </w:tcPr>
          <w:p>
            <w:pPr>
              <w:spacing w:after="0" w:line="240" w:lineRule="auto"/>
            </w:pPr>
            <w:r/>
            <w:r>
              <w:rPr>
                <w:rFonts w:ascii="Aptos" w:hAnsi="Aptos"/>
                <w:b w:val="0"/>
                <w:color w:val="1F1F1F"/>
                <w:sz w:val="13"/>
              </w:rPr>
              <w:t>High</w:t>
            </w:r>
          </w:p>
        </w:tc>
        <w:tc>
          <w:tcPr>
            <w:tcW w:type="dxa" w:w="2736"/>
            <w:shd w:fill="F8FBFD"/>
            <w:vAlign w:val="top"/>
            <w:tcMar>
              <w:top w:w="60" w:type="dxa"/>
              <w:start w:w="75" w:type="dxa"/>
              <w:bottom w:w="60" w:type="dxa"/>
              <w:end w:w="75" w:type="dxa"/>
            </w:tcMar>
          </w:tcPr>
          <w:p>
            <w:pPr>
              <w:spacing w:after="0" w:line="240" w:lineRule="auto"/>
            </w:pPr>
            <w:r/>
            <w:r>
              <w:rPr>
                <w:rFonts w:ascii="Aptos" w:hAnsi="Aptos"/>
                <w:b w:val="0"/>
                <w:color w:val="1F1F1F"/>
                <w:sz w:val="13"/>
              </w:rPr>
              <w:t>Closed.</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Ledger A31 / current-state history</w:t>
            </w:r>
          </w:p>
        </w:tc>
      </w:tr>
      <w:tr>
        <w:trPr>
          <w:cantSplit w:val="true"/>
        </w:trPr>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3"/>
              </w:rPr>
              <w:t>R3 M85 tail omitted</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3"/>
              </w:rPr>
              <w:t>Shrunk worst network listed as not reported.</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70% blend worst candidate/base1.4277; unshrunk worst1.8312.</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Local frozen N=8</w:t>
            </w:r>
          </w:p>
        </w:tc>
        <w:tc>
          <w:tcPr>
            <w:tcW w:type="dxa" w:w="1296"/>
            <w:vAlign w:val="top"/>
            <w:tcMar>
              <w:top w:w="60" w:type="dxa"/>
              <w:start w:w="75" w:type="dxa"/>
              <w:bottom w:w="60" w:type="dxa"/>
              <w:end w:w="75" w:type="dxa"/>
            </w:tcMar>
          </w:tcPr>
          <w:p>
            <w:pPr>
              <w:spacing w:after="0" w:line="240" w:lineRule="auto"/>
            </w:pPr>
            <w:r/>
            <w:r>
              <w:rPr>
                <w:rFonts w:ascii="Aptos" w:hAnsi="Aptos"/>
                <w:b w:val="0"/>
                <w:color w:val="1F1F1F"/>
                <w:sz w:val="13"/>
              </w:rPr>
              <w:t>High</w:t>
            </w:r>
          </w:p>
        </w:tc>
        <w:tc>
          <w:tcPr>
            <w:tcW w:type="dxa" w:w="2736"/>
            <w:vAlign w:val="top"/>
            <w:tcMar>
              <w:top w:w="60" w:type="dxa"/>
              <w:start w:w="75" w:type="dxa"/>
              <w:bottom w:w="60" w:type="dxa"/>
              <w:end w:w="75" w:type="dxa"/>
            </w:tcMar>
          </w:tcPr>
          <w:p>
            <w:pPr>
              <w:spacing w:after="0" w:line="240" w:lineRule="auto"/>
            </w:pPr>
            <w:r/>
            <w:r>
              <w:rPr>
                <w:rFonts w:ascii="Aptos" w:hAnsi="Aptos"/>
                <w:b w:val="0"/>
                <w:color w:val="1F1F1F"/>
                <w:sz w:val="13"/>
              </w:rPr>
              <w:t>Record tail; mechanism is real but unsafe.</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arc_code deep audit</w:t>
            </w:r>
          </w:p>
        </w:tc>
      </w:tr>
      <w:tr>
        <w:trPr>
          <w:cantSplit w:val="true"/>
        </w:trPr>
        <w:tc>
          <w:tcPr>
            <w:tcW w:type="dxa" w:w="1584"/>
            <w:shd w:fill="F8FBFD"/>
            <w:vAlign w:val="top"/>
            <w:tcMar>
              <w:top w:w="60" w:type="dxa"/>
              <w:start w:w="75" w:type="dxa"/>
              <w:bottom w:w="60" w:type="dxa"/>
              <w:end w:w="75" w:type="dxa"/>
            </w:tcMar>
          </w:tcPr>
          <w:p>
            <w:pPr>
              <w:spacing w:after="0" w:line="240" w:lineRule="auto"/>
            </w:pPr>
            <w:r/>
            <w:r>
              <w:rPr>
                <w:rFonts w:ascii="Aptos" w:hAnsi="Aptos"/>
                <w:b w:val="0"/>
                <w:color w:val="1F1F1F"/>
                <w:sz w:val="13"/>
              </w:rPr>
              <w:t>R4 Adjoint understated</w:t>
            </w:r>
          </w:p>
        </w:tc>
        <w:tc>
          <w:tcPr>
            <w:tcW w:type="dxa" w:w="2448"/>
            <w:shd w:fill="F8FBFD"/>
            <w:vAlign w:val="top"/>
            <w:tcMar>
              <w:top w:w="60" w:type="dxa"/>
              <w:start w:w="75" w:type="dxa"/>
              <w:bottom w:w="60" w:type="dxa"/>
              <w:end w:w="75" w:type="dxa"/>
            </w:tcMar>
          </w:tcPr>
          <w:p>
            <w:pPr>
              <w:spacing w:after="0" w:line="240" w:lineRule="auto"/>
            </w:pPr>
            <w:r/>
            <w:r>
              <w:rPr>
                <w:rFonts w:ascii="Aptos" w:hAnsi="Aptos"/>
                <w:b w:val="0"/>
                <w:color w:val="1F1F1F"/>
                <w:sz w:val="13"/>
              </w:rPr>
              <w:t>Recorded as analytic/sandbox proposal with 20B/&lt;10B estimate.</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Local q32 layer24 implementation has2.31% factorized error at~10.34B; q64 0.117% at13.34B. Still~31% from oracle.</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Local frozen160–167</w:t>
            </w:r>
          </w:p>
        </w:tc>
        <w:tc>
          <w:tcPr>
            <w:tcW w:type="dxa" w:w="1296"/>
            <w:shd w:fill="F8FBFD"/>
            <w:vAlign w:val="top"/>
            <w:tcMar>
              <w:top w:w="60" w:type="dxa"/>
              <w:start w:w="75" w:type="dxa"/>
              <w:bottom w:w="60" w:type="dxa"/>
              <w:end w:w="75" w:type="dxa"/>
            </w:tcMar>
          </w:tcPr>
          <w:p>
            <w:pPr>
              <w:spacing w:after="0" w:line="240" w:lineRule="auto"/>
            </w:pPr>
            <w:r/>
            <w:r>
              <w:rPr>
                <w:rFonts w:ascii="Aptos" w:hAnsi="Aptos"/>
                <w:b w:val="0"/>
                <w:color w:val="1F1F1F"/>
                <w:sz w:val="13"/>
              </w:rPr>
              <w:t>High</w:t>
            </w:r>
          </w:p>
        </w:tc>
        <w:tc>
          <w:tcPr>
            <w:tcW w:type="dxa" w:w="2736"/>
            <w:shd w:fill="F8FBFD"/>
            <w:vAlign w:val="top"/>
            <w:tcMar>
              <w:top w:w="60" w:type="dxa"/>
              <w:start w:w="75" w:type="dxa"/>
              <w:bottom w:w="60" w:type="dxa"/>
              <w:end w:w="75" w:type="dxa"/>
            </w:tcMar>
          </w:tcPr>
          <w:p>
            <w:pPr>
              <w:spacing w:after="0" w:line="240" w:lineRule="auto"/>
            </w:pPr>
            <w:r/>
            <w:r>
              <w:rPr>
                <w:rFonts w:ascii="Aptos" w:hAnsi="Aptos"/>
                <w:b w:val="0"/>
                <w:color w:val="1F1F1F"/>
                <w:sz w:val="13"/>
              </w:rPr>
              <w:t>Mark implementation validated against factorized anchor; closure remains open.</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adjoint_k3_full_holdout8.json</w:t>
            </w:r>
          </w:p>
        </w:tc>
      </w:tr>
      <w:tr>
        <w:trPr>
          <w:cantSplit w:val="true"/>
        </w:trPr>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3"/>
              </w:rPr>
              <w:t>R5 Source failures omitted</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3"/>
              </w:rPr>
              <w:t>No canonical row for local closure/source insertion failures.</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Born/Gaussian~18% factorized/~38% oracle; checkpoint sample-only1.71/1.69; direct insertion catastrophic.</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Local archive, limited blocks</w:t>
            </w:r>
          </w:p>
        </w:tc>
        <w:tc>
          <w:tcPr>
            <w:tcW w:type="dxa" w:w="1296"/>
            <w:vAlign w:val="top"/>
            <w:tcMar>
              <w:top w:w="60" w:type="dxa"/>
              <w:start w:w="75" w:type="dxa"/>
              <w:bottom w:w="60" w:type="dxa"/>
              <w:end w:w="75" w:type="dxa"/>
            </w:tcMar>
          </w:tcPr>
          <w:p>
            <w:pPr>
              <w:spacing w:after="0" w:line="240" w:lineRule="auto"/>
            </w:pPr>
            <w:r/>
            <w:r>
              <w:rPr>
                <w:rFonts w:ascii="Aptos" w:hAnsi="Aptos"/>
                <w:b w:val="0"/>
                <w:color w:val="1F1F1F"/>
                <w:sz w:val="13"/>
              </w:rPr>
              <w:t>Moderate-high</w:t>
            </w:r>
          </w:p>
        </w:tc>
        <w:tc>
          <w:tcPr>
            <w:tcW w:type="dxa" w:w="2736"/>
            <w:vAlign w:val="top"/>
            <w:tcMar>
              <w:top w:w="60" w:type="dxa"/>
              <w:start w:w="75" w:type="dxa"/>
              <w:bottom w:w="60" w:type="dxa"/>
              <w:end w:w="75" w:type="dxa"/>
            </w:tcMar>
          </w:tcPr>
          <w:p>
            <w:pPr>
              <w:spacing w:after="0" w:line="240" w:lineRule="auto"/>
            </w:pPr>
            <w:r/>
            <w:r>
              <w:rPr>
                <w:rFonts w:ascii="Aptos" w:hAnsi="Aptos"/>
                <w:b w:val="0"/>
                <w:color w:val="1F1F1F"/>
                <w:sz w:val="13"/>
              </w:rPr>
              <w:t>Add M96 and close exact tested sources.</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arc_code deep audit</w:t>
            </w:r>
          </w:p>
        </w:tc>
      </w:tr>
      <w:tr>
        <w:trPr>
          <w:cantSplit w:val="true"/>
        </w:trPr>
        <w:tc>
          <w:tcPr>
            <w:tcW w:type="dxa" w:w="1584"/>
            <w:shd w:fill="F8FBFD"/>
            <w:vAlign w:val="top"/>
            <w:tcMar>
              <w:top w:w="60" w:type="dxa"/>
              <w:start w:w="75" w:type="dxa"/>
              <w:bottom w:w="60" w:type="dxa"/>
              <w:end w:w="75" w:type="dxa"/>
            </w:tcMar>
          </w:tcPr>
          <w:p>
            <w:pPr>
              <w:spacing w:after="0" w:line="240" w:lineRule="auto"/>
            </w:pPr>
            <w:r/>
            <w:r>
              <w:rPr>
                <w:rFonts w:ascii="Aptos" w:hAnsi="Aptos"/>
                <w:b w:val="0"/>
                <w:color w:val="1F1F1F"/>
                <w:sz w:val="13"/>
              </w:rPr>
              <w:t>R6 Strong oracle c21 omitted</w:t>
            </w:r>
          </w:p>
        </w:tc>
        <w:tc>
          <w:tcPr>
            <w:tcW w:type="dxa" w:w="2448"/>
            <w:shd w:fill="F8FBFD"/>
            <w:vAlign w:val="top"/>
            <w:tcMar>
              <w:top w:w="60" w:type="dxa"/>
              <w:start w:w="75" w:type="dxa"/>
              <w:bottom w:w="60" w:type="dxa"/>
              <w:end w:w="75" w:type="dxa"/>
            </w:tcMar>
          </w:tcPr>
          <w:p>
            <w:pPr>
              <w:spacing w:after="0" w:line="240" w:lineRule="auto"/>
            </w:pPr>
            <w:r/>
            <w:r>
              <w:rPr>
                <w:rFonts w:ascii="Aptos" w:hAnsi="Aptos"/>
                <w:b w:val="0"/>
                <w:color w:val="1F1F1F"/>
                <w:sz w:val="13"/>
              </w:rPr>
              <w:t>Sparse/cubic narrative centered on N=8 0.190 claim.</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Rank4 oracle-state c21 has candidate/base0.5993 on16/16,worst0.9835.</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Local full-width N=16 oracle</w:t>
            </w:r>
          </w:p>
        </w:tc>
        <w:tc>
          <w:tcPr>
            <w:tcW w:type="dxa" w:w="1296"/>
            <w:shd w:fill="F8FBFD"/>
            <w:vAlign w:val="top"/>
            <w:tcMar>
              <w:top w:w="60" w:type="dxa"/>
              <w:start w:w="75" w:type="dxa"/>
              <w:bottom w:w="60" w:type="dxa"/>
              <w:end w:w="75" w:type="dxa"/>
            </w:tcMar>
          </w:tcPr>
          <w:p>
            <w:pPr>
              <w:spacing w:after="0" w:line="240" w:lineRule="auto"/>
            </w:pPr>
            <w:r/>
            <w:r>
              <w:rPr>
                <w:rFonts w:ascii="Aptos" w:hAnsi="Aptos"/>
                <w:b w:val="0"/>
                <w:color w:val="1F1F1F"/>
                <w:sz w:val="13"/>
              </w:rPr>
              <w:t>High mechanism</w:t>
            </w:r>
          </w:p>
        </w:tc>
        <w:tc>
          <w:tcPr>
            <w:tcW w:type="dxa" w:w="2736"/>
            <w:shd w:fill="F8FBFD"/>
            <w:vAlign w:val="top"/>
            <w:tcMar>
              <w:top w:w="60" w:type="dxa"/>
              <w:start w:w="75" w:type="dxa"/>
              <w:bottom w:w="60" w:type="dxa"/>
              <w:end w:w="75" w:type="dxa"/>
            </w:tcMar>
          </w:tcPr>
          <w:p>
            <w:pPr>
              <w:spacing w:after="0" w:line="240" w:lineRule="auto"/>
            </w:pPr>
            <w:r/>
            <w:r>
              <w:rPr>
                <w:rFonts w:ascii="Aptos" w:hAnsi="Aptos"/>
                <w:b w:val="0"/>
                <w:color w:val="1F1F1F"/>
                <w:sz w:val="13"/>
              </w:rPr>
              <w:t>Add as stronger replicated feature/control evidence.</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arc_code deep audit</w:t>
            </w:r>
          </w:p>
        </w:tc>
      </w:tr>
      <w:tr>
        <w:trPr>
          <w:cantSplit w:val="true"/>
        </w:trPr>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3"/>
              </w:rPr>
              <w:t>R7 Shared vs low-rank</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3"/>
              </w:rPr>
              <w:t>Canonical document said sparse center map was shared low-dimensional.</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Shared at most256D is exact; toy rank90=6 is synthetic, while width256 proxy span rank128. Real rank unknown.</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Analytic+toy/proxy</w:t>
            </w:r>
          </w:p>
        </w:tc>
        <w:tc>
          <w:tcPr>
            <w:tcW w:type="dxa" w:w="1296"/>
            <w:vAlign w:val="top"/>
            <w:tcMar>
              <w:top w:w="60" w:type="dxa"/>
              <w:start w:w="75" w:type="dxa"/>
              <w:bottom w:w="60" w:type="dxa"/>
              <w:end w:w="75" w:type="dxa"/>
            </w:tcMar>
          </w:tcPr>
          <w:p>
            <w:pPr>
              <w:spacing w:after="0" w:line="240" w:lineRule="auto"/>
            </w:pPr>
            <w:r/>
            <w:r>
              <w:rPr>
                <w:rFonts w:ascii="Aptos" w:hAnsi="Aptos"/>
                <w:b w:val="0"/>
                <w:color w:val="1F1F1F"/>
                <w:sz w:val="13"/>
              </w:rPr>
              <w:t>High correction</w:t>
            </w:r>
          </w:p>
        </w:tc>
        <w:tc>
          <w:tcPr>
            <w:tcW w:type="dxa" w:w="2736"/>
            <w:vAlign w:val="top"/>
            <w:tcMar>
              <w:top w:w="60" w:type="dxa"/>
              <w:start w:w="75" w:type="dxa"/>
              <w:bottom w:w="60" w:type="dxa"/>
              <w:end w:w="75" w:type="dxa"/>
            </w:tcMar>
          </w:tcPr>
          <w:p>
            <w:pPr>
              <w:spacing w:after="0" w:line="240" w:lineRule="auto"/>
            </w:pPr>
            <w:r/>
            <w:r>
              <w:rPr>
                <w:rFonts w:ascii="Aptos" w:hAnsi="Aptos"/>
                <w:b w:val="0"/>
                <w:color w:val="1F1F1F"/>
                <w:sz w:val="13"/>
              </w:rPr>
              <w:t>Replace 'low-dimensional' with 'shared, empirical rank unknown'.</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sparse center report; terminal test</w:t>
            </w:r>
          </w:p>
        </w:tc>
      </w:tr>
      <w:tr>
        <w:trPr>
          <w:cantSplit w:val="true"/>
        </w:trPr>
        <w:tc>
          <w:tcPr>
            <w:tcW w:type="dxa" w:w="1584"/>
            <w:shd w:fill="F8FBFD"/>
            <w:vAlign w:val="top"/>
            <w:tcMar>
              <w:top w:w="60" w:type="dxa"/>
              <w:start w:w="75" w:type="dxa"/>
              <w:bottom w:w="60" w:type="dxa"/>
              <w:end w:w="75" w:type="dxa"/>
            </w:tcMar>
          </w:tcPr>
          <w:p>
            <w:pPr>
              <w:spacing w:after="0" w:line="240" w:lineRule="auto"/>
            </w:pPr>
            <w:r/>
            <w:r>
              <w:rPr>
                <w:rFonts w:ascii="Aptos" w:hAnsi="Aptos"/>
                <w:b w:val="0"/>
                <w:color w:val="1F1F1F"/>
                <w:sz w:val="13"/>
              </w:rPr>
              <w:t>R8 Short-suffix optimism</w:t>
            </w:r>
          </w:p>
        </w:tc>
        <w:tc>
          <w:tcPr>
            <w:tcW w:type="dxa" w:w="2448"/>
            <w:shd w:fill="F8FBFD"/>
            <w:vAlign w:val="top"/>
            <w:tcMar>
              <w:top w:w="60" w:type="dxa"/>
              <w:start w:w="75" w:type="dxa"/>
              <w:bottom w:w="60" w:type="dxa"/>
              <w:end w:w="75" w:type="dxa"/>
            </w:tcMar>
          </w:tcPr>
          <w:p>
            <w:pPr>
              <w:spacing w:after="0" w:line="240" w:lineRule="auto"/>
            </w:pPr>
            <w:r/>
            <w:r>
              <w:rPr>
                <w:rFonts w:ascii="Aptos" w:hAnsi="Aptos"/>
                <w:b w:val="0"/>
                <w:color w:val="1F1F1F"/>
                <w:sz w:val="13"/>
              </w:rPr>
              <w:t>Adjoint/micro-cubature described short suffix5–10B as promising without negative localization evidence.</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Toy source localization retained~4.7% gain at depth2–4 and was harmful at6–16; full depth required.</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Synthetic unit test</w:t>
            </w:r>
          </w:p>
        </w:tc>
        <w:tc>
          <w:tcPr>
            <w:tcW w:type="dxa" w:w="1296"/>
            <w:shd w:fill="F8FBFD"/>
            <w:vAlign w:val="top"/>
            <w:tcMar>
              <w:top w:w="60" w:type="dxa"/>
              <w:start w:w="75" w:type="dxa"/>
              <w:bottom w:w="60" w:type="dxa"/>
              <w:end w:w="75" w:type="dxa"/>
            </w:tcMar>
          </w:tcPr>
          <w:p>
            <w:pPr>
              <w:spacing w:after="0" w:line="240" w:lineRule="auto"/>
            </w:pPr>
            <w:r/>
            <w:r>
              <w:rPr>
                <w:rFonts w:ascii="Aptos" w:hAnsi="Aptos"/>
                <w:b w:val="0"/>
                <w:color w:val="1F1F1F"/>
                <w:sz w:val="13"/>
              </w:rPr>
              <w:t>Moderate warning</w:t>
            </w:r>
          </w:p>
        </w:tc>
        <w:tc>
          <w:tcPr>
            <w:tcW w:type="dxa" w:w="2736"/>
            <w:shd w:fill="F8FBFD"/>
            <w:vAlign w:val="top"/>
            <w:tcMar>
              <w:top w:w="60" w:type="dxa"/>
              <w:start w:w="75" w:type="dxa"/>
              <w:bottom w:w="60" w:type="dxa"/>
              <w:end w:w="75" w:type="dxa"/>
            </w:tcMar>
          </w:tcPr>
          <w:p>
            <w:pPr>
              <w:spacing w:after="0" w:line="240" w:lineRule="auto"/>
            </w:pPr>
            <w:r/>
            <w:r>
              <w:rPr>
                <w:rFonts w:ascii="Aptos" w:hAnsi="Aptos"/>
                <w:b w:val="0"/>
                <w:color w:val="1F1F1F"/>
                <w:sz w:val="13"/>
              </w:rPr>
              <w:t>Real source attribution becomes prerequisite; do not assume locality.</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agent2_sparse_adjoint_results</w:t>
            </w:r>
          </w:p>
        </w:tc>
      </w:tr>
      <w:tr>
        <w:trPr>
          <w:cantSplit w:val="true"/>
        </w:trPr>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3"/>
              </w:rPr>
              <w:t>R9 Stable MLMC worst</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3"/>
              </w:rPr>
              <w:t>Evidence Registry attributed worst2.02 to stable-gate MLMC.</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2.02 belongs older V70 multilevel test; V77 report gives aggregate1.2645,median1.5077, no worst.</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Sandbox exact-design proxy</w:t>
            </w:r>
          </w:p>
        </w:tc>
        <w:tc>
          <w:tcPr>
            <w:tcW w:type="dxa" w:w="1296"/>
            <w:vAlign w:val="top"/>
            <w:tcMar>
              <w:top w:w="60" w:type="dxa"/>
              <w:start w:w="75" w:type="dxa"/>
              <w:bottom w:w="60" w:type="dxa"/>
              <w:end w:w="75" w:type="dxa"/>
            </w:tcMar>
          </w:tcPr>
          <w:p>
            <w:pPr>
              <w:spacing w:after="0" w:line="240" w:lineRule="auto"/>
            </w:pPr>
            <w:r/>
            <w:r>
              <w:rPr>
                <w:rFonts w:ascii="Aptos" w:hAnsi="Aptos"/>
                <w:b w:val="0"/>
                <w:color w:val="1F1F1F"/>
                <w:sz w:val="13"/>
              </w:rPr>
              <w:t>High</w:t>
            </w:r>
          </w:p>
        </w:tc>
        <w:tc>
          <w:tcPr>
            <w:tcW w:type="dxa" w:w="2736"/>
            <w:vAlign w:val="top"/>
            <w:tcMar>
              <w:top w:w="60" w:type="dxa"/>
              <w:start w:w="75" w:type="dxa"/>
              <w:bottom w:w="60" w:type="dxa"/>
              <w:end w:w="75" w:type="dxa"/>
            </w:tcMar>
          </w:tcPr>
          <w:p>
            <w:pPr>
              <w:spacing w:after="0" w:line="240" w:lineRule="auto"/>
            </w:pPr>
            <w:r/>
            <w:r>
              <w:rPr>
                <w:rFonts w:ascii="Aptos" w:hAnsi="Aptos"/>
                <w:b w:val="0"/>
                <w:color w:val="1F1F1F"/>
                <w:sz w:val="13"/>
              </w:rPr>
              <w:t>Correct worst field to not reported.</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FULL_MULTILEVEL report</w:t>
            </w:r>
          </w:p>
        </w:tc>
      </w:tr>
      <w:tr>
        <w:trPr>
          <w:cantSplit w:val="true"/>
        </w:trPr>
        <w:tc>
          <w:tcPr>
            <w:tcW w:type="dxa" w:w="1584"/>
            <w:shd w:fill="F8FBFD"/>
            <w:vAlign w:val="top"/>
            <w:tcMar>
              <w:top w:w="60" w:type="dxa"/>
              <w:start w:w="75" w:type="dxa"/>
              <w:bottom w:w="60" w:type="dxa"/>
              <w:end w:w="75" w:type="dxa"/>
            </w:tcMar>
          </w:tcPr>
          <w:p>
            <w:pPr>
              <w:spacing w:after="0" w:line="240" w:lineRule="auto"/>
            </w:pPr>
            <w:r/>
            <w:r>
              <w:rPr>
                <w:rFonts w:ascii="Aptos" w:hAnsi="Aptos"/>
                <w:b w:val="0"/>
                <w:color w:val="1F1F1F"/>
                <w:sz w:val="13"/>
              </w:rPr>
              <w:t>R10 Partial-MUB nuance</w:t>
            </w:r>
          </w:p>
        </w:tc>
        <w:tc>
          <w:tcPr>
            <w:tcW w:type="dxa" w:w="2448"/>
            <w:shd w:fill="F8FBFD"/>
            <w:vAlign w:val="top"/>
            <w:tcMar>
              <w:top w:w="60" w:type="dxa"/>
              <w:start w:w="75" w:type="dxa"/>
              <w:bottom w:w="60" w:type="dxa"/>
              <w:end w:w="75" w:type="dxa"/>
            </w:tcMar>
          </w:tcPr>
          <w:p>
            <w:pPr>
              <w:spacing w:after="0" w:line="240" w:lineRule="auto"/>
            </w:pPr>
            <w:r/>
            <w:r>
              <w:rPr>
                <w:rFonts w:ascii="Aptos" w:hAnsi="Aptos"/>
                <w:b w:val="0"/>
                <w:color w:val="1F1F1F"/>
                <w:sz w:val="13"/>
              </w:rPr>
              <w:t>Recorded mainly as closed extra-trajectory pilot.</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N=8 16-basis result is uncertain/tail-unsafe, but64/128 bases make all networks improve; compute erases benefit. This proves sign is estimable with enough independent samples.</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Fresh sandbox N=8</w:t>
            </w:r>
          </w:p>
        </w:tc>
        <w:tc>
          <w:tcPr>
            <w:tcW w:type="dxa" w:w="1296"/>
            <w:shd w:fill="F8FBFD"/>
            <w:vAlign w:val="top"/>
            <w:tcMar>
              <w:top w:w="60" w:type="dxa"/>
              <w:start w:w="75" w:type="dxa"/>
              <w:bottom w:w="60" w:type="dxa"/>
              <w:end w:w="75" w:type="dxa"/>
            </w:tcMar>
          </w:tcPr>
          <w:p>
            <w:pPr>
              <w:spacing w:after="0" w:line="240" w:lineRule="auto"/>
            </w:pPr>
            <w:r/>
            <w:r>
              <w:rPr>
                <w:rFonts w:ascii="Aptos" w:hAnsi="Aptos"/>
                <w:b w:val="0"/>
                <w:color w:val="1F1F1F"/>
                <w:sz w:val="13"/>
              </w:rPr>
              <w:t>Moderate</w:t>
            </w:r>
          </w:p>
        </w:tc>
        <w:tc>
          <w:tcPr>
            <w:tcW w:type="dxa" w:w="2736"/>
            <w:shd w:fill="F8FBFD"/>
            <w:vAlign w:val="top"/>
            <w:tcMar>
              <w:top w:w="60" w:type="dxa"/>
              <w:start w:w="75" w:type="dxa"/>
              <w:bottom w:w="60" w:type="dxa"/>
              <w:end w:w="75" w:type="dxa"/>
            </w:tcMar>
          </w:tcPr>
          <w:p>
            <w:pPr>
              <w:spacing w:after="0" w:line="240" w:lineRule="auto"/>
            </w:pPr>
            <w:r/>
            <w:r>
              <w:rPr>
                <w:rFonts w:ascii="Aptos" w:hAnsi="Aptos"/>
                <w:b w:val="0"/>
                <w:color w:val="1F1F1F"/>
                <w:sz w:val="13"/>
              </w:rPr>
              <w:t>Close ordinary pilots but open shared-arithmetic companion information.</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FRESH_SCREEN / continuation</w:t>
            </w:r>
          </w:p>
        </w:tc>
      </w:tr>
      <w:tr>
        <w:trPr>
          <w:cantSplit w:val="true"/>
        </w:trPr>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3"/>
              </w:rPr>
              <w:t>R11 Activation experiments compressed</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3"/>
              </w:rPr>
              <w:t>Many distinct phase and pilot experiments were merged into one V75 row.</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Conditional CV, Walsh learning, invariant contractions, rotated pilots and internal pilots have distinct scales/results/reopening implications.</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N=8/24 and larger corpora</w:t>
            </w:r>
          </w:p>
        </w:tc>
        <w:tc>
          <w:tcPr>
            <w:tcW w:type="dxa" w:w="1296"/>
            <w:vAlign w:val="top"/>
            <w:tcMar>
              <w:top w:w="60" w:type="dxa"/>
              <w:start w:w="75" w:type="dxa"/>
              <w:bottom w:w="60" w:type="dxa"/>
              <w:end w:w="75" w:type="dxa"/>
            </w:tcMar>
          </w:tcPr>
          <w:p>
            <w:pPr>
              <w:spacing w:after="0" w:line="240" w:lineRule="auto"/>
            </w:pPr>
            <w:r/>
            <w:r>
              <w:rPr>
                <w:rFonts w:ascii="Aptos" w:hAnsi="Aptos"/>
                <w:b w:val="0"/>
                <w:color w:val="1F1F1F"/>
                <w:sz w:val="13"/>
              </w:rPr>
              <w:t>High</w:t>
            </w:r>
          </w:p>
        </w:tc>
        <w:tc>
          <w:tcPr>
            <w:tcW w:type="dxa" w:w="2736"/>
            <w:vAlign w:val="top"/>
            <w:tcMar>
              <w:top w:w="60" w:type="dxa"/>
              <w:start w:w="75" w:type="dxa"/>
              <w:bottom w:w="60" w:type="dxa"/>
              <w:end w:w="75" w:type="dxa"/>
            </w:tcMar>
          </w:tcPr>
          <w:p>
            <w:pPr>
              <w:spacing w:after="0" w:line="240" w:lineRule="auto"/>
            </w:pPr>
            <w:r/>
            <w:r>
              <w:rPr>
                <w:rFonts w:ascii="Aptos" w:hAnsi="Aptos"/>
                <w:b w:val="0"/>
                <w:color w:val="1F1F1F"/>
                <w:sz w:val="13"/>
              </w:rPr>
              <w:t>Add ARCI-4 through ARCI-9 rows.</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Activation continuation</w:t>
            </w:r>
          </w:p>
        </w:tc>
      </w:tr>
      <w:tr>
        <w:trPr>
          <w:cantSplit w:val="true"/>
        </w:trPr>
        <w:tc>
          <w:tcPr>
            <w:tcW w:type="dxa" w:w="1584"/>
            <w:shd w:fill="F8FBFD"/>
            <w:vAlign w:val="top"/>
            <w:tcMar>
              <w:top w:w="60" w:type="dxa"/>
              <w:start w:w="75" w:type="dxa"/>
              <w:bottom w:w="60" w:type="dxa"/>
              <w:end w:w="75" w:type="dxa"/>
            </w:tcMar>
          </w:tcPr>
          <w:p>
            <w:pPr>
              <w:spacing w:after="0" w:line="240" w:lineRule="auto"/>
            </w:pPr>
            <w:r/>
            <w:r>
              <w:rPr>
                <w:rFonts w:ascii="Aptos" w:hAnsi="Aptos"/>
                <w:b w:val="0"/>
                <w:color w:val="1F1F1F"/>
                <w:sz w:val="13"/>
              </w:rPr>
              <w:t>R12 Equivariant experiments compressed</w:t>
            </w:r>
          </w:p>
        </w:tc>
        <w:tc>
          <w:tcPr>
            <w:tcW w:type="dxa" w:w="2448"/>
            <w:shd w:fill="F8FBFD"/>
            <w:vAlign w:val="top"/>
            <w:tcMar>
              <w:top w:w="60" w:type="dxa"/>
              <w:start w:w="75" w:type="dxa"/>
              <w:bottom w:w="60" w:type="dxa"/>
              <w:end w:w="75" w:type="dxa"/>
            </w:tcMar>
          </w:tcPr>
          <w:p>
            <w:pPr>
              <w:spacing w:after="0" w:line="240" w:lineRule="auto"/>
            </w:pPr>
            <w:r/>
            <w:r>
              <w:rPr>
                <w:rFonts w:ascii="Aptos" w:hAnsi="Aptos"/>
                <w:b w:val="0"/>
                <w:color w:val="1F1F1F"/>
                <w:sz w:val="13"/>
              </w:rPr>
              <w:t>Only one aggregate M92 row.</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Eight architectures/probes at widths32/64 show different tails; best1.01142 still below replay break-even. Three zero-target rows were repaired.</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Large reduced-width corpora</w:t>
            </w:r>
          </w:p>
        </w:tc>
        <w:tc>
          <w:tcPr>
            <w:tcW w:type="dxa" w:w="1296"/>
            <w:shd w:fill="F8FBFD"/>
            <w:vAlign w:val="top"/>
            <w:tcMar>
              <w:top w:w="60" w:type="dxa"/>
              <w:start w:w="75" w:type="dxa"/>
              <w:bottom w:w="60" w:type="dxa"/>
              <w:end w:w="75" w:type="dxa"/>
            </w:tcMar>
          </w:tcPr>
          <w:p>
            <w:pPr>
              <w:spacing w:after="0" w:line="240" w:lineRule="auto"/>
            </w:pPr>
            <w:r/>
            <w:r>
              <w:rPr>
                <w:rFonts w:ascii="Aptos" w:hAnsi="Aptos"/>
                <w:b w:val="0"/>
                <w:color w:val="1F1F1F"/>
                <w:sz w:val="13"/>
              </w:rPr>
              <w:t>High</w:t>
            </w:r>
          </w:p>
        </w:tc>
        <w:tc>
          <w:tcPr>
            <w:tcW w:type="dxa" w:w="2736"/>
            <w:shd w:fill="F8FBFD"/>
            <w:vAlign w:val="top"/>
            <w:tcMar>
              <w:top w:w="60" w:type="dxa"/>
              <w:start w:w="75" w:type="dxa"/>
              <w:bottom w:w="60" w:type="dxa"/>
              <w:end w:w="75" w:type="dxa"/>
            </w:tcMar>
          </w:tcPr>
          <w:p>
            <w:pPr>
              <w:spacing w:after="0" w:line="240" w:lineRule="auto"/>
            </w:pPr>
            <w:r/>
            <w:r>
              <w:rPr>
                <w:rFonts w:ascii="Aptos" w:hAnsi="Aptos"/>
                <w:b w:val="0"/>
                <w:color w:val="1F1F1F"/>
                <w:sz w:val="13"/>
              </w:rPr>
              <w:t>Add M97–M103 and A38; preserve one bounded width256 test.</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Equivariant report</w:t>
            </w:r>
          </w:p>
        </w:tc>
      </w:tr>
      <w:tr>
        <w:trPr>
          <w:cantSplit w:val="true"/>
        </w:trPr>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3"/>
              </w:rPr>
              <w:t>R13 Sparse toy tolerance conflict</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3"/>
              </w:rPr>
              <w:t>Toy sparse center errors up to~1.7% did not hurt, which could be misread as relaxed tolerance.</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Real M83 breaks~0.45% and0.65% is harmful. Toy is algebra/unit test only.</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Toy vs real oracle tolerance</w:t>
            </w:r>
          </w:p>
        </w:tc>
        <w:tc>
          <w:tcPr>
            <w:tcW w:type="dxa" w:w="1296"/>
            <w:vAlign w:val="top"/>
            <w:tcMar>
              <w:top w:w="60" w:type="dxa"/>
              <w:start w:w="75" w:type="dxa"/>
              <w:bottom w:w="60" w:type="dxa"/>
              <w:end w:w="75" w:type="dxa"/>
            </w:tcMar>
          </w:tcPr>
          <w:p>
            <w:pPr>
              <w:spacing w:after="0" w:line="240" w:lineRule="auto"/>
            </w:pPr>
            <w:r/>
            <w:r>
              <w:rPr>
                <w:rFonts w:ascii="Aptos" w:hAnsi="Aptos"/>
                <w:b w:val="0"/>
                <w:color w:val="1F1F1F"/>
                <w:sz w:val="13"/>
              </w:rPr>
              <w:t>High</w:t>
            </w:r>
          </w:p>
        </w:tc>
        <w:tc>
          <w:tcPr>
            <w:tcW w:type="dxa" w:w="2736"/>
            <w:vAlign w:val="top"/>
            <w:tcMar>
              <w:top w:w="60" w:type="dxa"/>
              <w:start w:w="75" w:type="dxa"/>
              <w:bottom w:w="60" w:type="dxa"/>
              <w:end w:w="75" w:type="dxa"/>
            </w:tcMar>
          </w:tcPr>
          <w:p>
            <w:pPr>
              <w:spacing w:after="0" w:line="240" w:lineRule="auto"/>
            </w:pPr>
            <w:r/>
            <w:r>
              <w:rPr>
                <w:rFonts w:ascii="Aptos" w:hAnsi="Aptos"/>
                <w:b w:val="0"/>
                <w:color w:val="1F1F1F"/>
                <w:sz w:val="13"/>
              </w:rPr>
              <w:t>Never use toy tolerance for ARC gates.</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sparse center report / M83</w:t>
            </w:r>
          </w:p>
        </w:tc>
      </w:tr>
      <w:tr>
        <w:trPr>
          <w:cantSplit w:val="true"/>
        </w:trPr>
        <w:tc>
          <w:tcPr>
            <w:tcW w:type="dxa" w:w="1584"/>
            <w:shd w:fill="F8FBFD"/>
            <w:vAlign w:val="top"/>
            <w:tcMar>
              <w:top w:w="60" w:type="dxa"/>
              <w:start w:w="75" w:type="dxa"/>
              <w:bottom w:w="60" w:type="dxa"/>
              <w:end w:w="75" w:type="dxa"/>
            </w:tcMar>
          </w:tcPr>
          <w:p>
            <w:pPr>
              <w:spacing w:after="0" w:line="240" w:lineRule="auto"/>
            </w:pPr>
            <w:r/>
            <w:r>
              <w:rPr>
                <w:rFonts w:ascii="Aptos" w:hAnsi="Aptos"/>
                <w:b w:val="0"/>
                <w:color w:val="1F1F1F"/>
                <w:sz w:val="13"/>
              </w:rPr>
              <w:t>R14 Coreset closure scope</w:t>
            </w:r>
          </w:p>
        </w:tc>
        <w:tc>
          <w:tcPr>
            <w:tcW w:type="dxa" w:w="2448"/>
            <w:shd w:fill="F8FBFD"/>
            <w:vAlign w:val="top"/>
            <w:tcMar>
              <w:top w:w="60" w:type="dxa"/>
              <w:start w:w="75" w:type="dxa"/>
              <w:bottom w:w="60" w:type="dxa"/>
              <w:end w:w="75" w:type="dxa"/>
            </w:tcMar>
          </w:tcPr>
          <w:p>
            <w:pPr>
              <w:spacing w:after="0" w:line="240" w:lineRule="auto"/>
            </w:pPr>
            <w:r/>
            <w:r>
              <w:rPr>
                <w:rFonts w:ascii="Aptos" w:hAnsi="Aptos"/>
                <w:b w:val="0"/>
                <w:color w:val="1F1F1F"/>
                <w:sz w:val="13"/>
              </w:rPr>
              <w:t>Sandbox agent recommended broad closure; user/local work not finished.</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K2 exact tested representation fails decisively, but oracle supports exist and protected holdouts were unopened.</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Exact geometry synthetic N=20</w:t>
            </w:r>
          </w:p>
        </w:tc>
        <w:tc>
          <w:tcPr>
            <w:tcW w:type="dxa" w:w="1296"/>
            <w:shd w:fill="F8FBFD"/>
            <w:vAlign w:val="top"/>
            <w:tcMar>
              <w:top w:w="60" w:type="dxa"/>
              <w:start w:w="75" w:type="dxa"/>
              <w:bottom w:w="60" w:type="dxa"/>
              <w:end w:w="75" w:type="dxa"/>
            </w:tcMar>
          </w:tcPr>
          <w:p>
            <w:pPr>
              <w:spacing w:after="0" w:line="240" w:lineRule="auto"/>
            </w:pPr>
            <w:r/>
            <w:r>
              <w:rPr>
                <w:rFonts w:ascii="Aptos" w:hAnsi="Aptos"/>
                <w:b w:val="0"/>
                <w:color w:val="1F1F1F"/>
                <w:sz w:val="13"/>
              </w:rPr>
              <w:t>High K2 / low broad class</w:t>
            </w:r>
          </w:p>
        </w:tc>
        <w:tc>
          <w:tcPr>
            <w:tcW w:type="dxa" w:w="2736"/>
            <w:shd w:fill="F8FBFD"/>
            <w:vAlign w:val="top"/>
            <w:tcMar>
              <w:top w:w="60" w:type="dxa"/>
              <w:start w:w="75" w:type="dxa"/>
              <w:bottom w:w="60" w:type="dxa"/>
              <w:end w:w="75" w:type="dxa"/>
            </w:tcMar>
          </w:tcPr>
          <w:p>
            <w:pPr>
              <w:spacing w:after="0" w:line="240" w:lineRule="auto"/>
            </w:pPr>
            <w:r/>
            <w:r>
              <w:rPr>
                <w:rFonts w:ascii="Aptos" w:hAnsi="Aptos"/>
                <w:b w:val="0"/>
                <w:color w:val="1F1F1F"/>
                <w:sz w:val="13"/>
              </w:rPr>
              <w:t>Close tested K2 only; broad class paused until qualitatively new proxy or matched local replication.</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Exact Kerdock coreset report</w:t>
            </w:r>
          </w:p>
        </w:tc>
      </w:tr>
      <w:tr>
        <w:trPr>
          <w:cantSplit w:val="true"/>
        </w:trPr>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3"/>
              </w:rPr>
              <w:t>R15 Archive completeness</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3"/>
              </w:rPr>
              <w:t>Code archive could be mistaken for canonical complete state.</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Archive omits official data, high-precision corpora, frozen sparse arrays and sibling continuations.</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655-file archive audit</w:t>
            </w:r>
          </w:p>
        </w:tc>
        <w:tc>
          <w:tcPr>
            <w:tcW w:type="dxa" w:w="1296"/>
            <w:vAlign w:val="top"/>
            <w:tcMar>
              <w:top w:w="60" w:type="dxa"/>
              <w:start w:w="75" w:type="dxa"/>
              <w:bottom w:w="60" w:type="dxa"/>
              <w:end w:w="75" w:type="dxa"/>
            </w:tcMar>
          </w:tcPr>
          <w:p>
            <w:pPr>
              <w:spacing w:after="0" w:line="240" w:lineRule="auto"/>
            </w:pPr>
            <w:r/>
            <w:r>
              <w:rPr>
                <w:rFonts w:ascii="Aptos" w:hAnsi="Aptos"/>
                <w:b w:val="0"/>
                <w:color w:val="1F1F1F"/>
                <w:sz w:val="13"/>
              </w:rPr>
              <w:t>High</w:t>
            </w:r>
          </w:p>
        </w:tc>
        <w:tc>
          <w:tcPr>
            <w:tcW w:type="dxa" w:w="2736"/>
            <w:vAlign w:val="top"/>
            <w:tcMar>
              <w:top w:w="60" w:type="dxa"/>
              <w:start w:w="75" w:type="dxa"/>
              <w:bottom w:w="60" w:type="dxa"/>
              <w:end w:w="75" w:type="dxa"/>
            </w:tcMar>
          </w:tcPr>
          <w:p>
            <w:pPr>
              <w:spacing w:after="0" w:line="240" w:lineRule="auto"/>
            </w:pPr>
            <w:r/>
            <w:r>
              <w:rPr>
                <w:rFonts w:ascii="Aptos" w:hAnsi="Aptos"/>
                <w:b w:val="0"/>
                <w:color w:val="1F1F1F"/>
                <w:sz w:val="13"/>
              </w:rPr>
              <w:t>Treat archive as code/result snapshot, not complete ledger.</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arc_code deep audit</w:t>
            </w:r>
          </w:p>
        </w:tc>
      </w:tr>
    </w:tbl>
    <w:p>
      <w:pPr>
        <w:spacing w:after="20"/>
      </w:pPr>
    </w:p>
    <w:p>
      <w:r>
        <w:br w:type="page"/>
      </w:r>
    </w:p>
    <w:p>
      <w:pPr>
        <w:pStyle w:val="Heading1"/>
      </w:pPr>
      <w:r>
        <w:t>5. Detailed findings by research family</w:t>
      </w:r>
    </w:p>
    <w:p>
      <w:pPr>
        <w:pStyle w:val="Heading2"/>
      </w:pPr>
      <w:r>
        <w:t>5.1 Shipping compiler and benchmark context</w:t>
      </w:r>
    </w:p>
    <w:p>
      <w:pPr>
        <w:pStyle w:val="ListBullet"/>
        <w:spacing w:after="40"/>
      </w:pPr>
      <w:r>
        <w:rPr>
          <w:rFonts w:ascii="Aptos" w:hAnsi="Aptos"/>
          <w:sz w:val="19"/>
        </w:rPr>
        <w:t>Adaptive depth 2–6: raw candidate/base 1.00170; calibrated adjusted ratio 0.97865 [0.97566, 0.98163]; 59/60 calibrated wins; worst 1.00222.</w:t>
      </w:r>
    </w:p>
    <w:p>
      <w:pPr>
        <w:pStyle w:val="ListBullet"/>
        <w:spacing w:after="40"/>
      </w:pPr>
      <w:r>
        <w:rPr>
          <w:rFonts w:ascii="Aptos" w:hAnsi="Aptos"/>
          <w:sz w:val="19"/>
        </w:rPr>
        <w:t>Fixed three-layer package: 2,064-row basis-balanced pilot, final three layers, rare-switch threshold 8, middle correction 0, final shrinkage 0.875, and a full-suffix fallback below 0.5% predicted savings.</w:t>
      </w:r>
    </w:p>
    <w:p>
      <w:pPr>
        <w:pStyle w:val="ListBullet"/>
        <w:spacing w:after="40"/>
      </w:pPr>
      <w:r>
        <w:rPr>
          <w:rFonts w:ascii="Aptos" w:hAnsi="Aptos"/>
          <w:sz w:val="19"/>
        </w:rPr>
        <w:t>The often-quoted ~1.442e-7 adaptive score was derived from the older 1.473e-7 assembly-free baseline. The current partial-tree row-0 projection is ~1.12e-7, but is not a paired full-suite score. The relative compiler ratio is the portable result.</w:t>
      </w:r>
    </w:p>
    <w:tbl>
      <w:tblPr>
        <w:tblStyle w:val="TableGrid"/>
        <w:tblW w:type="auto" w:w="0"/>
        <w:jc w:val="center"/>
        <w:tblLook w:firstColumn="1" w:firstRow="1" w:lastColumn="0" w:lastRow="0" w:noHBand="0" w:noVBand="1" w:val="04A0"/>
      </w:tblPr>
      <w:tblGrid>
        <w:gridCol w:w="10224"/>
      </w:tblGrid>
      <w:tr>
        <w:trPr>
          <w:cantSplit w:val="true"/>
        </w:trPr>
        <w:tc>
          <w:tcPr>
            <w:tcW w:type="dxa" w:w="10224"/>
            <w:shd w:fill="E2F0D9"/>
            <w:tcMar>
              <w:top w:w="120" w:type="dxa"/>
              <w:start w:w="140" w:type="dxa"/>
              <w:bottom w:w="120" w:type="dxa"/>
              <w:end w:w="140" w:type="dxa"/>
            </w:tcMar>
          </w:tcPr>
          <w:p>
            <w:pPr>
              <w:spacing w:after="0"/>
            </w:pPr>
            <w:r/>
            <w:r>
              <w:rPr>
                <w:rFonts w:ascii="Aptos" w:hAnsi="Aptos"/>
                <w:b/>
                <w:color w:val="17365D"/>
                <w:sz w:val="21"/>
              </w:rPr>
              <w:t>Decision: measure before further research. Packing, symbolic composition, residual wall time, and fallback frequency can determine the winner.</w:t>
            </w:r>
          </w:p>
        </w:tc>
      </w:tr>
    </w:tbl>
    <w:p>
      <w:pPr>
        <w:spacing w:after="20"/>
      </w:pPr>
    </w:p>
    <w:p>
      <w:pPr>
        <w:pStyle w:val="Heading2"/>
      </w:pPr>
      <w:r>
        <w:t>5.2 Layer-31 sparsity and signed coefficient estimation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1728"/>
            <w:shd w:fill="548235"/>
            <w:vAlign w:val="top"/>
            <w:tcMar>
              <w:top w:w="60" w:type="dxa"/>
              <w:start w:w="75" w:type="dxa"/>
              <w:bottom w:w="60" w:type="dxa"/>
              <w:end w:w="75" w:type="dxa"/>
            </w:tcMar>
          </w:tcPr>
          <w:p>
            <w:pPr>
              <w:spacing w:after="0" w:line="240" w:lineRule="auto"/>
              <w:jc w:val="center"/>
            </w:pPr>
            <w:r/>
            <w:r>
              <w:rPr>
                <w:rFonts w:ascii="Aptos" w:hAnsi="Aptos"/>
                <w:b/>
                <w:color w:val="FFFFFF"/>
                <w:sz w:val="16"/>
              </w:rPr>
              <w:t>Coordinates</w:t>
            </w:r>
          </w:p>
        </w:tc>
        <w:tc>
          <w:tcPr>
            <w:tcW w:type="dxa" w:w="1728"/>
            <w:shd w:fill="548235"/>
            <w:vAlign w:val="top"/>
            <w:tcMar>
              <w:top w:w="60" w:type="dxa"/>
              <w:start w:w="75" w:type="dxa"/>
              <w:bottom w:w="60" w:type="dxa"/>
              <w:end w:w="75" w:type="dxa"/>
            </w:tcMar>
          </w:tcPr>
          <w:p>
            <w:pPr>
              <w:spacing w:after="0" w:line="240" w:lineRule="auto"/>
              <w:jc w:val="center"/>
            </w:pPr>
            <w:r/>
            <w:r>
              <w:rPr>
                <w:rFonts w:ascii="Aptos" w:hAnsi="Aptos"/>
                <w:b/>
                <w:color w:val="FFFFFF"/>
                <w:sz w:val="16"/>
              </w:rPr>
              <w:t>Raw gain</w:t>
            </w:r>
          </w:p>
        </w:tc>
        <w:tc>
          <w:tcPr>
            <w:tcW w:type="dxa" w:w="2592"/>
            <w:shd w:fill="548235"/>
            <w:vAlign w:val="top"/>
            <w:tcMar>
              <w:top w:w="60" w:type="dxa"/>
              <w:start w:w="75" w:type="dxa"/>
              <w:bottom w:w="60" w:type="dxa"/>
              <w:end w:w="75" w:type="dxa"/>
            </w:tcMar>
          </w:tcPr>
          <w:p>
            <w:pPr>
              <w:spacing w:after="0" w:line="240" w:lineRule="auto"/>
              <w:jc w:val="center"/>
            </w:pPr>
            <w:r/>
            <w:r>
              <w:rPr>
                <w:rFonts w:ascii="Aptos" w:hAnsi="Aptos"/>
                <w:b/>
                <w:color w:val="FFFFFF"/>
                <w:sz w:val="16"/>
              </w:rPr>
              <w:t>Oracle benefit captured</w:t>
            </w:r>
          </w:p>
        </w:tc>
        <w:tc>
          <w:tcPr>
            <w:tcW w:type="dxa" w:w="2448"/>
            <w:shd w:fill="548235"/>
            <w:vAlign w:val="top"/>
            <w:tcMar>
              <w:top w:w="60" w:type="dxa"/>
              <w:start w:w="75" w:type="dxa"/>
              <w:bottom w:w="60" w:type="dxa"/>
              <w:end w:w="75" w:type="dxa"/>
            </w:tcMar>
          </w:tcPr>
          <w:p>
            <w:pPr>
              <w:spacing w:after="0" w:line="240" w:lineRule="auto"/>
              <w:jc w:val="center"/>
            </w:pPr>
            <w:r/>
            <w:r>
              <w:rPr>
                <w:rFonts w:ascii="Aptos" w:hAnsi="Aptos"/>
                <w:b/>
                <w:color w:val="FFFFFF"/>
                <w:sz w:val="16"/>
              </w:rPr>
              <w:t>Worst candidate/base</w:t>
            </w:r>
          </w:p>
        </w:tc>
      </w:tr>
      <w:tr>
        <w:trPr>
          <w:cantSplit w:val="true"/>
        </w:trPr>
        <w:tc>
          <w:tcPr>
            <w:tcW w:type="dxa" w:w="1728"/>
            <w:vAlign w:val="top"/>
            <w:tcMar>
              <w:top w:w="60" w:type="dxa"/>
              <w:start w:w="75" w:type="dxa"/>
              <w:bottom w:w="60" w:type="dxa"/>
              <w:end w:w="75" w:type="dxa"/>
            </w:tcMar>
          </w:tcPr>
          <w:p>
            <w:pPr>
              <w:spacing w:after="0" w:line="240" w:lineRule="auto"/>
            </w:pPr>
            <w:r/>
            <w:r>
              <w:rPr>
                <w:rFonts w:ascii="Aptos" w:hAnsi="Aptos"/>
                <w:b w:val="0"/>
                <w:color w:val="1F1F1F"/>
                <w:sz w:val="16"/>
              </w:rPr>
              <w:t>4</w:t>
            </w:r>
          </w:p>
        </w:tc>
        <w:tc>
          <w:tcPr>
            <w:tcW w:type="dxa" w:w="1728"/>
            <w:vAlign w:val="top"/>
            <w:tcMar>
              <w:top w:w="60" w:type="dxa"/>
              <w:start w:w="75" w:type="dxa"/>
              <w:bottom w:w="60" w:type="dxa"/>
              <w:end w:w="75" w:type="dxa"/>
            </w:tcMar>
          </w:tcPr>
          <w:p>
            <w:pPr>
              <w:spacing w:after="0" w:line="240" w:lineRule="auto"/>
            </w:pPr>
            <w:r/>
            <w:r>
              <w:rPr>
                <w:rFonts w:ascii="Aptos" w:hAnsi="Aptos"/>
                <w:b w:val="0"/>
                <w:color w:val="1F1F1F"/>
                <w:sz w:val="16"/>
              </w:rPr>
              <w:t>1.2991x</w:t>
            </w:r>
          </w:p>
        </w:tc>
        <w:tc>
          <w:tcPr>
            <w:tcW w:type="dxa" w:w="2592"/>
            <w:vAlign w:val="top"/>
            <w:tcMar>
              <w:top w:w="60" w:type="dxa"/>
              <w:start w:w="75" w:type="dxa"/>
              <w:bottom w:w="60" w:type="dxa"/>
              <w:end w:w="75" w:type="dxa"/>
            </w:tcMar>
          </w:tcPr>
          <w:p>
            <w:pPr>
              <w:spacing w:after="0" w:line="240" w:lineRule="auto"/>
            </w:pPr>
            <w:r/>
            <w:r>
              <w:rPr>
                <w:rFonts w:ascii="Aptos" w:hAnsi="Aptos"/>
                <w:b w:val="0"/>
                <w:color w:val="1F1F1F"/>
                <w:sz w:val="16"/>
              </w:rPr>
              <w:t>29.83%</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6"/>
              </w:rPr>
              <w:t>0.8693</w:t>
            </w:r>
          </w:p>
        </w:tc>
      </w:tr>
      <w:tr>
        <w:trPr>
          <w:cantSplit w:val="true"/>
        </w:trPr>
        <w:tc>
          <w:tcPr>
            <w:tcW w:type="dxa" w:w="1728"/>
            <w:shd w:fill="F8FBFD"/>
            <w:vAlign w:val="top"/>
            <w:tcMar>
              <w:top w:w="60" w:type="dxa"/>
              <w:start w:w="75" w:type="dxa"/>
              <w:bottom w:w="60" w:type="dxa"/>
              <w:end w:w="75" w:type="dxa"/>
            </w:tcMar>
          </w:tcPr>
          <w:p>
            <w:pPr>
              <w:spacing w:after="0" w:line="240" w:lineRule="auto"/>
            </w:pPr>
            <w:r/>
            <w:r>
              <w:rPr>
                <w:rFonts w:ascii="Aptos" w:hAnsi="Aptos"/>
                <w:b w:val="0"/>
                <w:color w:val="1F1F1F"/>
                <w:sz w:val="16"/>
              </w:rPr>
              <w:t>8</w:t>
            </w:r>
          </w:p>
        </w:tc>
        <w:tc>
          <w:tcPr>
            <w:tcW w:type="dxa" w:w="1728"/>
            <w:shd w:fill="F8FBFD"/>
            <w:vAlign w:val="top"/>
            <w:tcMar>
              <w:top w:w="60" w:type="dxa"/>
              <w:start w:w="75" w:type="dxa"/>
              <w:bottom w:w="60" w:type="dxa"/>
              <w:end w:w="75" w:type="dxa"/>
            </w:tcMar>
          </w:tcPr>
          <w:p>
            <w:pPr>
              <w:spacing w:after="0" w:line="240" w:lineRule="auto"/>
            </w:pPr>
            <w:r/>
            <w:r>
              <w:rPr>
                <w:rFonts w:ascii="Aptos" w:hAnsi="Aptos"/>
                <w:b w:val="0"/>
                <w:color w:val="1F1F1F"/>
                <w:sz w:val="16"/>
              </w:rPr>
              <w:t>1.5612x</w:t>
            </w:r>
          </w:p>
        </w:tc>
        <w:tc>
          <w:tcPr>
            <w:tcW w:type="dxa" w:w="2592"/>
            <w:shd w:fill="F8FBFD"/>
            <w:vAlign w:val="top"/>
            <w:tcMar>
              <w:top w:w="60" w:type="dxa"/>
              <w:start w:w="75" w:type="dxa"/>
              <w:bottom w:w="60" w:type="dxa"/>
              <w:end w:w="75" w:type="dxa"/>
            </w:tcMar>
          </w:tcPr>
          <w:p>
            <w:pPr>
              <w:spacing w:after="0" w:line="240" w:lineRule="auto"/>
            </w:pPr>
            <w:r/>
            <w:r>
              <w:rPr>
                <w:rFonts w:ascii="Aptos" w:hAnsi="Aptos"/>
                <w:b w:val="0"/>
                <w:color w:val="1F1F1F"/>
                <w:sz w:val="16"/>
              </w:rPr>
              <w:t>46.15%</w:t>
            </w:r>
          </w:p>
        </w:tc>
        <w:tc>
          <w:tcPr>
            <w:tcW w:type="dxa" w:w="2448"/>
            <w:shd w:fill="F8FBFD"/>
            <w:vAlign w:val="top"/>
            <w:tcMar>
              <w:top w:w="60" w:type="dxa"/>
              <w:start w:w="75" w:type="dxa"/>
              <w:bottom w:w="60" w:type="dxa"/>
              <w:end w:w="75" w:type="dxa"/>
            </w:tcMar>
          </w:tcPr>
          <w:p>
            <w:pPr>
              <w:spacing w:after="0" w:line="240" w:lineRule="auto"/>
            </w:pPr>
            <w:r/>
            <w:r>
              <w:rPr>
                <w:rFonts w:ascii="Aptos" w:hAnsi="Aptos"/>
                <w:b w:val="0"/>
                <w:color w:val="1F1F1F"/>
                <w:sz w:val="16"/>
              </w:rPr>
              <w:t>0.7371</w:t>
            </w:r>
          </w:p>
        </w:tc>
      </w:tr>
      <w:tr>
        <w:trPr>
          <w:cantSplit w:val="true"/>
        </w:trPr>
        <w:tc>
          <w:tcPr>
            <w:tcW w:type="dxa" w:w="1728"/>
            <w:vAlign w:val="top"/>
            <w:tcMar>
              <w:top w:w="60" w:type="dxa"/>
              <w:start w:w="75" w:type="dxa"/>
              <w:bottom w:w="60" w:type="dxa"/>
              <w:end w:w="75" w:type="dxa"/>
            </w:tcMar>
          </w:tcPr>
          <w:p>
            <w:pPr>
              <w:spacing w:after="0" w:line="240" w:lineRule="auto"/>
            </w:pPr>
            <w:r/>
            <w:r>
              <w:rPr>
                <w:rFonts w:ascii="Aptos" w:hAnsi="Aptos"/>
                <w:b w:val="0"/>
                <w:color w:val="1F1F1F"/>
                <w:sz w:val="16"/>
              </w:rPr>
              <w:t>12</w:t>
            </w:r>
          </w:p>
        </w:tc>
        <w:tc>
          <w:tcPr>
            <w:tcW w:type="dxa" w:w="1728"/>
            <w:vAlign w:val="top"/>
            <w:tcMar>
              <w:top w:w="60" w:type="dxa"/>
              <w:start w:w="75" w:type="dxa"/>
              <w:bottom w:w="60" w:type="dxa"/>
              <w:end w:w="75" w:type="dxa"/>
            </w:tcMar>
          </w:tcPr>
          <w:p>
            <w:pPr>
              <w:spacing w:after="0" w:line="240" w:lineRule="auto"/>
            </w:pPr>
            <w:r/>
            <w:r>
              <w:rPr>
                <w:rFonts w:ascii="Aptos" w:hAnsi="Aptos"/>
                <w:b w:val="0"/>
                <w:color w:val="1F1F1F"/>
                <w:sz w:val="16"/>
              </w:rPr>
              <w:t>1.7844x</w:t>
            </w:r>
          </w:p>
        </w:tc>
        <w:tc>
          <w:tcPr>
            <w:tcW w:type="dxa" w:w="2592"/>
            <w:vAlign w:val="top"/>
            <w:tcMar>
              <w:top w:w="60" w:type="dxa"/>
              <w:start w:w="75" w:type="dxa"/>
              <w:bottom w:w="60" w:type="dxa"/>
              <w:end w:w="75" w:type="dxa"/>
            </w:tcMar>
          </w:tcPr>
          <w:p>
            <w:pPr>
              <w:spacing w:after="0" w:line="240" w:lineRule="auto"/>
            </w:pPr>
            <w:r/>
            <w:r>
              <w:rPr>
                <w:rFonts w:ascii="Aptos" w:hAnsi="Aptos"/>
                <w:b w:val="0"/>
                <w:color w:val="1F1F1F"/>
                <w:sz w:val="16"/>
              </w:rPr>
              <w:t>55.23%</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6"/>
              </w:rPr>
              <w:t>0.6607</w:t>
            </w:r>
          </w:p>
        </w:tc>
      </w:tr>
      <w:tr>
        <w:trPr>
          <w:cantSplit w:val="true"/>
        </w:trPr>
        <w:tc>
          <w:tcPr>
            <w:tcW w:type="dxa" w:w="1728"/>
            <w:shd w:fill="F8FBFD"/>
            <w:vAlign w:val="top"/>
            <w:tcMar>
              <w:top w:w="60" w:type="dxa"/>
              <w:start w:w="75" w:type="dxa"/>
              <w:bottom w:w="60" w:type="dxa"/>
              <w:end w:w="75" w:type="dxa"/>
            </w:tcMar>
          </w:tcPr>
          <w:p>
            <w:pPr>
              <w:spacing w:after="0" w:line="240" w:lineRule="auto"/>
            </w:pPr>
            <w:r/>
            <w:r>
              <w:rPr>
                <w:rFonts w:ascii="Aptos" w:hAnsi="Aptos"/>
                <w:b w:val="0"/>
                <w:color w:val="1F1F1F"/>
                <w:sz w:val="16"/>
              </w:rPr>
              <w:t>16</w:t>
            </w:r>
          </w:p>
        </w:tc>
        <w:tc>
          <w:tcPr>
            <w:tcW w:type="dxa" w:w="1728"/>
            <w:shd w:fill="F8FBFD"/>
            <w:vAlign w:val="top"/>
            <w:tcMar>
              <w:top w:w="60" w:type="dxa"/>
              <w:start w:w="75" w:type="dxa"/>
              <w:bottom w:w="60" w:type="dxa"/>
              <w:end w:w="75" w:type="dxa"/>
            </w:tcMar>
          </w:tcPr>
          <w:p>
            <w:pPr>
              <w:spacing w:after="0" w:line="240" w:lineRule="auto"/>
            </w:pPr>
            <w:r/>
            <w:r>
              <w:rPr>
                <w:rFonts w:ascii="Aptos" w:hAnsi="Aptos"/>
                <w:b w:val="0"/>
                <w:color w:val="1F1F1F"/>
                <w:sz w:val="16"/>
              </w:rPr>
              <w:t>2.0597x</w:t>
            </w:r>
          </w:p>
        </w:tc>
        <w:tc>
          <w:tcPr>
            <w:tcW w:type="dxa" w:w="2592"/>
            <w:shd w:fill="F8FBFD"/>
            <w:vAlign w:val="top"/>
            <w:tcMar>
              <w:top w:w="60" w:type="dxa"/>
              <w:start w:w="75" w:type="dxa"/>
              <w:bottom w:w="60" w:type="dxa"/>
              <w:end w:w="75" w:type="dxa"/>
            </w:tcMar>
          </w:tcPr>
          <w:p>
            <w:pPr>
              <w:spacing w:after="0" w:line="240" w:lineRule="auto"/>
            </w:pPr>
            <w:r/>
            <w:r>
              <w:rPr>
                <w:rFonts w:ascii="Aptos" w:hAnsi="Aptos"/>
                <w:b w:val="0"/>
                <w:color w:val="1F1F1F"/>
                <w:sz w:val="16"/>
              </w:rPr>
              <w:t>63.99%</w:t>
            </w:r>
          </w:p>
        </w:tc>
        <w:tc>
          <w:tcPr>
            <w:tcW w:type="dxa" w:w="2448"/>
            <w:shd w:fill="F8FBFD"/>
            <w:vAlign w:val="top"/>
            <w:tcMar>
              <w:top w:w="60" w:type="dxa"/>
              <w:start w:w="75" w:type="dxa"/>
              <w:bottom w:w="60" w:type="dxa"/>
              <w:end w:w="75" w:type="dxa"/>
            </w:tcMar>
          </w:tcPr>
          <w:p>
            <w:pPr>
              <w:spacing w:after="0" w:line="240" w:lineRule="auto"/>
            </w:pPr>
            <w:r/>
            <w:r>
              <w:rPr>
                <w:rFonts w:ascii="Aptos" w:hAnsi="Aptos"/>
                <w:b w:val="0"/>
                <w:color w:val="1F1F1F"/>
                <w:sz w:val="16"/>
              </w:rPr>
              <w:t>0.5870</w:t>
            </w:r>
          </w:p>
        </w:tc>
      </w:tr>
      <w:tr>
        <w:trPr>
          <w:cantSplit w:val="true"/>
        </w:trPr>
        <w:tc>
          <w:tcPr>
            <w:tcW w:type="dxa" w:w="1728"/>
            <w:vAlign w:val="top"/>
            <w:tcMar>
              <w:top w:w="60" w:type="dxa"/>
              <w:start w:w="75" w:type="dxa"/>
              <w:bottom w:w="60" w:type="dxa"/>
              <w:end w:w="75" w:type="dxa"/>
            </w:tcMar>
          </w:tcPr>
          <w:p>
            <w:pPr>
              <w:spacing w:after="0" w:line="240" w:lineRule="auto"/>
            </w:pPr>
            <w:r/>
            <w:r>
              <w:rPr>
                <w:rFonts w:ascii="Aptos" w:hAnsi="Aptos"/>
                <w:b w:val="0"/>
                <w:color w:val="1F1F1F"/>
                <w:sz w:val="16"/>
              </w:rPr>
              <w:t>32</w:t>
            </w:r>
          </w:p>
        </w:tc>
        <w:tc>
          <w:tcPr>
            <w:tcW w:type="dxa" w:w="1728"/>
            <w:vAlign w:val="top"/>
            <w:tcMar>
              <w:top w:w="60" w:type="dxa"/>
              <w:start w:w="75" w:type="dxa"/>
              <w:bottom w:w="60" w:type="dxa"/>
              <w:end w:w="75" w:type="dxa"/>
            </w:tcMar>
          </w:tcPr>
          <w:p>
            <w:pPr>
              <w:spacing w:after="0" w:line="240" w:lineRule="auto"/>
            </w:pPr>
            <w:r/>
            <w:r>
              <w:rPr>
                <w:rFonts w:ascii="Aptos" w:hAnsi="Aptos"/>
                <w:b w:val="0"/>
                <w:color w:val="1F1F1F"/>
                <w:sz w:val="16"/>
              </w:rPr>
              <w:t>2.9565x</w:t>
            </w:r>
          </w:p>
        </w:tc>
        <w:tc>
          <w:tcPr>
            <w:tcW w:type="dxa" w:w="2592"/>
            <w:vAlign w:val="top"/>
            <w:tcMar>
              <w:top w:w="60" w:type="dxa"/>
              <w:start w:w="75" w:type="dxa"/>
              <w:bottom w:w="60" w:type="dxa"/>
              <w:end w:w="75" w:type="dxa"/>
            </w:tcMar>
          </w:tcPr>
          <w:p>
            <w:pPr>
              <w:spacing w:after="0" w:line="240" w:lineRule="auto"/>
            </w:pPr>
            <w:r/>
            <w:r>
              <w:rPr>
                <w:rFonts w:ascii="Aptos" w:hAnsi="Aptos"/>
                <w:b w:val="0"/>
                <w:color w:val="1F1F1F"/>
                <w:sz w:val="16"/>
              </w:rPr>
              <w:t>81.39%</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6"/>
              </w:rPr>
              <w:t>0.4351</w:t>
            </w:r>
          </w:p>
        </w:tc>
      </w:tr>
    </w:tbl>
    <w:p>
      <w:pPr>
        <w:spacing w:after="20"/>
      </w:pPr>
    </w:p>
    <w:p>
      <w:pPr>
        <w:pStyle w:val="ListBullet"/>
        <w:spacing w:after="40"/>
      </w:pPr>
      <w:r>
        <w:rPr>
          <w:rFonts w:ascii="Aptos" w:hAnsi="Aptos"/>
          <w:sz w:val="19"/>
        </w:rPr>
        <w:t>Observable Gaussian-gap × final-sensitivity selection achieved 1.1795x at K=12 and 1.3645x at K=24 when exact signed corrections were granted. Coordinate selection is not the main obstacle.</w:t>
      </w:r>
    </w:p>
    <w:p>
      <w:pPr>
        <w:pStyle w:val="ListBullet"/>
        <w:spacing w:after="40"/>
      </w:pPr>
      <w:r>
        <w:rPr>
          <w:rFonts w:ascii="Aptos" w:hAnsi="Aptos"/>
          <w:sz w:val="19"/>
        </w:rPr>
        <w:t>The partial-MUB experiment confirms that independent samples do contain the sign. Sixteen bases had a strong but unsafe N=8 point estimate; 64 and 128 bases made all networks improve, but computation consumed or exceeded the gain.</w:t>
      </w:r>
    </w:p>
    <w:p>
      <w:pPr>
        <w:pStyle w:val="ListBullet"/>
        <w:spacing w:after="40"/>
      </w:pPr>
      <w:r>
        <w:rPr>
          <w:rFonts w:ascii="Aptos" w:hAnsi="Aptos"/>
          <w:sz w:val="19"/>
        </w:rPr>
        <w:t>The final-ReLU linearization is essentially exact in the rank-12 pilot study. The failure is coefficient estimation, not final replay or mode capacity.</w:t>
      </w:r>
    </w:p>
    <w:p>
      <w:pPr>
        <w:pStyle w:val="Heading2"/>
      </w:pPr>
      <w:r>
        <w:t>5.3 Sparse cubic controls and adjoint implementation</w:t>
      </w:r>
    </w:p>
    <w:p>
      <w:pPr>
        <w:pStyle w:val="ListBullet"/>
        <w:spacing w:after="40"/>
      </w:pPr>
      <w:r>
        <w:rPr>
          <w:rFonts w:ascii="Aptos" w:hAnsi="Aptos"/>
          <w:sz w:val="19"/>
        </w:rPr>
        <w:t>The exact sparse recentering identity is shared: all probe center errors can be written as Bδ + Q(δ²). This eliminates the idea of 128 independent mean anchors.</w:t>
      </w:r>
    </w:p>
    <w:p>
      <w:pPr>
        <w:pStyle w:val="ListBullet"/>
        <w:spacing w:after="40"/>
      </w:pPr>
      <w:r>
        <w:rPr>
          <w:rFonts w:ascii="Aptos" w:hAnsi="Aptos"/>
          <w:sz w:val="19"/>
        </w:rPr>
        <w:t>It does not prove a small target. The toy d=20 map had rank90=6, while a width-256 proxy terminal span had rank 128. The real frozen probe map must be measured.</w:t>
      </w:r>
    </w:p>
    <w:p>
      <w:pPr>
        <w:pStyle w:val="ListBullet"/>
        <w:spacing w:after="40"/>
      </w:pPr>
      <w:r>
        <w:rPr>
          <w:rFonts w:ascii="Aptos" w:hAnsi="Aptos"/>
          <w:sz w:val="19"/>
        </w:rPr>
        <w:t>The batched adjoint exactness tests pass to floating precision. Shared pullbacks are cheap; source generation and projection dominate.</w:t>
      </w:r>
    </w:p>
    <w:p>
      <w:pPr>
        <w:pStyle w:val="ListBullet"/>
        <w:spacing w:after="40"/>
      </w:pPr>
      <w:r>
        <w:rPr>
          <w:rFonts w:ascii="Aptos" w:hAnsi="Aptos"/>
          <w:sz w:val="19"/>
        </w:rPr>
        <w:t>A local factorized-anchor checkpoint implementation already reaches ~10.3B at q=32/layer24, but it accurately reproduces a factorized target that is still ~31% from the oracle.</w:t>
      </w:r>
    </w:p>
    <w:p>
      <w:pPr>
        <w:pStyle w:val="ListBullet"/>
        <w:spacing w:after="40"/>
      </w:pPr>
      <w:r>
        <w:rPr>
          <w:rFonts w:ascii="Aptos" w:hAnsi="Aptos"/>
          <w:sz w:val="19"/>
        </w:rPr>
        <w:t>Toy source localization argues against assuming a short suffix: depths 2–4 retained only ~4.7% of exact gain, and depths 6–16 were harmful.</w:t>
      </w:r>
    </w:p>
    <w:tbl>
      <w:tblPr>
        <w:tblStyle w:val="TableGrid"/>
        <w:tblW w:type="auto" w:w="0"/>
        <w:jc w:val="center"/>
        <w:tblLook w:firstColumn="1" w:firstRow="1" w:lastColumn="0" w:lastRow="0" w:noHBand="0" w:noVBand="1" w:val="04A0"/>
      </w:tblPr>
      <w:tblGrid>
        <w:gridCol w:w="10224"/>
      </w:tblGrid>
      <w:tr>
        <w:trPr>
          <w:cantSplit w:val="true"/>
        </w:trPr>
        <w:tc>
          <w:tcPr>
            <w:tcW w:type="dxa" w:w="10224"/>
            <w:shd w:fill="D9EAF7"/>
            <w:tcMar>
              <w:top w:w="120" w:type="dxa"/>
              <w:start w:w="140" w:type="dxa"/>
              <w:bottom w:w="120" w:type="dxa"/>
              <w:end w:w="140" w:type="dxa"/>
            </w:tcMar>
          </w:tcPr>
          <w:p>
            <w:pPr>
              <w:spacing w:after="0"/>
            </w:pPr>
            <w:r/>
            <w:r>
              <w:rPr>
                <w:rFonts w:ascii="Aptos" w:hAnsi="Aptos"/>
                <w:b/>
                <w:color w:val="17365D"/>
                <w:sz w:val="21"/>
              </w:rPr>
              <w:t>Decision: recover the real frozen probes, measure B rank and layerwise source attribution, then test one independently centered source. Do not spend time on more backward algebra.</w:t>
            </w:r>
          </w:p>
        </w:tc>
      </w:tr>
    </w:tbl>
    <w:p>
      <w:pPr>
        <w:spacing w:after="20"/>
      </w:pPr>
    </w:p>
    <w:p>
      <w:pPr>
        <w:pStyle w:val="Heading2"/>
      </w:pPr>
      <w:r>
        <w:t>5.4 Coresets and particle compression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3312"/>
            <w:shd w:fill="7030A0"/>
            <w:vAlign w:val="top"/>
            <w:tcMar>
              <w:top w:w="60" w:type="dxa"/>
              <w:start w:w="75" w:type="dxa"/>
              <w:bottom w:w="60" w:type="dxa"/>
              <w:end w:w="75" w:type="dxa"/>
            </w:tcMar>
          </w:tcPr>
          <w:p>
            <w:pPr>
              <w:spacing w:after="0" w:line="240" w:lineRule="auto"/>
              <w:jc w:val="center"/>
            </w:pPr>
            <w:r/>
            <w:r>
              <w:rPr>
                <w:rFonts w:ascii="Aptos" w:hAnsi="Aptos"/>
                <w:b/>
                <w:color w:val="FFFFFF"/>
                <w:sz w:val="16"/>
              </w:rPr>
              <w:t>Arm</w:t>
            </w:r>
          </w:p>
        </w:tc>
        <w:tc>
          <w:tcPr>
            <w:tcW w:type="dxa" w:w="2160"/>
            <w:shd w:fill="7030A0"/>
            <w:vAlign w:val="top"/>
            <w:tcMar>
              <w:top w:w="60" w:type="dxa"/>
              <w:start w:w="75" w:type="dxa"/>
              <w:bottom w:w="60" w:type="dxa"/>
              <w:end w:w="75" w:type="dxa"/>
            </w:tcMar>
          </w:tcPr>
          <w:p>
            <w:pPr>
              <w:spacing w:after="0" w:line="240" w:lineRule="auto"/>
              <w:jc w:val="center"/>
            </w:pPr>
            <w:r/>
            <w:r>
              <w:rPr>
                <w:rFonts w:ascii="Aptos" w:hAnsi="Aptos"/>
                <w:b/>
                <w:color w:val="FFFFFF"/>
                <w:sz w:val="16"/>
              </w:rPr>
              <w:t>Mean added MSE</w:t>
            </w:r>
          </w:p>
        </w:tc>
        <w:tc>
          <w:tcPr>
            <w:tcW w:type="dxa" w:w="2160"/>
            <w:shd w:fill="7030A0"/>
            <w:vAlign w:val="top"/>
            <w:tcMar>
              <w:top w:w="60" w:type="dxa"/>
              <w:start w:w="75" w:type="dxa"/>
              <w:bottom w:w="60" w:type="dxa"/>
              <w:end w:w="75" w:type="dxa"/>
            </w:tcMar>
          </w:tcPr>
          <w:p>
            <w:pPr>
              <w:spacing w:after="0" w:line="240" w:lineRule="auto"/>
              <w:jc w:val="center"/>
            </w:pPr>
            <w:r/>
            <w:r>
              <w:rPr>
                <w:rFonts w:ascii="Aptos" w:hAnsi="Aptos"/>
                <w:b/>
                <w:color w:val="FFFFFF"/>
                <w:sz w:val="16"/>
              </w:rPr>
              <w:t>Worst</w:t>
            </w:r>
          </w:p>
        </w:tc>
        <w:tc>
          <w:tcPr>
            <w:tcW w:type="dxa" w:w="2448"/>
            <w:shd w:fill="7030A0"/>
            <w:vAlign w:val="top"/>
            <w:tcMar>
              <w:top w:w="60" w:type="dxa"/>
              <w:start w:w="75" w:type="dxa"/>
              <w:bottom w:w="60" w:type="dxa"/>
              <w:end w:w="75" w:type="dxa"/>
            </w:tcMar>
          </w:tcPr>
          <w:p>
            <w:pPr>
              <w:spacing w:after="0" w:line="240" w:lineRule="auto"/>
              <w:jc w:val="center"/>
            </w:pPr>
            <w:r/>
            <w:r>
              <w:rPr>
                <w:rFonts w:ascii="Aptos" w:hAnsi="Aptos"/>
                <w:b/>
                <w:color w:val="FFFFFF"/>
                <w:sz w:val="16"/>
              </w:rPr>
              <w:t>Networks &lt;= 2.2e-8</w:t>
            </w:r>
          </w:p>
        </w:tc>
      </w:tr>
      <w:tr>
        <w:trPr>
          <w:cantSplit w:val="true"/>
        </w:trPr>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6"/>
              </w:rPr>
              <w:t>Random + anchor weights</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6"/>
              </w:rPr>
              <w:t>2.069e-7</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6"/>
              </w:rPr>
              <w:t>4.673e-7</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6"/>
              </w:rPr>
              <w:t>0/20</w:t>
            </w:r>
          </w:p>
        </w:tc>
      </w:tr>
      <w:tr>
        <w:trPr>
          <w:cantSplit w:val="true"/>
        </w:trPr>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6"/>
              </w:rPr>
              <w:t>Anchor-kernel coreset</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6"/>
              </w:rPr>
              <w:t>1.341e-7</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6"/>
              </w:rPr>
              <w:t>2.781e-7</w:t>
            </w:r>
          </w:p>
        </w:tc>
        <w:tc>
          <w:tcPr>
            <w:tcW w:type="dxa" w:w="2448"/>
            <w:shd w:fill="F8FBFD"/>
            <w:vAlign w:val="top"/>
            <w:tcMar>
              <w:top w:w="60" w:type="dxa"/>
              <w:start w:w="75" w:type="dxa"/>
              <w:bottom w:w="60" w:type="dxa"/>
              <w:end w:w="75" w:type="dxa"/>
            </w:tcMar>
          </w:tcPr>
          <w:p>
            <w:pPr>
              <w:spacing w:after="0" w:line="240" w:lineRule="auto"/>
            </w:pPr>
            <w:r/>
            <w:r>
              <w:rPr>
                <w:rFonts w:ascii="Aptos" w:hAnsi="Aptos"/>
                <w:b w:val="0"/>
                <w:color w:val="1F1F1F"/>
                <w:sz w:val="16"/>
              </w:rPr>
              <w:t>0/20</w:t>
            </w:r>
          </w:p>
        </w:tc>
      </w:tr>
      <w:tr>
        <w:trPr>
          <w:cantSplit w:val="true"/>
        </w:trPr>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6"/>
              </w:rPr>
              <w:t>Deployable suffix K2</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6"/>
              </w:rPr>
              <w:t>1.282e-7</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6"/>
              </w:rPr>
              <w:t>2.797e-7</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6"/>
              </w:rPr>
              <w:t>0/20</w:t>
            </w:r>
          </w:p>
        </w:tc>
      </w:tr>
      <w:tr>
        <w:trPr>
          <w:cantSplit w:val="true"/>
        </w:trPr>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6"/>
              </w:rPr>
              <w:t>K2 support + oracle weights</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6"/>
              </w:rPr>
              <w:t>2.941e-8</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6"/>
              </w:rPr>
              <w:t>1.646e-7</w:t>
            </w:r>
          </w:p>
        </w:tc>
        <w:tc>
          <w:tcPr>
            <w:tcW w:type="dxa" w:w="2448"/>
            <w:shd w:fill="F8FBFD"/>
            <w:vAlign w:val="top"/>
            <w:tcMar>
              <w:top w:w="60" w:type="dxa"/>
              <w:start w:w="75" w:type="dxa"/>
              <w:bottom w:w="60" w:type="dxa"/>
              <w:end w:w="75" w:type="dxa"/>
            </w:tcMar>
          </w:tcPr>
          <w:p>
            <w:pPr>
              <w:spacing w:after="0" w:line="240" w:lineRule="auto"/>
            </w:pPr>
            <w:r/>
            <w:r>
              <w:rPr>
                <w:rFonts w:ascii="Aptos" w:hAnsi="Aptos"/>
                <w:b w:val="0"/>
                <w:color w:val="1F1F1F"/>
                <w:sz w:val="16"/>
              </w:rPr>
              <w:t>16/20</w:t>
            </w:r>
          </w:p>
        </w:tc>
      </w:tr>
      <w:tr>
        <w:trPr>
          <w:cantSplit w:val="true"/>
        </w:trPr>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6"/>
              </w:rPr>
              <w:t>Oracle support + oracle weights</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6"/>
              </w:rPr>
              <w:t>2.391e-9</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6"/>
              </w:rPr>
              <w:t>1.496e-8</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6"/>
              </w:rPr>
              <w:t>20/20</w:t>
            </w:r>
          </w:p>
        </w:tc>
      </w:tr>
    </w:tbl>
    <w:p>
      <w:pPr>
        <w:spacing w:after="20"/>
      </w:pPr>
    </w:p>
    <w:p>
      <w:pPr>
        <w:pStyle w:val="ListBullet"/>
        <w:spacing w:after="40"/>
      </w:pPr>
      <w:r>
        <w:rPr>
          <w:rFonts w:ascii="Aptos" w:hAnsi="Aptos"/>
          <w:sz w:val="19"/>
        </w:rPr>
        <w:t>The exact tested K2 feature/selection/calibration family is strongly negative. However, oracle support proves that compression itself is possible.</w:t>
      </w:r>
    </w:p>
    <w:p>
      <w:pPr>
        <w:pStyle w:val="ListBullet"/>
        <w:spacing w:after="40"/>
      </w:pPr>
      <w:r>
        <w:rPr>
          <w:rFonts w:ascii="Aptos" w:hAnsi="Aptos"/>
          <w:sz w:val="19"/>
        </w:rPr>
        <w:t>The correct reopening test is not another optimizer sweep. A qualitatively new representation must first predict oracle row importance or same-support oracle error on fresh networks.</w:t>
      </w:r>
    </w:p>
    <w:p>
      <w:pPr>
        <w:pStyle w:val="ListBullet"/>
        <w:spacing w:after="40"/>
      </w:pPr>
      <w:r>
        <w:rPr>
          <w:rFonts w:ascii="Aptos" w:hAnsi="Aptos"/>
          <w:sz w:val="19"/>
        </w:rPr>
        <w:t>Because this was synthetic N=20 in a sandbox and stronger local work may differ, the broad network-specific coreset class remains paused rather than universally closed.</w:t>
      </w:r>
    </w:p>
    <w:p>
      <w:pPr>
        <w:pStyle w:val="Heading2"/>
      </w:pPr>
      <w:r>
        <w:t>5.5 Activation regions, phase statistics, and companion designs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240"/>
            <w:shd w:fill="C65911"/>
            <w:vAlign w:val="top"/>
            <w:tcMar>
              <w:top w:w="60" w:type="dxa"/>
              <w:start w:w="75" w:type="dxa"/>
              <w:bottom w:w="60" w:type="dxa"/>
              <w:end w:w="75" w:type="dxa"/>
            </w:tcMar>
          </w:tcPr>
          <w:p>
            <w:pPr>
              <w:spacing w:after="0" w:line="240" w:lineRule="auto"/>
              <w:jc w:val="center"/>
            </w:pPr>
            <w:r/>
            <w:r>
              <w:rPr>
                <w:rFonts w:ascii="Aptos" w:hAnsi="Aptos"/>
                <w:b/>
                <w:color w:val="FFFFFF"/>
                <w:sz w:val="16"/>
              </w:rPr>
              <w:t>Experiment</w:t>
            </w:r>
          </w:p>
        </w:tc>
        <w:tc>
          <w:tcPr>
            <w:tcW w:type="dxa" w:w="3240"/>
            <w:shd w:fill="C65911"/>
            <w:vAlign w:val="top"/>
            <w:tcMar>
              <w:top w:w="60" w:type="dxa"/>
              <w:start w:w="75" w:type="dxa"/>
              <w:bottom w:w="60" w:type="dxa"/>
              <w:end w:w="75" w:type="dxa"/>
            </w:tcMar>
          </w:tcPr>
          <w:p>
            <w:pPr>
              <w:spacing w:after="0" w:line="240" w:lineRule="auto"/>
              <w:jc w:val="center"/>
            </w:pPr>
            <w:r/>
            <w:r>
              <w:rPr>
                <w:rFonts w:ascii="Aptos" w:hAnsi="Aptos"/>
                <w:b/>
                <w:color w:val="FFFFFF"/>
                <w:sz w:val="16"/>
              </w:rPr>
              <w:t>Frozen result</w:t>
            </w:r>
          </w:p>
        </w:tc>
        <w:tc>
          <w:tcPr>
            <w:tcW w:type="dxa" w:w="4464"/>
            <w:shd w:fill="C65911"/>
            <w:vAlign w:val="top"/>
            <w:tcMar>
              <w:top w:w="60" w:type="dxa"/>
              <w:start w:w="75" w:type="dxa"/>
              <w:bottom w:w="60" w:type="dxa"/>
              <w:end w:w="75" w:type="dxa"/>
            </w:tcMar>
          </w:tcPr>
          <w:p>
            <w:pPr>
              <w:spacing w:after="0" w:line="240" w:lineRule="auto"/>
              <w:jc w:val="center"/>
            </w:pPr>
            <w:r/>
            <w:r>
              <w:rPr>
                <w:rFonts w:ascii="Aptos" w:hAnsi="Aptos"/>
                <w:b/>
                <w:color w:val="FFFFFF"/>
                <w:sz w:val="16"/>
              </w:rPr>
              <w:t>Conclusion</w:t>
            </w:r>
          </w:p>
        </w:tc>
      </w:tr>
      <w:tr>
        <w:trPr>
          <w:cantSplit w:val="true"/>
        </w:trPr>
        <w:tc>
          <w:tcPr>
            <w:tcW w:type="dxa" w:w="3240"/>
            <w:vAlign w:val="top"/>
            <w:tcMar>
              <w:top w:w="60" w:type="dxa"/>
              <w:start w:w="75" w:type="dxa"/>
              <w:bottom w:w="60" w:type="dxa"/>
              <w:end w:w="75" w:type="dxa"/>
            </w:tcMar>
          </w:tcPr>
          <w:p>
            <w:pPr>
              <w:spacing w:after="0" w:line="240" w:lineRule="auto"/>
            </w:pPr>
            <w:r/>
            <w:r>
              <w:rPr>
                <w:rFonts w:ascii="Aptos" w:hAnsi="Aptos"/>
                <w:b w:val="0"/>
                <w:color w:val="1F1F1F"/>
                <w:sz w:val="15"/>
              </w:rPr>
              <w:t>Conditional-region residual CV</w:t>
            </w:r>
          </w:p>
        </w:tc>
        <w:tc>
          <w:tcPr>
            <w:tcW w:type="dxa" w:w="3240"/>
            <w:vAlign w:val="top"/>
            <w:tcMar>
              <w:top w:w="60" w:type="dxa"/>
              <w:start w:w="75" w:type="dxa"/>
              <w:bottom w:w="60" w:type="dxa"/>
              <w:end w:w="75" w:type="dxa"/>
            </w:tcMar>
          </w:tcPr>
          <w:p>
            <w:pPr>
              <w:spacing w:after="0" w:line="240" w:lineRule="auto"/>
            </w:pPr>
            <w:r/>
            <w:r>
              <w:rPr>
                <w:rFonts w:ascii="Aptos" w:hAnsi="Aptos"/>
                <w:b w:val="0"/>
                <w:color w:val="1F1F1F"/>
                <w:sz w:val="15"/>
              </w:rPr>
              <w:t>Gain 0.9889; 8/24; worst candidate/base 1.195</w:t>
            </w:r>
          </w:p>
        </w:tc>
        <w:tc>
          <w:tcPr>
            <w:tcW w:type="dxa" w:w="4464"/>
            <w:vAlign w:val="top"/>
            <w:tcMar>
              <w:top w:w="60" w:type="dxa"/>
              <w:start w:w="75" w:type="dxa"/>
              <w:bottom w:w="60" w:type="dxa"/>
              <w:end w:w="75" w:type="dxa"/>
            </w:tcMar>
          </w:tcPr>
          <w:p>
            <w:pPr>
              <w:spacing w:after="0" w:line="240" w:lineRule="auto"/>
            </w:pPr>
            <w:r/>
            <w:r>
              <w:rPr>
                <w:rFonts w:ascii="Aptos" w:hAnsi="Aptos"/>
                <w:b w:val="0"/>
                <w:color w:val="1F1F1F"/>
                <w:sz w:val="15"/>
              </w:rPr>
              <w:t>Predicted correction is essentially orthogonal to true Kerdock defect</w:t>
            </w:r>
          </w:p>
        </w:tc>
      </w:tr>
      <w:tr>
        <w:trPr>
          <w:cantSplit w:val="true"/>
        </w:trPr>
        <w:tc>
          <w:tcPr>
            <w:tcW w:type="dxa" w:w="3240"/>
            <w:shd w:fill="F8FBFD"/>
            <w:vAlign w:val="top"/>
            <w:tcMar>
              <w:top w:w="60" w:type="dxa"/>
              <w:start w:w="75" w:type="dxa"/>
              <w:bottom w:w="60" w:type="dxa"/>
              <w:end w:w="75" w:type="dxa"/>
            </w:tcMar>
          </w:tcPr>
          <w:p>
            <w:pPr>
              <w:spacing w:after="0" w:line="240" w:lineRule="auto"/>
            </w:pPr>
            <w:r/>
            <w:r>
              <w:rPr>
                <w:rFonts w:ascii="Aptos" w:hAnsi="Aptos"/>
                <w:b w:val="0"/>
                <w:color w:val="1F1F1F"/>
                <w:sz w:val="15"/>
              </w:rPr>
              <w:t>Walsh/basis learning</w:t>
            </w:r>
          </w:p>
        </w:tc>
        <w:tc>
          <w:tcPr>
            <w:tcW w:type="dxa" w:w="3240"/>
            <w:shd w:fill="F8FBFD"/>
            <w:vAlign w:val="top"/>
            <w:tcMar>
              <w:top w:w="60" w:type="dxa"/>
              <w:start w:w="75" w:type="dxa"/>
              <w:bottom w:w="60" w:type="dxa"/>
              <w:end w:w="75" w:type="dxa"/>
            </w:tcMar>
          </w:tcPr>
          <w:p>
            <w:pPr>
              <w:spacing w:after="0" w:line="240" w:lineRule="auto"/>
            </w:pPr>
            <w:r/>
            <w:r>
              <w:rPr>
                <w:rFonts w:ascii="Aptos" w:hAnsi="Aptos"/>
                <w:b w:val="0"/>
                <w:color w:val="1F1F1F"/>
                <w:sz w:val="15"/>
              </w:rPr>
              <w:t>Best of 96 models 1.00056 optimistic</w:t>
            </w:r>
          </w:p>
        </w:tc>
        <w:tc>
          <w:tcPr>
            <w:tcW w:type="dxa" w:w="4464"/>
            <w:shd w:fill="F8FBFD"/>
            <w:vAlign w:val="top"/>
            <w:tcMar>
              <w:top w:w="60" w:type="dxa"/>
              <w:start w:w="75" w:type="dxa"/>
              <w:bottom w:w="60" w:type="dxa"/>
              <w:end w:w="75" w:type="dxa"/>
            </w:tcMar>
          </w:tcPr>
          <w:p>
            <w:pPr>
              <w:spacing w:after="0" w:line="240" w:lineRule="auto"/>
            </w:pPr>
            <w:r/>
            <w:r>
              <w:rPr>
                <w:rFonts w:ascii="Aptos" w:hAnsi="Aptos"/>
                <w:b w:val="0"/>
                <w:color w:val="1F1F1F"/>
                <w:sz w:val="15"/>
              </w:rPr>
              <w:t>Earlier ~4% point estimate was small-sample instability</w:t>
            </w:r>
          </w:p>
        </w:tc>
      </w:tr>
      <w:tr>
        <w:trPr>
          <w:cantSplit w:val="true"/>
        </w:trPr>
        <w:tc>
          <w:tcPr>
            <w:tcW w:type="dxa" w:w="3240"/>
            <w:vAlign w:val="top"/>
            <w:tcMar>
              <w:top w:w="60" w:type="dxa"/>
              <w:start w:w="75" w:type="dxa"/>
              <w:bottom w:w="60" w:type="dxa"/>
              <w:end w:w="75" w:type="dxa"/>
            </w:tcMar>
          </w:tcPr>
          <w:p>
            <w:pPr>
              <w:spacing w:after="0" w:line="240" w:lineRule="auto"/>
            </w:pPr>
            <w:r/>
            <w:r>
              <w:rPr>
                <w:rFonts w:ascii="Aptos" w:hAnsi="Aptos"/>
                <w:b w:val="0"/>
                <w:color w:val="1F1F1F"/>
                <w:sz w:val="15"/>
              </w:rPr>
              <w:t>Invariant phase statistics</w:t>
            </w:r>
          </w:p>
        </w:tc>
        <w:tc>
          <w:tcPr>
            <w:tcW w:type="dxa" w:w="3240"/>
            <w:vAlign w:val="top"/>
            <w:tcMar>
              <w:top w:w="60" w:type="dxa"/>
              <w:start w:w="75" w:type="dxa"/>
              <w:bottom w:w="60" w:type="dxa"/>
              <w:end w:w="75" w:type="dxa"/>
            </w:tcMar>
          </w:tcPr>
          <w:p>
            <w:pPr>
              <w:spacing w:after="0" w:line="240" w:lineRule="auto"/>
            </w:pPr>
            <w:r/>
            <w:r>
              <w:rPr>
                <w:rFonts w:ascii="Aptos" w:hAnsi="Aptos"/>
                <w:b w:val="0"/>
                <w:color w:val="1F1F1F"/>
                <w:sz w:val="15"/>
              </w:rPr>
              <w:t>Best 1.00092; worst 1.0266</w:t>
            </w:r>
          </w:p>
        </w:tc>
        <w:tc>
          <w:tcPr>
            <w:tcW w:type="dxa" w:w="4464"/>
            <w:vAlign w:val="top"/>
            <w:tcMar>
              <w:top w:w="60" w:type="dxa"/>
              <w:start w:w="75" w:type="dxa"/>
              <w:bottom w:w="60" w:type="dxa"/>
              <w:end w:w="75" w:type="dxa"/>
            </w:tcMar>
          </w:tcPr>
          <w:p>
            <w:pPr>
              <w:spacing w:after="0" w:line="240" w:lineRule="auto"/>
            </w:pPr>
            <w:r/>
            <w:r>
              <w:rPr>
                <w:rFonts w:ascii="Aptos" w:hAnsi="Aptos"/>
                <w:b w:val="0"/>
                <w:color w:val="1F1F1F"/>
                <w:sz w:val="15"/>
              </w:rPr>
              <w:t>No useful cubic/quintic/PCA-skew statistic in tested family</w:t>
            </w:r>
          </w:p>
        </w:tc>
      </w:tr>
      <w:tr>
        <w:trPr>
          <w:cantSplit w:val="true"/>
        </w:trPr>
        <w:tc>
          <w:tcPr>
            <w:tcW w:type="dxa" w:w="3240"/>
            <w:shd w:fill="F8FBFD"/>
            <w:vAlign w:val="top"/>
            <w:tcMar>
              <w:top w:w="60" w:type="dxa"/>
              <w:start w:w="75" w:type="dxa"/>
              <w:bottom w:w="60" w:type="dxa"/>
              <w:end w:w="75" w:type="dxa"/>
            </w:tcMar>
          </w:tcPr>
          <w:p>
            <w:pPr>
              <w:spacing w:after="0" w:line="240" w:lineRule="auto"/>
            </w:pPr>
            <w:r/>
            <w:r>
              <w:rPr>
                <w:rFonts w:ascii="Aptos" w:hAnsi="Aptos"/>
                <w:b w:val="0"/>
                <w:color w:val="1F1F1F"/>
                <w:sz w:val="15"/>
              </w:rPr>
              <w:t>Independent 1,032-point pilot</w:t>
            </w:r>
          </w:p>
        </w:tc>
        <w:tc>
          <w:tcPr>
            <w:tcW w:type="dxa" w:w="3240"/>
            <w:shd w:fill="F8FBFD"/>
            <w:vAlign w:val="top"/>
            <w:tcMar>
              <w:top w:w="60" w:type="dxa"/>
              <w:start w:w="75" w:type="dxa"/>
              <w:bottom w:w="60" w:type="dxa"/>
              <w:end w:w="75" w:type="dxa"/>
            </w:tcMar>
          </w:tcPr>
          <w:p>
            <w:pPr>
              <w:spacing w:after="0" w:line="240" w:lineRule="auto"/>
            </w:pPr>
            <w:r/>
            <w:r>
              <w:rPr>
                <w:rFonts w:ascii="Aptos" w:hAnsi="Aptos"/>
                <w:b w:val="0"/>
                <w:color w:val="1F1F1F"/>
                <w:sz w:val="15"/>
              </w:rPr>
              <w:t>Gain 0.9296; one network +81.1% MSE</w:t>
            </w:r>
          </w:p>
        </w:tc>
        <w:tc>
          <w:tcPr>
            <w:tcW w:type="dxa" w:w="4464"/>
            <w:shd w:fill="F8FBFD"/>
            <w:vAlign w:val="top"/>
            <w:tcMar>
              <w:top w:w="60" w:type="dxa"/>
              <w:start w:w="75" w:type="dxa"/>
              <w:bottom w:w="60" w:type="dxa"/>
              <w:end w:w="75" w:type="dxa"/>
            </w:tcMar>
          </w:tcPr>
          <w:p>
            <w:pPr>
              <w:spacing w:after="0" w:line="240" w:lineRule="auto"/>
            </w:pPr>
            <w:r/>
            <w:r>
              <w:rPr>
                <w:rFonts w:ascii="Aptos" w:hAnsi="Aptos"/>
                <w:b w:val="0"/>
                <w:color w:val="1F1F1F"/>
                <w:sz w:val="15"/>
              </w:rPr>
              <w:t>Unstable</w:t>
            </w:r>
          </w:p>
        </w:tc>
      </w:tr>
      <w:tr>
        <w:trPr>
          <w:cantSplit w:val="true"/>
        </w:trPr>
        <w:tc>
          <w:tcPr>
            <w:tcW w:type="dxa" w:w="3240"/>
            <w:vAlign w:val="top"/>
            <w:tcMar>
              <w:top w:w="60" w:type="dxa"/>
              <w:start w:w="75" w:type="dxa"/>
              <w:bottom w:w="60" w:type="dxa"/>
              <w:end w:w="75" w:type="dxa"/>
            </w:tcMar>
          </w:tcPr>
          <w:p>
            <w:pPr>
              <w:spacing w:after="0" w:line="240" w:lineRule="auto"/>
            </w:pPr>
            <w:r/>
            <w:r>
              <w:rPr>
                <w:rFonts w:ascii="Aptos" w:hAnsi="Aptos"/>
                <w:b w:val="0"/>
                <w:color w:val="1F1F1F"/>
                <w:sz w:val="15"/>
              </w:rPr>
              <w:t>Independent 2,064-point pilot</w:t>
            </w:r>
          </w:p>
        </w:tc>
        <w:tc>
          <w:tcPr>
            <w:tcW w:type="dxa" w:w="3240"/>
            <w:vAlign w:val="top"/>
            <w:tcMar>
              <w:top w:w="60" w:type="dxa"/>
              <w:start w:w="75" w:type="dxa"/>
              <w:bottom w:w="60" w:type="dxa"/>
              <w:end w:w="75" w:type="dxa"/>
            </w:tcMar>
          </w:tcPr>
          <w:p>
            <w:pPr>
              <w:spacing w:after="0" w:line="240" w:lineRule="auto"/>
            </w:pPr>
            <w:r/>
            <w:r>
              <w:rPr>
                <w:rFonts w:ascii="Aptos" w:hAnsi="Aptos"/>
                <w:b w:val="0"/>
                <w:color w:val="1F1F1F"/>
                <w:sz w:val="15"/>
              </w:rPr>
              <w:t>Raw gain 1.0394; optimistic adjusted ~0.9912</w:t>
            </w:r>
          </w:p>
        </w:tc>
        <w:tc>
          <w:tcPr>
            <w:tcW w:type="dxa" w:w="4464"/>
            <w:vAlign w:val="top"/>
            <w:tcMar>
              <w:top w:w="60" w:type="dxa"/>
              <w:start w:w="75" w:type="dxa"/>
              <w:bottom w:w="60" w:type="dxa"/>
              <w:end w:w="75" w:type="dxa"/>
            </w:tcMar>
          </w:tcPr>
          <w:p>
            <w:pPr>
              <w:spacing w:after="0" w:line="240" w:lineRule="auto"/>
            </w:pPr>
            <w:r/>
            <w:r>
              <w:rPr>
                <w:rFonts w:ascii="Aptos" w:hAnsi="Aptos"/>
                <w:b w:val="0"/>
                <w:color w:val="1F1F1F"/>
                <w:sz w:val="15"/>
              </w:rPr>
              <w:t>Less than 1% headroom; no decisive interval</w:t>
            </w:r>
          </w:p>
        </w:tc>
      </w:tr>
      <w:tr>
        <w:trPr>
          <w:cantSplit w:val="true"/>
        </w:trPr>
        <w:tc>
          <w:tcPr>
            <w:tcW w:type="dxa" w:w="3240"/>
            <w:shd w:fill="F8FBFD"/>
            <w:vAlign w:val="top"/>
            <w:tcMar>
              <w:top w:w="60" w:type="dxa"/>
              <w:start w:w="75" w:type="dxa"/>
              <w:bottom w:w="60" w:type="dxa"/>
              <w:end w:w="75" w:type="dxa"/>
            </w:tcMar>
          </w:tcPr>
          <w:p>
            <w:pPr>
              <w:spacing w:after="0" w:line="240" w:lineRule="auto"/>
            </w:pPr>
            <w:r/>
            <w:r>
              <w:rPr>
                <w:rFonts w:ascii="Aptos" w:hAnsi="Aptos"/>
                <w:b w:val="0"/>
                <w:color w:val="1F1F1F"/>
                <w:sz w:val="15"/>
              </w:rPr>
              <w:t>Internal 516-row pilot</w:t>
            </w:r>
          </w:p>
        </w:tc>
        <w:tc>
          <w:tcPr>
            <w:tcW w:type="dxa" w:w="3240"/>
            <w:shd w:fill="F8FBFD"/>
            <w:vAlign w:val="top"/>
            <w:tcMar>
              <w:top w:w="60" w:type="dxa"/>
              <w:start w:w="75" w:type="dxa"/>
              <w:bottom w:w="60" w:type="dxa"/>
              <w:end w:w="75" w:type="dxa"/>
            </w:tcMar>
          </w:tcPr>
          <w:p>
            <w:pPr>
              <w:spacing w:after="0" w:line="240" w:lineRule="auto"/>
            </w:pPr>
            <w:r/>
            <w:r>
              <w:rPr>
                <w:rFonts w:ascii="Aptos" w:hAnsi="Aptos"/>
                <w:b w:val="0"/>
                <w:color w:val="1F1F1F"/>
                <w:sz w:val="15"/>
              </w:rPr>
              <w:t>Gain 0.9651; 7/24</w:t>
            </w:r>
          </w:p>
        </w:tc>
        <w:tc>
          <w:tcPr>
            <w:tcW w:type="dxa" w:w="4464"/>
            <w:shd w:fill="F8FBFD"/>
            <w:vAlign w:val="top"/>
            <w:tcMar>
              <w:top w:w="60" w:type="dxa"/>
              <w:start w:w="75" w:type="dxa"/>
              <w:bottom w:w="60" w:type="dxa"/>
              <w:end w:w="75" w:type="dxa"/>
            </w:tcMar>
          </w:tcPr>
          <w:p>
            <w:pPr>
              <w:spacing w:after="0" w:line="240" w:lineRule="auto"/>
            </w:pPr>
            <w:r/>
            <w:r>
              <w:rPr>
                <w:rFonts w:ascii="Aptos" w:hAnsi="Aptos"/>
                <w:b w:val="0"/>
                <w:color w:val="1F1F1F"/>
                <w:sz w:val="15"/>
              </w:rPr>
              <w:t>Same-cloud disagreement is not a phase estimate</w:t>
            </w:r>
          </w:p>
        </w:tc>
      </w:tr>
    </w:tbl>
    <w:p>
      <w:pPr>
        <w:spacing w:after="20"/>
      </w:pPr>
    </w:p>
    <w:tbl>
      <w:tblPr>
        <w:tblStyle w:val="TableGrid"/>
        <w:tblW w:type="auto" w:w="0"/>
        <w:jc w:val="center"/>
        <w:tblLook w:firstColumn="1" w:firstRow="1" w:lastColumn="0" w:lastRow="0" w:noHBand="0" w:noVBand="1" w:val="04A0"/>
      </w:tblPr>
      <w:tblGrid>
        <w:gridCol w:w="10224"/>
      </w:tblGrid>
      <w:tr>
        <w:trPr>
          <w:cantSplit w:val="true"/>
        </w:trPr>
        <w:tc>
          <w:tcPr>
            <w:tcW w:type="dxa" w:w="10224"/>
            <w:shd w:fill="FCE4D6"/>
            <w:tcMar>
              <w:top w:w="120" w:type="dxa"/>
              <w:start w:w="140" w:type="dxa"/>
              <w:bottom w:w="120" w:type="dxa"/>
              <w:end w:w="140" w:type="dxa"/>
            </w:tcMar>
          </w:tcPr>
          <w:p>
            <w:pPr>
              <w:spacing w:after="0"/>
            </w:pPr>
            <w:r/>
            <w:r>
              <w:rPr>
                <w:rFonts w:ascii="Aptos" w:hAnsi="Aptos"/>
                <w:b/>
                <w:color w:val="17365D"/>
                <w:sz w:val="21"/>
              </w:rPr>
              <w:t>Opposite-direction insight: independent phase information becomes more useful as more points are spent. The promising theory is therefore a companion cubature that reuses nearly all prefix arithmetic—not a better orthant solver or ordinary extra trajectories.</w:t>
            </w:r>
          </w:p>
        </w:tc>
      </w:tr>
    </w:tbl>
    <w:p>
      <w:pPr>
        <w:spacing w:after="20"/>
      </w:pPr>
    </w:p>
    <w:p>
      <w:pPr>
        <w:pStyle w:val="Heading2"/>
      </w:pPr>
      <w:r>
        <w:t>5.6 Equivariant learning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val="true"/>
        </w:trPr>
        <w:tc>
          <w:tcPr>
            <w:tcW w:type="dxa" w:w="3024"/>
            <w:shd w:fill="1F4E78"/>
            <w:vAlign w:val="top"/>
            <w:tcMar>
              <w:top w:w="60" w:type="dxa"/>
              <w:start w:w="75" w:type="dxa"/>
              <w:bottom w:w="60" w:type="dxa"/>
              <w:end w:w="75" w:type="dxa"/>
            </w:tcMar>
          </w:tcPr>
          <w:p>
            <w:pPr>
              <w:spacing w:after="0" w:line="240" w:lineRule="auto"/>
              <w:jc w:val="center"/>
            </w:pPr>
            <w:r/>
            <w:r>
              <w:rPr>
                <w:rFonts w:ascii="Aptos" w:hAnsi="Aptos"/>
                <w:b/>
                <w:color w:val="FFFFFF"/>
                <w:sz w:val="16"/>
              </w:rPr>
              <w:t>Experiment</w:t>
            </w:r>
          </w:p>
        </w:tc>
        <w:tc>
          <w:tcPr>
            <w:tcW w:type="dxa" w:w="1440"/>
            <w:shd w:fill="1F4E78"/>
            <w:vAlign w:val="top"/>
            <w:tcMar>
              <w:top w:w="60" w:type="dxa"/>
              <w:start w:w="75" w:type="dxa"/>
              <w:bottom w:w="60" w:type="dxa"/>
              <w:end w:w="75" w:type="dxa"/>
            </w:tcMar>
          </w:tcPr>
          <w:p>
            <w:pPr>
              <w:spacing w:after="0" w:line="240" w:lineRule="auto"/>
              <w:jc w:val="center"/>
            </w:pPr>
            <w:r/>
            <w:r>
              <w:rPr>
                <w:rFonts w:ascii="Aptos" w:hAnsi="Aptos"/>
                <w:b/>
                <w:color w:val="FFFFFF"/>
                <w:sz w:val="16"/>
              </w:rPr>
              <w:t>Validation scale</w:t>
            </w:r>
          </w:p>
        </w:tc>
        <w:tc>
          <w:tcPr>
            <w:tcW w:type="dxa" w:w="1584"/>
            <w:shd w:fill="1F4E78"/>
            <w:vAlign w:val="top"/>
            <w:tcMar>
              <w:top w:w="60" w:type="dxa"/>
              <w:start w:w="75" w:type="dxa"/>
              <w:bottom w:w="60" w:type="dxa"/>
              <w:end w:w="75" w:type="dxa"/>
            </w:tcMar>
          </w:tcPr>
          <w:p>
            <w:pPr>
              <w:spacing w:after="0" w:line="240" w:lineRule="auto"/>
              <w:jc w:val="center"/>
            </w:pPr>
            <w:r/>
            <w:r>
              <w:rPr>
                <w:rFonts w:ascii="Aptos" w:hAnsi="Aptos"/>
                <w:b/>
                <w:color w:val="FFFFFF"/>
                <w:sz w:val="16"/>
              </w:rPr>
              <w:t>Replay gain</w:t>
            </w:r>
          </w:p>
        </w:tc>
        <w:tc>
          <w:tcPr>
            <w:tcW w:type="dxa" w:w="2304"/>
            <w:shd w:fill="1F4E78"/>
            <w:vAlign w:val="top"/>
            <w:tcMar>
              <w:top w:w="60" w:type="dxa"/>
              <w:start w:w="75" w:type="dxa"/>
              <w:bottom w:w="60" w:type="dxa"/>
              <w:end w:w="75" w:type="dxa"/>
            </w:tcMar>
          </w:tcPr>
          <w:p>
            <w:pPr>
              <w:spacing w:after="0" w:line="240" w:lineRule="auto"/>
              <w:jc w:val="center"/>
            </w:pPr>
            <w:r/>
            <w:r>
              <w:rPr>
                <w:rFonts w:ascii="Aptos" w:hAnsi="Aptos"/>
                <w:b/>
                <w:color w:val="FFFFFF"/>
                <w:sz w:val="16"/>
              </w:rPr>
              <w:t>95% interval</w:t>
            </w:r>
          </w:p>
        </w:tc>
        <w:tc>
          <w:tcPr>
            <w:tcW w:type="dxa" w:w="2160"/>
            <w:shd w:fill="1F4E78"/>
            <w:vAlign w:val="top"/>
            <w:tcMar>
              <w:top w:w="60" w:type="dxa"/>
              <w:start w:w="75" w:type="dxa"/>
              <w:bottom w:w="60" w:type="dxa"/>
              <w:end w:w="75" w:type="dxa"/>
            </w:tcMar>
          </w:tcPr>
          <w:p>
            <w:pPr>
              <w:spacing w:after="0" w:line="240" w:lineRule="auto"/>
              <w:jc w:val="center"/>
            </w:pPr>
            <w:r/>
            <w:r>
              <w:rPr>
                <w:rFonts w:ascii="Aptos" w:hAnsi="Aptos"/>
                <w:b/>
                <w:color w:val="FFFFFF"/>
                <w:sz w:val="16"/>
              </w:rPr>
              <w:t>Worst candidate/base</w:t>
            </w:r>
          </w:p>
        </w:tc>
      </w:tr>
      <w:tr>
        <w:trPr>
          <w:cantSplit w:val="true"/>
        </w:trPr>
        <w:tc>
          <w:tcPr>
            <w:tcW w:type="dxa" w:w="3024"/>
            <w:vAlign w:val="top"/>
            <w:tcMar>
              <w:top w:w="60" w:type="dxa"/>
              <w:start w:w="75" w:type="dxa"/>
              <w:bottom w:w="60" w:type="dxa"/>
              <w:end w:w="75" w:type="dxa"/>
            </w:tcMar>
          </w:tcPr>
          <w:p>
            <w:pPr>
              <w:spacing w:after="0" w:line="240" w:lineRule="auto"/>
            </w:pPr>
            <w:r/>
            <w:r>
              <w:rPr>
                <w:rFonts w:ascii="Aptos" w:hAnsi="Aptos"/>
                <w:b w:val="0"/>
                <w:color w:val="1F1F1F"/>
                <w:sz w:val="14"/>
              </w:rPr>
              <w:t>Forward target-31, width32</w:t>
            </w:r>
          </w:p>
        </w:tc>
        <w:tc>
          <w:tcPr>
            <w:tcW w:type="dxa" w:w="1440"/>
            <w:vAlign w:val="top"/>
            <w:tcMar>
              <w:top w:w="60" w:type="dxa"/>
              <w:start w:w="75" w:type="dxa"/>
              <w:bottom w:w="60" w:type="dxa"/>
              <w:end w:w="75" w:type="dxa"/>
            </w:tcMar>
          </w:tcPr>
          <w:p>
            <w:pPr>
              <w:spacing w:after="0" w:line="240" w:lineRule="auto"/>
            </w:pPr>
            <w:r/>
            <w:r>
              <w:rPr>
                <w:rFonts w:ascii="Aptos" w:hAnsi="Aptos"/>
                <w:b w:val="0"/>
                <w:color w:val="1F1F1F"/>
                <w:sz w:val="14"/>
              </w:rPr>
              <w:t>64</w:t>
            </w:r>
          </w:p>
        </w:tc>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4"/>
              </w:rPr>
              <w:t>1.00235</w:t>
            </w:r>
          </w:p>
        </w:tc>
        <w:tc>
          <w:tcPr>
            <w:tcW w:type="dxa" w:w="2304"/>
            <w:vAlign w:val="top"/>
            <w:tcMar>
              <w:top w:w="60" w:type="dxa"/>
              <w:start w:w="75" w:type="dxa"/>
              <w:bottom w:w="60" w:type="dxa"/>
              <w:end w:w="75" w:type="dxa"/>
            </w:tcMar>
          </w:tcPr>
          <w:p>
            <w:pPr>
              <w:spacing w:after="0" w:line="240" w:lineRule="auto"/>
            </w:pPr>
            <w:r/>
            <w:r>
              <w:rPr>
                <w:rFonts w:ascii="Aptos" w:hAnsi="Aptos"/>
                <w:b w:val="0"/>
                <w:color w:val="1F1F1F"/>
                <w:sz w:val="14"/>
              </w:rPr>
              <w:t>0.99989–1.00493</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4"/>
              </w:rPr>
              <w:t>1.55</w:t>
            </w:r>
          </w:p>
        </w:tc>
      </w:tr>
      <w:tr>
        <w:trPr>
          <w:cantSplit w:val="true"/>
        </w:trPr>
        <w:tc>
          <w:tcPr>
            <w:tcW w:type="dxa" w:w="3024"/>
            <w:shd w:fill="F8FBFD"/>
            <w:vAlign w:val="top"/>
            <w:tcMar>
              <w:top w:w="60" w:type="dxa"/>
              <w:start w:w="75" w:type="dxa"/>
              <w:bottom w:w="60" w:type="dxa"/>
              <w:end w:w="75" w:type="dxa"/>
            </w:tcMar>
          </w:tcPr>
          <w:p>
            <w:pPr>
              <w:spacing w:after="0" w:line="240" w:lineRule="auto"/>
            </w:pPr>
            <w:r/>
            <w:r>
              <w:rPr>
                <w:rFonts w:ascii="Aptos" w:hAnsi="Aptos"/>
                <w:b w:val="0"/>
                <w:color w:val="1F1F1F"/>
                <w:sz w:val="14"/>
              </w:rPr>
              <w:t>Bidirectional, width32</w:t>
            </w:r>
          </w:p>
        </w:tc>
        <w:tc>
          <w:tcPr>
            <w:tcW w:type="dxa" w:w="1440"/>
            <w:shd w:fill="F8FBFD"/>
            <w:vAlign w:val="top"/>
            <w:tcMar>
              <w:top w:w="60" w:type="dxa"/>
              <w:start w:w="75" w:type="dxa"/>
              <w:bottom w:w="60" w:type="dxa"/>
              <w:end w:w="75" w:type="dxa"/>
            </w:tcMar>
          </w:tcPr>
          <w:p>
            <w:pPr>
              <w:spacing w:after="0" w:line="240" w:lineRule="auto"/>
            </w:pPr>
            <w:r/>
            <w:r>
              <w:rPr>
                <w:rFonts w:ascii="Aptos" w:hAnsi="Aptos"/>
                <w:b w:val="0"/>
                <w:color w:val="1F1F1F"/>
                <w:sz w:val="14"/>
              </w:rPr>
              <w:t>64</w:t>
            </w:r>
          </w:p>
        </w:tc>
        <w:tc>
          <w:tcPr>
            <w:tcW w:type="dxa" w:w="1584"/>
            <w:shd w:fill="F8FBFD"/>
            <w:vAlign w:val="top"/>
            <w:tcMar>
              <w:top w:w="60" w:type="dxa"/>
              <w:start w:w="75" w:type="dxa"/>
              <w:bottom w:w="60" w:type="dxa"/>
              <w:end w:w="75" w:type="dxa"/>
            </w:tcMar>
          </w:tcPr>
          <w:p>
            <w:pPr>
              <w:spacing w:after="0" w:line="240" w:lineRule="auto"/>
            </w:pPr>
            <w:r/>
            <w:r>
              <w:rPr>
                <w:rFonts w:ascii="Aptos" w:hAnsi="Aptos"/>
                <w:b w:val="0"/>
                <w:color w:val="1F1F1F"/>
                <w:sz w:val="14"/>
              </w:rPr>
              <w:t>1.00287</w:t>
            </w:r>
          </w:p>
        </w:tc>
        <w:tc>
          <w:tcPr>
            <w:tcW w:type="dxa" w:w="2304"/>
            <w:shd w:fill="F8FBFD"/>
            <w:vAlign w:val="top"/>
            <w:tcMar>
              <w:top w:w="60" w:type="dxa"/>
              <w:start w:w="75" w:type="dxa"/>
              <w:bottom w:w="60" w:type="dxa"/>
              <w:end w:w="75" w:type="dxa"/>
            </w:tcMar>
          </w:tcPr>
          <w:p>
            <w:pPr>
              <w:spacing w:after="0" w:line="240" w:lineRule="auto"/>
            </w:pPr>
            <w:r/>
            <w:r>
              <w:rPr>
                <w:rFonts w:ascii="Aptos" w:hAnsi="Aptos"/>
                <w:b w:val="0"/>
                <w:color w:val="1F1F1F"/>
                <w:sz w:val="14"/>
              </w:rPr>
              <w:t>0.99048–1.00896</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4"/>
              </w:rPr>
              <w:t>9.85</w:t>
            </w:r>
          </w:p>
        </w:tc>
      </w:tr>
      <w:tr>
        <w:trPr>
          <w:cantSplit w:val="true"/>
        </w:trPr>
        <w:tc>
          <w:tcPr>
            <w:tcW w:type="dxa" w:w="3024"/>
            <w:vAlign w:val="top"/>
            <w:tcMar>
              <w:top w:w="60" w:type="dxa"/>
              <w:start w:w="75" w:type="dxa"/>
              <w:bottom w:w="60" w:type="dxa"/>
              <w:end w:w="75" w:type="dxa"/>
            </w:tcMar>
          </w:tcPr>
          <w:p>
            <w:pPr>
              <w:spacing w:after="0" w:line="240" w:lineRule="auto"/>
            </w:pPr>
            <w:r/>
            <w:r>
              <w:rPr>
                <w:rFonts w:ascii="Aptos" w:hAnsi="Aptos"/>
                <w:b w:val="0"/>
                <w:color w:val="1F1F1F"/>
                <w:sz w:val="14"/>
              </w:rPr>
              <w:t>Forward target-31, width64</w:t>
            </w:r>
          </w:p>
        </w:tc>
        <w:tc>
          <w:tcPr>
            <w:tcW w:type="dxa" w:w="1440"/>
            <w:vAlign w:val="top"/>
            <w:tcMar>
              <w:top w:w="60" w:type="dxa"/>
              <w:start w:w="75" w:type="dxa"/>
              <w:bottom w:w="60" w:type="dxa"/>
              <w:end w:w="75" w:type="dxa"/>
            </w:tcMar>
          </w:tcPr>
          <w:p>
            <w:pPr>
              <w:spacing w:after="0" w:line="240" w:lineRule="auto"/>
            </w:pPr>
            <w:r/>
            <w:r>
              <w:rPr>
                <w:rFonts w:ascii="Aptos" w:hAnsi="Aptos"/>
                <w:b w:val="0"/>
                <w:color w:val="1F1F1F"/>
                <w:sz w:val="14"/>
              </w:rPr>
              <w:t>32</w:t>
            </w:r>
          </w:p>
        </w:tc>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4"/>
              </w:rPr>
              <w:t>1.00300</w:t>
            </w:r>
          </w:p>
        </w:tc>
        <w:tc>
          <w:tcPr>
            <w:tcW w:type="dxa" w:w="2304"/>
            <w:vAlign w:val="top"/>
            <w:tcMar>
              <w:top w:w="60" w:type="dxa"/>
              <w:start w:w="75" w:type="dxa"/>
              <w:bottom w:w="60" w:type="dxa"/>
              <w:end w:w="75" w:type="dxa"/>
            </w:tcMar>
          </w:tcPr>
          <w:p>
            <w:pPr>
              <w:spacing w:after="0" w:line="240" w:lineRule="auto"/>
            </w:pPr>
            <w:r/>
            <w:r>
              <w:rPr>
                <w:rFonts w:ascii="Aptos" w:hAnsi="Aptos"/>
                <w:b w:val="0"/>
                <w:color w:val="1F1F1F"/>
                <w:sz w:val="14"/>
              </w:rPr>
              <w:t>0.99166–1.01773</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4"/>
              </w:rPr>
              <w:t>1.08</w:t>
            </w:r>
          </w:p>
        </w:tc>
      </w:tr>
      <w:tr>
        <w:trPr>
          <w:cantSplit w:val="true"/>
        </w:trPr>
        <w:tc>
          <w:tcPr>
            <w:tcW w:type="dxa" w:w="3024"/>
            <w:shd w:fill="F8FBFD"/>
            <w:vAlign w:val="top"/>
            <w:tcMar>
              <w:top w:w="60" w:type="dxa"/>
              <w:start w:w="75" w:type="dxa"/>
              <w:bottom w:w="60" w:type="dxa"/>
              <w:end w:w="75" w:type="dxa"/>
            </w:tcMar>
          </w:tcPr>
          <w:p>
            <w:pPr>
              <w:spacing w:after="0" w:line="240" w:lineRule="auto"/>
            </w:pPr>
            <w:r/>
            <w:r>
              <w:rPr>
                <w:rFonts w:ascii="Aptos" w:hAnsi="Aptos"/>
                <w:b w:val="0"/>
                <w:color w:val="1F1F1F"/>
                <w:sz w:val="14"/>
              </w:rPr>
              <w:t>Bidirectional, width64</w:t>
            </w:r>
          </w:p>
        </w:tc>
        <w:tc>
          <w:tcPr>
            <w:tcW w:type="dxa" w:w="1440"/>
            <w:shd w:fill="F8FBFD"/>
            <w:vAlign w:val="top"/>
            <w:tcMar>
              <w:top w:w="60" w:type="dxa"/>
              <w:start w:w="75" w:type="dxa"/>
              <w:bottom w:w="60" w:type="dxa"/>
              <w:end w:w="75" w:type="dxa"/>
            </w:tcMar>
          </w:tcPr>
          <w:p>
            <w:pPr>
              <w:spacing w:after="0" w:line="240" w:lineRule="auto"/>
            </w:pPr>
            <w:r/>
            <w:r>
              <w:rPr>
                <w:rFonts w:ascii="Aptos" w:hAnsi="Aptos"/>
                <w:b w:val="0"/>
                <w:color w:val="1F1F1F"/>
                <w:sz w:val="14"/>
              </w:rPr>
              <w:t>32</w:t>
            </w:r>
          </w:p>
        </w:tc>
        <w:tc>
          <w:tcPr>
            <w:tcW w:type="dxa" w:w="1584"/>
            <w:shd w:fill="F8FBFD"/>
            <w:vAlign w:val="top"/>
            <w:tcMar>
              <w:top w:w="60" w:type="dxa"/>
              <w:start w:w="75" w:type="dxa"/>
              <w:bottom w:w="60" w:type="dxa"/>
              <w:end w:w="75" w:type="dxa"/>
            </w:tcMar>
          </w:tcPr>
          <w:p>
            <w:pPr>
              <w:spacing w:after="0" w:line="240" w:lineRule="auto"/>
            </w:pPr>
            <w:r/>
            <w:r>
              <w:rPr>
                <w:rFonts w:ascii="Aptos" w:hAnsi="Aptos"/>
                <w:b w:val="0"/>
                <w:color w:val="1F1F1F"/>
                <w:sz w:val="14"/>
              </w:rPr>
              <w:t>0.98933</w:t>
            </w:r>
          </w:p>
        </w:tc>
        <w:tc>
          <w:tcPr>
            <w:tcW w:type="dxa" w:w="2304"/>
            <w:shd w:fill="F8FBFD"/>
            <w:vAlign w:val="top"/>
            <w:tcMar>
              <w:top w:w="60" w:type="dxa"/>
              <w:start w:w="75" w:type="dxa"/>
              <w:bottom w:w="60" w:type="dxa"/>
              <w:end w:w="75" w:type="dxa"/>
            </w:tcMar>
          </w:tcPr>
          <w:p>
            <w:pPr>
              <w:spacing w:after="0" w:line="240" w:lineRule="auto"/>
            </w:pPr>
            <w:r/>
            <w:r>
              <w:rPr>
                <w:rFonts w:ascii="Aptos" w:hAnsi="Aptos"/>
                <w:b w:val="0"/>
                <w:color w:val="1F1F1F"/>
                <w:sz w:val="14"/>
              </w:rPr>
              <w:t>0.96033–1.03495</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4"/>
              </w:rPr>
              <w:t>1.23</w:t>
            </w:r>
          </w:p>
        </w:tc>
      </w:tr>
      <w:tr>
        <w:trPr>
          <w:cantSplit w:val="true"/>
        </w:trPr>
        <w:tc>
          <w:tcPr>
            <w:tcW w:type="dxa" w:w="3024"/>
            <w:vAlign w:val="top"/>
            <w:tcMar>
              <w:top w:w="60" w:type="dxa"/>
              <w:start w:w="75" w:type="dxa"/>
              <w:bottom w:w="60" w:type="dxa"/>
              <w:end w:w="75" w:type="dxa"/>
            </w:tcMar>
          </w:tcPr>
          <w:p>
            <w:pPr>
              <w:spacing w:after="0" w:line="240" w:lineRule="auto"/>
            </w:pPr>
            <w:r/>
            <w:r>
              <w:rPr>
                <w:rFonts w:ascii="Aptos" w:hAnsi="Aptos"/>
                <w:b w:val="0"/>
                <w:color w:val="1F1F1F"/>
                <w:sz w:val="14"/>
              </w:rPr>
              <w:t>Large nonlinear basis probe</w:t>
            </w:r>
          </w:p>
        </w:tc>
        <w:tc>
          <w:tcPr>
            <w:tcW w:type="dxa" w:w="1440"/>
            <w:vAlign w:val="top"/>
            <w:tcMar>
              <w:top w:w="60" w:type="dxa"/>
              <w:start w:w="75" w:type="dxa"/>
              <w:bottom w:w="60" w:type="dxa"/>
              <w:end w:w="75" w:type="dxa"/>
            </w:tcMar>
          </w:tcPr>
          <w:p>
            <w:pPr>
              <w:spacing w:after="0" w:line="240" w:lineRule="auto"/>
            </w:pPr>
            <w:r/>
            <w:r>
              <w:rPr>
                <w:rFonts w:ascii="Aptos" w:hAnsi="Aptos"/>
                <w:b w:val="0"/>
                <w:color w:val="1F1F1F"/>
                <w:sz w:val="14"/>
              </w:rPr>
              <w:t>128</w:t>
            </w:r>
          </w:p>
        </w:tc>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4"/>
              </w:rPr>
              <w:t>1.00815</w:t>
            </w:r>
          </w:p>
        </w:tc>
        <w:tc>
          <w:tcPr>
            <w:tcW w:type="dxa" w:w="2304"/>
            <w:vAlign w:val="top"/>
            <w:tcMar>
              <w:top w:w="60" w:type="dxa"/>
              <w:start w:w="75" w:type="dxa"/>
              <w:bottom w:w="60" w:type="dxa"/>
              <w:end w:w="75" w:type="dxa"/>
            </w:tcMar>
          </w:tcPr>
          <w:p>
            <w:pPr>
              <w:spacing w:after="0" w:line="240" w:lineRule="auto"/>
            </w:pPr>
            <w:r/>
            <w:r>
              <w:rPr>
                <w:rFonts w:ascii="Aptos" w:hAnsi="Aptos"/>
                <w:b w:val="0"/>
                <w:color w:val="1F1F1F"/>
                <w:sz w:val="14"/>
              </w:rPr>
              <w:t>0.94623–1.05560</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4"/>
              </w:rPr>
              <w:t>4.62</w:t>
            </w:r>
          </w:p>
        </w:tc>
      </w:tr>
      <w:tr>
        <w:trPr>
          <w:cantSplit w:val="true"/>
        </w:trPr>
        <w:tc>
          <w:tcPr>
            <w:tcW w:type="dxa" w:w="3024"/>
            <w:shd w:fill="F8FBFD"/>
            <w:vAlign w:val="top"/>
            <w:tcMar>
              <w:top w:w="60" w:type="dxa"/>
              <w:start w:w="75" w:type="dxa"/>
              <w:bottom w:w="60" w:type="dxa"/>
              <w:end w:w="75" w:type="dxa"/>
            </w:tcMar>
          </w:tcPr>
          <w:p>
            <w:pPr>
              <w:spacing w:after="0" w:line="240" w:lineRule="auto"/>
            </w:pPr>
            <w:r/>
            <w:r>
              <w:rPr>
                <w:rFonts w:ascii="Aptos" w:hAnsi="Aptos"/>
                <w:b w:val="0"/>
                <w:color w:val="1F1F1F"/>
                <w:sz w:val="14"/>
              </w:rPr>
              <w:t>Phase-augmented basis, sorted</w:t>
            </w:r>
          </w:p>
        </w:tc>
        <w:tc>
          <w:tcPr>
            <w:tcW w:type="dxa" w:w="1440"/>
            <w:shd w:fill="F8FBFD"/>
            <w:vAlign w:val="top"/>
            <w:tcMar>
              <w:top w:w="60" w:type="dxa"/>
              <w:start w:w="75" w:type="dxa"/>
              <w:bottom w:w="60" w:type="dxa"/>
              <w:end w:w="75" w:type="dxa"/>
            </w:tcMar>
          </w:tcPr>
          <w:p>
            <w:pPr>
              <w:spacing w:after="0" w:line="240" w:lineRule="auto"/>
            </w:pPr>
            <w:r/>
            <w:r>
              <w:rPr>
                <w:rFonts w:ascii="Aptos" w:hAnsi="Aptos"/>
                <w:b w:val="0"/>
                <w:color w:val="1F1F1F"/>
                <w:sz w:val="14"/>
              </w:rPr>
              <w:t>128</w:t>
            </w:r>
          </w:p>
        </w:tc>
        <w:tc>
          <w:tcPr>
            <w:tcW w:type="dxa" w:w="1584"/>
            <w:shd w:fill="F8FBFD"/>
            <w:vAlign w:val="top"/>
            <w:tcMar>
              <w:top w:w="60" w:type="dxa"/>
              <w:start w:w="75" w:type="dxa"/>
              <w:bottom w:w="60" w:type="dxa"/>
              <w:end w:w="75" w:type="dxa"/>
            </w:tcMar>
          </w:tcPr>
          <w:p>
            <w:pPr>
              <w:spacing w:after="0" w:line="240" w:lineRule="auto"/>
            </w:pPr>
            <w:r/>
            <w:r>
              <w:rPr>
                <w:rFonts w:ascii="Aptos" w:hAnsi="Aptos"/>
                <w:b w:val="0"/>
                <w:color w:val="1F1F1F"/>
                <w:sz w:val="14"/>
              </w:rPr>
              <w:t>0.96380</w:t>
            </w:r>
          </w:p>
        </w:tc>
        <w:tc>
          <w:tcPr>
            <w:tcW w:type="dxa" w:w="2304"/>
            <w:shd w:fill="F8FBFD"/>
            <w:vAlign w:val="top"/>
            <w:tcMar>
              <w:top w:w="60" w:type="dxa"/>
              <w:start w:w="75" w:type="dxa"/>
              <w:bottom w:w="60" w:type="dxa"/>
              <w:end w:w="75" w:type="dxa"/>
            </w:tcMar>
          </w:tcPr>
          <w:p>
            <w:pPr>
              <w:spacing w:after="0" w:line="240" w:lineRule="auto"/>
            </w:pPr>
            <w:r/>
            <w:r>
              <w:rPr>
                <w:rFonts w:ascii="Aptos" w:hAnsi="Aptos"/>
                <w:b w:val="0"/>
                <w:color w:val="1F1F1F"/>
                <w:sz w:val="14"/>
              </w:rPr>
              <w:t>0.82991–1.07185</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4"/>
              </w:rPr>
              <w:t>16.62</w:t>
            </w:r>
          </w:p>
        </w:tc>
      </w:tr>
      <w:tr>
        <w:trPr>
          <w:cantSplit w:val="true"/>
        </w:trPr>
        <w:tc>
          <w:tcPr>
            <w:tcW w:type="dxa" w:w="3024"/>
            <w:vAlign w:val="top"/>
            <w:tcMar>
              <w:top w:w="60" w:type="dxa"/>
              <w:start w:w="75" w:type="dxa"/>
              <w:bottom w:w="60" w:type="dxa"/>
              <w:end w:w="75" w:type="dxa"/>
            </w:tcMar>
          </w:tcPr>
          <w:p>
            <w:pPr>
              <w:spacing w:after="0" w:line="240" w:lineRule="auto"/>
            </w:pPr>
            <w:r/>
            <w:r>
              <w:rPr>
                <w:rFonts w:ascii="Aptos" w:hAnsi="Aptos"/>
                <w:b w:val="0"/>
                <w:color w:val="1F1F1F"/>
                <w:sz w:val="14"/>
              </w:rPr>
              <w:t>Phase-augmented weight encoder</w:t>
            </w:r>
          </w:p>
        </w:tc>
        <w:tc>
          <w:tcPr>
            <w:tcW w:type="dxa" w:w="1440"/>
            <w:vAlign w:val="top"/>
            <w:tcMar>
              <w:top w:w="60" w:type="dxa"/>
              <w:start w:w="75" w:type="dxa"/>
              <w:bottom w:w="60" w:type="dxa"/>
              <w:end w:w="75" w:type="dxa"/>
            </w:tcMar>
          </w:tcPr>
          <w:p>
            <w:pPr>
              <w:spacing w:after="0" w:line="240" w:lineRule="auto"/>
            </w:pPr>
            <w:r/>
            <w:r>
              <w:rPr>
                <w:rFonts w:ascii="Aptos" w:hAnsi="Aptos"/>
                <w:b w:val="0"/>
                <w:color w:val="1F1F1F"/>
                <w:sz w:val="14"/>
              </w:rPr>
              <w:t>128</w:t>
            </w:r>
          </w:p>
        </w:tc>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4"/>
              </w:rPr>
              <w:t>1.01142</w:t>
            </w:r>
          </w:p>
        </w:tc>
        <w:tc>
          <w:tcPr>
            <w:tcW w:type="dxa" w:w="2304"/>
            <w:vAlign w:val="top"/>
            <w:tcMar>
              <w:top w:w="60" w:type="dxa"/>
              <w:start w:w="75" w:type="dxa"/>
              <w:bottom w:w="60" w:type="dxa"/>
              <w:end w:w="75" w:type="dxa"/>
            </w:tcMar>
          </w:tcPr>
          <w:p>
            <w:pPr>
              <w:spacing w:after="0" w:line="240" w:lineRule="auto"/>
            </w:pPr>
            <w:r/>
            <w:r>
              <w:rPr>
                <w:rFonts w:ascii="Aptos" w:hAnsi="Aptos"/>
                <w:b w:val="0"/>
                <w:color w:val="1F1F1F"/>
                <w:sz w:val="14"/>
              </w:rPr>
              <w:t>0.98266–1.03259</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4"/>
              </w:rPr>
              <w:t>6.12</w:t>
            </w:r>
          </w:p>
        </w:tc>
      </w:tr>
    </w:tbl>
    <w:p>
      <w:pPr>
        <w:spacing w:after="20"/>
      </w:pPr>
    </w:p>
    <w:p>
      <w:pPr>
        <w:pStyle w:val="ListBullet"/>
        <w:spacing w:after="40"/>
      </w:pPr>
      <w:r>
        <w:rPr>
          <w:rFonts w:ascii="Aptos" w:hAnsi="Aptos"/>
          <w:sz w:val="19"/>
        </w:rPr>
        <w:t>One final replay increases effective compute by 3.125%, so a free model still needs at least 1.03125x raw gain to break even.</w:t>
      </w:r>
    </w:p>
    <w:p>
      <w:pPr>
        <w:pStyle w:val="ListBullet"/>
        <w:spacing w:after="40"/>
      </w:pPr>
      <w:r>
        <w:rPr>
          <w:rFonts w:ascii="Aptos" w:hAnsi="Aptos"/>
          <w:sz w:val="19"/>
        </w:rPr>
        <w:t>The reduced-width campaign tested target redesign, bidirectionality, larger corpora, full basis diagnostics, and exact phase augmentation. None cleared the gate.</w:t>
      </w:r>
    </w:p>
    <w:p>
      <w:pPr>
        <w:pStyle w:val="ListBullet"/>
        <w:spacing w:after="40"/>
      </w:pPr>
      <w:r>
        <w:rPr>
          <w:rFonts w:ascii="Aptos" w:hAnsi="Aptos"/>
          <w:sz w:val="19"/>
        </w:rPr>
        <w:t>The scientific status is narrowed, not closed. The only defensible continuation is a grouped width-256 edge-state Deep Weight Space model trained through the scored final replay and stopped unless grouped CV gain is at least 1.10x with controlled tails.</w:t>
      </w:r>
    </w:p>
    <w:p>
      <w:pPr>
        <w:pStyle w:val="Heading1"/>
      </w:pPr>
      <w:r>
        <w:t>6. Opposite results that suggest better experiments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val="true"/>
        </w:trPr>
        <w:tc>
          <w:tcPr>
            <w:tcW w:type="dxa" w:w="2304"/>
            <w:shd w:fill="548235"/>
            <w:vAlign w:val="top"/>
            <w:tcMar>
              <w:top w:w="60" w:type="dxa"/>
              <w:start w:w="75" w:type="dxa"/>
              <w:bottom w:w="60" w:type="dxa"/>
              <w:end w:w="75" w:type="dxa"/>
            </w:tcMar>
          </w:tcPr>
          <w:p>
            <w:pPr>
              <w:spacing w:after="0" w:line="240" w:lineRule="auto"/>
              <w:jc w:val="center"/>
            </w:pPr>
            <w:r/>
            <w:r>
              <w:rPr>
                <w:rFonts w:ascii="Aptos" w:hAnsi="Aptos"/>
                <w:b/>
                <w:color w:val="FFFFFF"/>
                <w:sz w:val="16"/>
              </w:rPr>
              <w:t>Opposite results / tension</w:t>
            </w:r>
          </w:p>
        </w:tc>
        <w:tc>
          <w:tcPr>
            <w:tcW w:type="dxa" w:w="2880"/>
            <w:shd w:fill="548235"/>
            <w:vAlign w:val="top"/>
            <w:tcMar>
              <w:top w:w="60" w:type="dxa"/>
              <w:start w:w="75" w:type="dxa"/>
              <w:bottom w:w="60" w:type="dxa"/>
              <w:end w:w="75" w:type="dxa"/>
            </w:tcMar>
          </w:tcPr>
          <w:p>
            <w:pPr>
              <w:spacing w:after="0" w:line="240" w:lineRule="auto"/>
              <w:jc w:val="center"/>
            </w:pPr>
            <w:r/>
            <w:r>
              <w:rPr>
                <w:rFonts w:ascii="Aptos" w:hAnsi="Aptos"/>
                <w:b/>
                <w:color w:val="FFFFFF"/>
                <w:sz w:val="16"/>
              </w:rPr>
              <w:t>Synthesis</w:t>
            </w:r>
          </w:p>
        </w:tc>
        <w:tc>
          <w:tcPr>
            <w:tcW w:type="dxa" w:w="3312"/>
            <w:shd w:fill="548235"/>
            <w:vAlign w:val="top"/>
            <w:tcMar>
              <w:top w:w="60" w:type="dxa"/>
              <w:start w:w="75" w:type="dxa"/>
              <w:bottom w:w="60" w:type="dxa"/>
              <w:end w:w="75" w:type="dxa"/>
            </w:tcMar>
          </w:tcPr>
          <w:p>
            <w:pPr>
              <w:spacing w:after="0" w:line="240" w:lineRule="auto"/>
              <w:jc w:val="center"/>
            </w:pPr>
            <w:r/>
            <w:r>
              <w:rPr>
                <w:rFonts w:ascii="Aptos" w:hAnsi="Aptos"/>
                <w:b/>
                <w:color w:val="FFFFFF"/>
                <w:sz w:val="16"/>
              </w:rPr>
              <w:t>Best future experiment</w:t>
            </w:r>
          </w:p>
        </w:tc>
        <w:tc>
          <w:tcPr>
            <w:tcW w:type="dxa" w:w="2592"/>
            <w:shd w:fill="548235"/>
            <w:vAlign w:val="top"/>
            <w:tcMar>
              <w:top w:w="60" w:type="dxa"/>
              <w:start w:w="75" w:type="dxa"/>
              <w:bottom w:w="60" w:type="dxa"/>
              <w:end w:w="75" w:type="dxa"/>
            </w:tcMar>
          </w:tcPr>
          <w:p>
            <w:pPr>
              <w:spacing w:after="0" w:line="240" w:lineRule="auto"/>
              <w:jc w:val="center"/>
            </w:pPr>
            <w:r/>
            <w:r>
              <w:rPr>
                <w:rFonts w:ascii="Aptos" w:hAnsi="Aptos"/>
                <w:b/>
                <w:color w:val="FFFFFF"/>
                <w:sz w:val="16"/>
              </w:rPr>
              <w:t>Hard gate</w:t>
            </w:r>
          </w:p>
        </w:tc>
        <w:tc>
          <w:tcPr>
            <w:tcW w:type="dxa" w:w="2160"/>
            <w:shd w:fill="548235"/>
            <w:vAlign w:val="top"/>
            <w:tcMar>
              <w:top w:w="60" w:type="dxa"/>
              <w:start w:w="75" w:type="dxa"/>
              <w:bottom w:w="60" w:type="dxa"/>
              <w:end w:w="75" w:type="dxa"/>
            </w:tcMar>
          </w:tcPr>
          <w:p>
            <w:pPr>
              <w:spacing w:after="0" w:line="240" w:lineRule="auto"/>
              <w:jc w:val="center"/>
            </w:pPr>
            <w:r/>
            <w:r>
              <w:rPr>
                <w:rFonts w:ascii="Aptos" w:hAnsi="Aptos"/>
                <w:b/>
                <w:color w:val="FFFFFF"/>
                <w:sz w:val="16"/>
              </w:rPr>
              <w:t>Evidence caution</w:t>
            </w:r>
          </w:p>
        </w:tc>
      </w:tr>
      <w:tr>
        <w:trPr>
          <w:cantSplit w:val="true"/>
        </w:trPr>
        <w:tc>
          <w:tcPr>
            <w:tcW w:type="dxa" w:w="2304"/>
            <w:vAlign w:val="top"/>
            <w:tcMar>
              <w:top w:w="60" w:type="dxa"/>
              <w:start w:w="75" w:type="dxa"/>
              <w:bottom w:w="60" w:type="dxa"/>
              <w:end w:w="75" w:type="dxa"/>
            </w:tcMar>
          </w:tcPr>
          <w:p>
            <w:pPr>
              <w:spacing w:after="0" w:line="240" w:lineRule="auto"/>
            </w:pPr>
            <w:r/>
            <w:r>
              <w:rPr>
                <w:rFonts w:ascii="Aptos" w:hAnsi="Aptos"/>
                <w:b w:val="0"/>
                <w:color w:val="1F1F1F"/>
                <w:sz w:val="13"/>
              </w:rPr>
              <w:t>Oracle support nearly exact vs deployable coreset fails 11.7x gate</w:t>
            </w:r>
          </w:p>
        </w:tc>
        <w:tc>
          <w:tcPr>
            <w:tcW w:type="dxa" w:w="2880"/>
            <w:vAlign w:val="top"/>
            <w:tcMar>
              <w:top w:w="60" w:type="dxa"/>
              <w:start w:w="75" w:type="dxa"/>
              <w:bottom w:w="60" w:type="dxa"/>
              <w:end w:w="75" w:type="dxa"/>
            </w:tcMar>
          </w:tcPr>
          <w:p>
            <w:pPr>
              <w:spacing w:after="0" w:line="240" w:lineRule="auto"/>
            </w:pPr>
            <w:r/>
            <w:r>
              <w:rPr>
                <w:rFonts w:ascii="Aptos" w:hAnsi="Aptos"/>
                <w:b w:val="0"/>
                <w:color w:val="1F1F1F"/>
                <w:sz w:val="13"/>
              </w:rPr>
              <w:t>Coreset existence is not the issue; observable row-importance representation is.</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Before optimization, regress/measure a cheap proxy against oracle row importance/support recall on fresh networks.</w:t>
            </w:r>
          </w:p>
        </w:tc>
        <w:tc>
          <w:tcPr>
            <w:tcW w:type="dxa" w:w="2592"/>
            <w:vAlign w:val="top"/>
            <w:tcMar>
              <w:top w:w="60" w:type="dxa"/>
              <w:start w:w="75" w:type="dxa"/>
              <w:bottom w:w="60" w:type="dxa"/>
              <w:end w:w="75" w:type="dxa"/>
            </w:tcMar>
          </w:tcPr>
          <w:p>
            <w:pPr>
              <w:spacing w:after="0" w:line="240" w:lineRule="auto"/>
            </w:pPr>
            <w:r/>
            <w:r>
              <w:rPr>
                <w:rFonts w:ascii="Aptos" w:hAnsi="Aptos"/>
                <w:b w:val="0"/>
                <w:color w:val="1F1F1F"/>
                <w:sz w:val="13"/>
              </w:rPr>
              <w:t>Proxy must predict support with same-support oracle added MSE &lt;=1.1e-8 and safe worst case before any solver sweep.</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3"/>
              </w:rPr>
              <w:t>Exact geometry but synthetic N=20; broad class remains open only qualitatively.</w:t>
            </w:r>
          </w:p>
        </w:tc>
      </w:tr>
      <w:tr>
        <w:trPr>
          <w:cantSplit w:val="true"/>
        </w:trPr>
        <w:tc>
          <w:tcPr>
            <w:tcW w:type="dxa" w:w="2304"/>
            <w:shd w:fill="F8FBFD"/>
            <w:vAlign w:val="top"/>
            <w:tcMar>
              <w:top w:w="60" w:type="dxa"/>
              <w:start w:w="75" w:type="dxa"/>
              <w:bottom w:w="60" w:type="dxa"/>
              <w:end w:w="75" w:type="dxa"/>
            </w:tcMar>
          </w:tcPr>
          <w:p>
            <w:pPr>
              <w:spacing w:after="0" w:line="240" w:lineRule="auto"/>
            </w:pPr>
            <w:r/>
            <w:r>
              <w:rPr>
                <w:rFonts w:ascii="Aptos" w:hAnsi="Aptos"/>
                <w:b w:val="0"/>
                <w:color w:val="1F1F1F"/>
                <w:sz w:val="13"/>
              </w:rPr>
              <w:t>Layer31 oracle huge vs every phase predictor near zero</w:t>
            </w:r>
          </w:p>
        </w:tc>
        <w:tc>
          <w:tcPr>
            <w:tcW w:type="dxa" w:w="2880"/>
            <w:shd w:fill="F8FBFD"/>
            <w:vAlign w:val="top"/>
            <w:tcMar>
              <w:top w:w="60" w:type="dxa"/>
              <w:start w:w="75" w:type="dxa"/>
              <w:bottom w:w="60" w:type="dxa"/>
              <w:end w:w="75" w:type="dxa"/>
            </w:tcMar>
          </w:tcPr>
          <w:p>
            <w:pPr>
              <w:spacing w:after="0" w:line="240" w:lineRule="auto"/>
            </w:pPr>
            <w:r/>
            <w:r>
              <w:rPr>
                <w:rFonts w:ascii="Aptos" w:hAnsi="Aptos"/>
                <w:b w:val="0"/>
                <w:color w:val="1F1F1F"/>
                <w:sz w:val="13"/>
              </w:rPr>
              <w:t>Coordinates and downstream map are accessible; signed absolute defect is missing.</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Independently centered target-contracted source estimator or companion cubature; evaluate signed coefficient cosine and final replay.</w:t>
            </w:r>
          </w:p>
        </w:tc>
        <w:tc>
          <w:tcPr>
            <w:tcW w:type="dxa" w:w="2592"/>
            <w:shd w:fill="F8FBFD"/>
            <w:vAlign w:val="top"/>
            <w:tcMar>
              <w:top w:w="60" w:type="dxa"/>
              <w:start w:w="75" w:type="dxa"/>
              <w:bottom w:w="60" w:type="dxa"/>
              <w:end w:w="75" w:type="dxa"/>
            </w:tcMar>
          </w:tcPr>
          <w:p>
            <w:pPr>
              <w:spacing w:after="0" w:line="240" w:lineRule="auto"/>
            </w:pPr>
            <w:r/>
            <w:r>
              <w:rPr>
                <w:rFonts w:ascii="Aptos" w:hAnsi="Aptos"/>
                <w:b w:val="0"/>
                <w:color w:val="1F1F1F"/>
                <w:sz w:val="13"/>
              </w:rPr>
              <w:t>&gt;=1.3x raw on frozen validation, positive cosine, safe tails, positive adjusted score.</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3"/>
              </w:rPr>
              <w:t>Do not confuse activation-distribution accuracy with cubature-phase accuracy.</w:t>
            </w:r>
          </w:p>
        </w:tc>
      </w:tr>
      <w:tr>
        <w:trPr>
          <w:cantSplit w:val="true"/>
        </w:trPr>
        <w:tc>
          <w:tcPr>
            <w:tcW w:type="dxa" w:w="2304"/>
            <w:vAlign w:val="top"/>
            <w:tcMar>
              <w:top w:w="60" w:type="dxa"/>
              <w:start w:w="75" w:type="dxa"/>
              <w:bottom w:w="60" w:type="dxa"/>
              <w:end w:w="75" w:type="dxa"/>
            </w:tcMar>
          </w:tcPr>
          <w:p>
            <w:pPr>
              <w:spacing w:after="0" w:line="240" w:lineRule="auto"/>
            </w:pPr>
            <w:r/>
            <w:r>
              <w:rPr>
                <w:rFonts w:ascii="Aptos" w:hAnsi="Aptos"/>
                <w:b w:val="0"/>
                <w:color w:val="1F1F1F"/>
                <w:sz w:val="13"/>
              </w:rPr>
              <w:t>Partial-MUB sign improves with sample size vs adjusted score collapses</w:t>
            </w:r>
          </w:p>
        </w:tc>
        <w:tc>
          <w:tcPr>
            <w:tcW w:type="dxa" w:w="2880"/>
            <w:vAlign w:val="top"/>
            <w:tcMar>
              <w:top w:w="60" w:type="dxa"/>
              <w:start w:w="75" w:type="dxa"/>
              <w:bottom w:w="60" w:type="dxa"/>
              <w:end w:w="75" w:type="dxa"/>
            </w:tcMar>
          </w:tcPr>
          <w:p>
            <w:pPr>
              <w:spacing w:after="0" w:line="240" w:lineRule="auto"/>
            </w:pPr>
            <w:r/>
            <w:r>
              <w:rPr>
                <w:rFonts w:ascii="Aptos" w:hAnsi="Aptos"/>
                <w:b w:val="0"/>
                <w:color w:val="1F1F1F"/>
                <w:sz w:val="13"/>
              </w:rPr>
              <w:t>Independent samples contain the sign, but ordinary trajectories cost too much.</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Shared-arithmetic companion rule reusing first31 layers / basis transforms; target only8–16 coefficients.</w:t>
            </w:r>
          </w:p>
        </w:tc>
        <w:tc>
          <w:tcPr>
            <w:tcW w:type="dxa" w:w="2592"/>
            <w:vAlign w:val="top"/>
            <w:tcMar>
              <w:top w:w="60" w:type="dxa"/>
              <w:start w:w="75" w:type="dxa"/>
              <w:bottom w:w="60" w:type="dxa"/>
              <w:end w:w="75" w:type="dxa"/>
            </w:tcMar>
          </w:tcPr>
          <w:p>
            <w:pPr>
              <w:spacing w:after="0" w:line="240" w:lineRule="auto"/>
            </w:pPr>
            <w:r/>
            <w:r>
              <w:rPr>
                <w:rFonts w:ascii="Aptos" w:hAnsi="Aptos"/>
                <w:b w:val="0"/>
                <w:color w:val="1F1F1F"/>
                <w:sz w:val="13"/>
              </w:rPr>
              <w:t>True incremental compute&lt;=1–2%, raw gain&gt;=1.10 or strong sparse-control composition.</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3"/>
              </w:rPr>
              <w:t>N=8 scaling is suggestive, not a validation claim.</w:t>
            </w:r>
          </w:p>
        </w:tc>
      </w:tr>
      <w:tr>
        <w:trPr>
          <w:cantSplit w:val="true"/>
        </w:trPr>
        <w:tc>
          <w:tcPr>
            <w:tcW w:type="dxa" w:w="2304"/>
            <w:shd w:fill="F8FBFD"/>
            <w:vAlign w:val="top"/>
            <w:tcMar>
              <w:top w:w="60" w:type="dxa"/>
              <w:start w:w="75" w:type="dxa"/>
              <w:bottom w:w="60" w:type="dxa"/>
              <w:end w:w="75" w:type="dxa"/>
            </w:tcMar>
          </w:tcPr>
          <w:p>
            <w:pPr>
              <w:spacing w:after="0" w:line="240" w:lineRule="auto"/>
            </w:pPr>
            <w:r/>
            <w:r>
              <w:rPr>
                <w:rFonts w:ascii="Aptos" w:hAnsi="Aptos"/>
                <w:b w:val="0"/>
                <w:color w:val="1F1F1F"/>
                <w:sz w:val="13"/>
              </w:rPr>
              <w:t>Oracle rank4 c21/M85 gains vs factorized/source closure failures</w:t>
            </w:r>
          </w:p>
        </w:tc>
        <w:tc>
          <w:tcPr>
            <w:tcW w:type="dxa" w:w="2880"/>
            <w:shd w:fill="F8FBFD"/>
            <w:vAlign w:val="top"/>
            <w:tcMar>
              <w:top w:w="60" w:type="dxa"/>
              <w:start w:w="75" w:type="dxa"/>
              <w:bottom w:w="60" w:type="dxa"/>
              <w:end w:w="75" w:type="dxa"/>
            </w:tcMar>
          </w:tcPr>
          <w:p>
            <w:pPr>
              <w:spacing w:after="0" w:line="240" w:lineRule="auto"/>
            </w:pPr>
            <w:r/>
            <w:r>
              <w:rPr>
                <w:rFonts w:ascii="Aptos" w:hAnsi="Aptos"/>
                <w:b w:val="0"/>
                <w:color w:val="1F1F1F"/>
                <w:sz w:val="13"/>
              </w:rPr>
              <w:t>Control features are useful; anchor approximation is the sole bottleneck.</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Freeze features/regression and compare independent center/source estimators with oracle/deployable ablations.</w:t>
            </w:r>
          </w:p>
        </w:tc>
        <w:tc>
          <w:tcPr>
            <w:tcW w:type="dxa" w:w="2592"/>
            <w:shd w:fill="F8FBFD"/>
            <w:vAlign w:val="top"/>
            <w:tcMar>
              <w:top w:w="60" w:type="dxa"/>
              <w:start w:w="75" w:type="dxa"/>
              <w:bottom w:w="60" w:type="dxa"/>
              <w:end w:w="75" w:type="dxa"/>
            </w:tcMar>
          </w:tcPr>
          <w:p>
            <w:pPr>
              <w:spacing w:after="0" w:line="240" w:lineRule="auto"/>
            </w:pPr>
            <w:r/>
            <w:r>
              <w:rPr>
                <w:rFonts w:ascii="Aptos" w:hAnsi="Aptos"/>
                <w:b w:val="0"/>
                <w:color w:val="1F1F1F"/>
                <w:sz w:val="13"/>
              </w:rPr>
              <w:t>Retain&gt;=70–90% oracle-control gain under&lt;10–14B and safe worst network.</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3"/>
              </w:rPr>
              <w:t>Do not reopen feature searches before anchor test.</w:t>
            </w:r>
          </w:p>
        </w:tc>
      </w:tr>
      <w:tr>
        <w:trPr>
          <w:cantSplit w:val="true"/>
        </w:trPr>
        <w:tc>
          <w:tcPr>
            <w:tcW w:type="dxa" w:w="2304"/>
            <w:vAlign w:val="top"/>
            <w:tcMar>
              <w:top w:w="60" w:type="dxa"/>
              <w:start w:w="75" w:type="dxa"/>
              <w:bottom w:w="60" w:type="dxa"/>
              <w:end w:w="75" w:type="dxa"/>
            </w:tcMar>
          </w:tcPr>
          <w:p>
            <w:pPr>
              <w:spacing w:after="0" w:line="240" w:lineRule="auto"/>
            </w:pPr>
            <w:r/>
            <w:r>
              <w:rPr>
                <w:rFonts w:ascii="Aptos" w:hAnsi="Aptos"/>
                <w:b w:val="0"/>
                <w:color w:val="1F1F1F"/>
                <w:sz w:val="13"/>
              </w:rPr>
              <w:t>Adjoint factorized handoff exact/cheap vs 31% oracle gap</w:t>
            </w:r>
          </w:p>
        </w:tc>
        <w:tc>
          <w:tcPr>
            <w:tcW w:type="dxa" w:w="2880"/>
            <w:vAlign w:val="top"/>
            <w:tcMar>
              <w:top w:w="60" w:type="dxa"/>
              <w:start w:w="75" w:type="dxa"/>
              <w:bottom w:w="60" w:type="dxa"/>
              <w:end w:w="75" w:type="dxa"/>
            </w:tcMar>
          </w:tcPr>
          <w:p>
            <w:pPr>
              <w:spacing w:after="0" w:line="240" w:lineRule="auto"/>
            </w:pPr>
            <w:r/>
            <w:r>
              <w:rPr>
                <w:rFonts w:ascii="Aptos" w:hAnsi="Aptos"/>
                <w:b w:val="0"/>
                <w:color w:val="1F1F1F"/>
                <w:sz w:val="13"/>
              </w:rPr>
              <w:t>Backward contraction solved the wrong target accurately; factorized closure omits real source.</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Measure signed layerwise oracle source decomposition and design only target-contracted local source corrections.</w:t>
            </w:r>
          </w:p>
        </w:tc>
        <w:tc>
          <w:tcPr>
            <w:tcW w:type="dxa" w:w="2592"/>
            <w:vAlign w:val="top"/>
            <w:tcMar>
              <w:top w:w="60" w:type="dxa"/>
              <w:start w:w="75" w:type="dxa"/>
              <w:bottom w:w="60" w:type="dxa"/>
              <w:end w:w="75" w:type="dxa"/>
            </w:tcMar>
          </w:tcPr>
          <w:p>
            <w:pPr>
              <w:spacing w:after="0" w:line="240" w:lineRule="auto"/>
            </w:pPr>
            <w:r/>
            <w:r>
              <w:rPr>
                <w:rFonts w:ascii="Aptos" w:hAnsi="Aptos"/>
                <w:b w:val="0"/>
                <w:color w:val="1F1F1F"/>
                <w:sz w:val="13"/>
              </w:rPr>
              <w:t>Real source model must reduce factorized-to-oracle gap materially and improve complete-control MSE.</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3"/>
              </w:rPr>
              <w:t>Factorized-anchor accuracy is not oracle-anchor accuracy.</w:t>
            </w:r>
          </w:p>
        </w:tc>
      </w:tr>
      <w:tr>
        <w:trPr>
          <w:cantSplit w:val="true"/>
        </w:trPr>
        <w:tc>
          <w:tcPr>
            <w:tcW w:type="dxa" w:w="2304"/>
            <w:shd w:fill="F8FBFD"/>
            <w:vAlign w:val="top"/>
            <w:tcMar>
              <w:top w:w="60" w:type="dxa"/>
              <w:start w:w="75" w:type="dxa"/>
              <w:bottom w:w="60" w:type="dxa"/>
              <w:end w:w="75" w:type="dxa"/>
            </w:tcMar>
          </w:tcPr>
          <w:p>
            <w:pPr>
              <w:spacing w:after="0" w:line="240" w:lineRule="auto"/>
            </w:pPr>
            <w:r/>
            <w:r>
              <w:rPr>
                <w:rFonts w:ascii="Aptos" w:hAnsi="Aptos"/>
                <w:b w:val="0"/>
                <w:color w:val="1F1F1F"/>
                <w:sz w:val="13"/>
              </w:rPr>
              <w:t>Shared center map toy rank6 vs width256 proxy rank128</w:t>
            </w:r>
          </w:p>
        </w:tc>
        <w:tc>
          <w:tcPr>
            <w:tcW w:type="dxa" w:w="2880"/>
            <w:shd w:fill="F8FBFD"/>
            <w:vAlign w:val="top"/>
            <w:tcMar>
              <w:top w:w="60" w:type="dxa"/>
              <w:start w:w="75" w:type="dxa"/>
              <w:bottom w:w="60" w:type="dxa"/>
              <w:end w:w="75" w:type="dxa"/>
            </w:tcMar>
          </w:tcPr>
          <w:p>
            <w:pPr>
              <w:spacing w:after="0" w:line="240" w:lineRule="auto"/>
            </w:pPr>
            <w:r/>
            <w:r>
              <w:rPr>
                <w:rFonts w:ascii="Aptos" w:hAnsi="Aptos"/>
                <w:b w:val="0"/>
                <w:color w:val="1F1F1F"/>
                <w:sz w:val="13"/>
              </w:rPr>
              <w:t>Shared does not imply compressible; real rank may be high.</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Recover frozen probes and compute real B singular spectrum, downstream weighting and layer31 overlap.</w:t>
            </w:r>
          </w:p>
        </w:tc>
        <w:tc>
          <w:tcPr>
            <w:tcW w:type="dxa" w:w="2592"/>
            <w:shd w:fill="F8FBFD"/>
            <w:vAlign w:val="top"/>
            <w:tcMar>
              <w:top w:w="60" w:type="dxa"/>
              <w:start w:w="75" w:type="dxa"/>
              <w:bottom w:w="60" w:type="dxa"/>
              <w:end w:w="75" w:type="dxa"/>
            </w:tcMar>
          </w:tcPr>
          <w:p>
            <w:pPr>
              <w:spacing w:after="0" w:line="240" w:lineRule="auto"/>
            </w:pPr>
            <w:r/>
            <w:r>
              <w:rPr>
                <w:rFonts w:ascii="Aptos" w:hAnsi="Aptos"/>
                <w:b w:val="0"/>
                <w:color w:val="1F1F1F"/>
                <w:sz w:val="13"/>
              </w:rPr>
              <w:t>Proceed to rank&lt;=16 predictor only if &gt;=90% relevant energy retained.</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3"/>
              </w:rPr>
              <w:t>Toy algebra is not empirical ARC evidence.</w:t>
            </w:r>
          </w:p>
        </w:tc>
      </w:tr>
      <w:tr>
        <w:trPr>
          <w:cantSplit w:val="true"/>
        </w:trPr>
        <w:tc>
          <w:tcPr>
            <w:tcW w:type="dxa" w:w="2304"/>
            <w:vAlign w:val="top"/>
            <w:tcMar>
              <w:top w:w="60" w:type="dxa"/>
              <w:start w:w="75" w:type="dxa"/>
              <w:bottom w:w="60" w:type="dxa"/>
              <w:end w:w="75" w:type="dxa"/>
            </w:tcMar>
          </w:tcPr>
          <w:p>
            <w:pPr>
              <w:spacing w:after="0" w:line="240" w:lineRule="auto"/>
            </w:pPr>
            <w:r/>
            <w:r>
              <w:rPr>
                <w:rFonts w:ascii="Aptos" w:hAnsi="Aptos"/>
                <w:b w:val="0"/>
                <w:color w:val="1F1F1F"/>
                <w:sz w:val="13"/>
              </w:rPr>
              <w:t>Stable-gate surrogate correlation0.99944 vs MLMC 26.5% worse</w:t>
            </w:r>
          </w:p>
        </w:tc>
        <w:tc>
          <w:tcPr>
            <w:tcW w:type="dxa" w:w="2880"/>
            <w:vAlign w:val="top"/>
            <w:tcMar>
              <w:top w:w="60" w:type="dxa"/>
              <w:start w:w="75" w:type="dxa"/>
              <w:bottom w:w="60" w:type="dxa"/>
              <w:end w:w="75" w:type="dxa"/>
            </w:tcMar>
          </w:tcPr>
          <w:p>
            <w:pPr>
              <w:spacing w:after="0" w:line="240" w:lineRule="auto"/>
            </w:pPr>
            <w:r/>
            <w:r>
              <w:rPr>
                <w:rFonts w:ascii="Aptos" w:hAnsi="Aptos"/>
                <w:b w:val="0"/>
                <w:color w:val="1F1F1F"/>
                <w:sz w:val="13"/>
              </w:rPr>
              <w:t>Pointwise/R² and i.i.d. block variance ignore deterministic global Kerdock cancellation.</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Any multilevel estimator must preserve complete designs as units or use algebraically zero-mean corrections.</w:t>
            </w:r>
          </w:p>
        </w:tc>
        <w:tc>
          <w:tcPr>
            <w:tcW w:type="dxa" w:w="2592"/>
            <w:vAlign w:val="top"/>
            <w:tcMar>
              <w:top w:w="60" w:type="dxa"/>
              <w:start w:w="75" w:type="dxa"/>
              <w:bottom w:w="60" w:type="dxa"/>
              <w:end w:w="75" w:type="dxa"/>
            </w:tcMar>
          </w:tcPr>
          <w:p>
            <w:pPr>
              <w:spacing w:after="0" w:line="240" w:lineRule="auto"/>
            </w:pPr>
            <w:r/>
            <w:r>
              <w:rPr>
                <w:rFonts w:ascii="Aptos" w:hAnsi="Aptos"/>
                <w:b w:val="0"/>
                <w:color w:val="1F1F1F"/>
                <w:sz w:val="13"/>
              </w:rPr>
              <w:t>No arbitrary partial-basis allocation; full coupled MSE must improve after cost.</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3"/>
              </w:rPr>
              <w:t>High correlation is a misleading surrogate metric.</w:t>
            </w:r>
          </w:p>
        </w:tc>
      </w:tr>
      <w:tr>
        <w:trPr>
          <w:cantSplit w:val="true"/>
        </w:trPr>
        <w:tc>
          <w:tcPr>
            <w:tcW w:type="dxa" w:w="2304"/>
            <w:shd w:fill="F8FBFD"/>
            <w:vAlign w:val="top"/>
            <w:tcMar>
              <w:top w:w="60" w:type="dxa"/>
              <w:start w:w="75" w:type="dxa"/>
              <w:bottom w:w="60" w:type="dxa"/>
              <w:end w:w="75" w:type="dxa"/>
            </w:tcMar>
          </w:tcPr>
          <w:p>
            <w:pPr>
              <w:spacing w:after="0" w:line="240" w:lineRule="auto"/>
            </w:pPr>
            <w:r/>
            <w:r>
              <w:rPr>
                <w:rFonts w:ascii="Aptos" w:hAnsi="Aptos"/>
                <w:b w:val="0"/>
                <w:color w:val="1F1F1F"/>
                <w:sz w:val="13"/>
              </w:rPr>
              <w:t>Degree6 is first live harmonic vs harmonic controls fail</w:t>
            </w:r>
          </w:p>
        </w:tc>
        <w:tc>
          <w:tcPr>
            <w:tcW w:type="dxa" w:w="2880"/>
            <w:shd w:fill="F8FBFD"/>
            <w:vAlign w:val="top"/>
            <w:tcMar>
              <w:top w:w="60" w:type="dxa"/>
              <w:start w:w="75" w:type="dxa"/>
              <w:bottom w:w="60" w:type="dxa"/>
              <w:end w:w="75" w:type="dxa"/>
            </w:tcMar>
          </w:tcPr>
          <w:p>
            <w:pPr>
              <w:spacing w:after="0" w:line="240" w:lineRule="auto"/>
            </w:pPr>
            <w:r/>
            <w:r>
              <w:rPr>
                <w:rFonts w:ascii="Aptos" w:hAnsi="Aptos"/>
                <w:b w:val="0"/>
                <w:color w:val="1F1F1F"/>
                <w:sz w:val="13"/>
              </w:rPr>
              <w:t>First live does not mean dominant or observable; ensemble degree6 ceiling only~13.9%.</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Use degree6 only as an exact-zero-mean internal feature for an independently anchored late control.</w:t>
            </w:r>
          </w:p>
        </w:tc>
        <w:tc>
          <w:tcPr>
            <w:tcW w:type="dxa" w:w="2592"/>
            <w:shd w:fill="F8FBFD"/>
            <w:vAlign w:val="top"/>
            <w:tcMar>
              <w:top w:w="60" w:type="dxa"/>
              <w:start w:w="75" w:type="dxa"/>
              <w:bottom w:w="60" w:type="dxa"/>
              <w:end w:w="75" w:type="dxa"/>
            </w:tcMar>
          </w:tcPr>
          <w:p>
            <w:pPr>
              <w:spacing w:after="0" w:line="240" w:lineRule="auto"/>
            </w:pPr>
            <w:r/>
            <w:r>
              <w:rPr>
                <w:rFonts w:ascii="Aptos" w:hAnsi="Aptos"/>
                <w:b w:val="0"/>
                <w:color w:val="1F1F1F"/>
                <w:sz w:val="13"/>
              </w:rPr>
              <w:t>No standalone revival without &gt;=5% adjusted frozen gain and safe tails.</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3"/>
              </w:rPr>
              <w:t>Two separate frozen failures exist.</w:t>
            </w:r>
          </w:p>
        </w:tc>
      </w:tr>
      <w:tr>
        <w:trPr>
          <w:cantSplit w:val="true"/>
        </w:trPr>
        <w:tc>
          <w:tcPr>
            <w:tcW w:type="dxa" w:w="2304"/>
            <w:vAlign w:val="top"/>
            <w:tcMar>
              <w:top w:w="60" w:type="dxa"/>
              <w:start w:w="75" w:type="dxa"/>
              <w:bottom w:w="60" w:type="dxa"/>
              <w:end w:w="75" w:type="dxa"/>
            </w:tcMar>
          </w:tcPr>
          <w:p>
            <w:pPr>
              <w:spacing w:after="0" w:line="240" w:lineRule="auto"/>
            </w:pPr>
            <w:r/>
            <w:r>
              <w:rPr>
                <w:rFonts w:ascii="Aptos" w:hAnsi="Aptos"/>
                <w:b w:val="0"/>
                <w:color w:val="1F1F1F"/>
                <w:sz w:val="13"/>
              </w:rPr>
              <w:t>Mean-field bias learnable vs Kerdock phase not learnable</w:t>
            </w:r>
          </w:p>
        </w:tc>
        <w:tc>
          <w:tcPr>
            <w:tcW w:type="dxa" w:w="2880"/>
            <w:vAlign w:val="top"/>
            <w:tcMar>
              <w:top w:w="60" w:type="dxa"/>
              <w:start w:w="75" w:type="dxa"/>
              <w:bottom w:w="60" w:type="dxa"/>
              <w:end w:w="75" w:type="dxa"/>
            </w:tcMar>
          </w:tcPr>
          <w:p>
            <w:pPr>
              <w:spacing w:after="0" w:line="240" w:lineRule="auto"/>
            </w:pPr>
            <w:r/>
            <w:r>
              <w:rPr>
                <w:rFonts w:ascii="Aptos" w:hAnsi="Aptos"/>
                <w:b w:val="0"/>
                <w:color w:val="1F1F1F"/>
                <w:sz w:val="13"/>
              </w:rPr>
              <w:t>Smooth closure error is predictable; orientation-sensitive high-degree phase is not with tested features.</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Predict residual coefficients of an independent analytic/micro-cubature anchor, not raw Kerdock residual.</w:t>
            </w:r>
          </w:p>
        </w:tc>
        <w:tc>
          <w:tcPr>
            <w:tcW w:type="dxa" w:w="2592"/>
            <w:vAlign w:val="top"/>
            <w:tcMar>
              <w:top w:w="60" w:type="dxa"/>
              <w:start w:w="75" w:type="dxa"/>
              <w:bottom w:w="60" w:type="dxa"/>
              <w:end w:w="75" w:type="dxa"/>
            </w:tcMar>
          </w:tcPr>
          <w:p>
            <w:pPr>
              <w:spacing w:after="0" w:line="240" w:lineRule="auto"/>
            </w:pPr>
            <w:r/>
            <w:r>
              <w:rPr>
                <w:rFonts w:ascii="Aptos" w:hAnsi="Aptos"/>
                <w:b w:val="0"/>
                <w:color w:val="1F1F1F"/>
                <w:sz w:val="13"/>
              </w:rPr>
              <w:t>Width256 grouped CV gain&gt;=1.10, lower CI&gt;=1.05, tails controlled.</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3"/>
              </w:rPr>
              <w:t>Reduced-width negatives narrow but do not universally close DWS.</w:t>
            </w:r>
          </w:p>
        </w:tc>
      </w:tr>
      <w:tr>
        <w:trPr>
          <w:cantSplit w:val="true"/>
        </w:trPr>
        <w:tc>
          <w:tcPr>
            <w:tcW w:type="dxa" w:w="2304"/>
            <w:shd w:fill="F8FBFD"/>
            <w:vAlign w:val="top"/>
            <w:tcMar>
              <w:top w:w="60" w:type="dxa"/>
              <w:start w:w="75" w:type="dxa"/>
              <w:bottom w:w="60" w:type="dxa"/>
              <w:end w:w="75" w:type="dxa"/>
            </w:tcMar>
          </w:tcPr>
          <w:p>
            <w:pPr>
              <w:spacing w:after="0" w:line="240" w:lineRule="auto"/>
            </w:pPr>
            <w:r/>
            <w:r>
              <w:rPr>
                <w:rFonts w:ascii="Aptos" w:hAnsi="Aptos"/>
                <w:b w:val="0"/>
                <w:color w:val="1F1F1F"/>
                <w:sz w:val="13"/>
              </w:rPr>
              <w:t>Oracle x1/x1a recursive gains vs PSD clipping destroys them</w:t>
            </w:r>
          </w:p>
        </w:tc>
        <w:tc>
          <w:tcPr>
            <w:tcW w:type="dxa" w:w="2880"/>
            <w:shd w:fill="F8FBFD"/>
            <w:vAlign w:val="top"/>
            <w:tcMar>
              <w:top w:w="60" w:type="dxa"/>
              <w:start w:w="75" w:type="dxa"/>
              <w:bottom w:w="60" w:type="dxa"/>
              <w:end w:w="75" w:type="dxa"/>
            </w:tcMar>
          </w:tcPr>
          <w:p>
            <w:pPr>
              <w:spacing w:after="0" w:line="240" w:lineRule="auto"/>
            </w:pPr>
            <w:r/>
            <w:r>
              <w:rPr>
                <w:rFonts w:ascii="Aptos" w:hAnsi="Aptos"/>
                <w:b w:val="0"/>
                <w:color w:val="1F1F1F"/>
                <w:sz w:val="13"/>
              </w:rPr>
              <w:t>The useful correction may live in contracted outputs even when no coherent full covariance state exists.</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Propagate only adjoint-weighted contractions or learn a valid factorized state intrinsically; avoid post-hoc clipping.</w:t>
            </w:r>
          </w:p>
        </w:tc>
        <w:tc>
          <w:tcPr>
            <w:tcW w:type="dxa" w:w="2592"/>
            <w:shd w:fill="F8FBFD"/>
            <w:vAlign w:val="top"/>
            <w:tcMar>
              <w:top w:w="60" w:type="dxa"/>
              <w:start w:w="75" w:type="dxa"/>
              <w:bottom w:w="60" w:type="dxa"/>
              <w:end w:w="75" w:type="dxa"/>
            </w:tcMar>
          </w:tcPr>
          <w:p>
            <w:pPr>
              <w:spacing w:after="0" w:line="240" w:lineRule="auto"/>
            </w:pPr>
            <w:r/>
            <w:r>
              <w:rPr>
                <w:rFonts w:ascii="Aptos" w:hAnsi="Aptos"/>
                <w:b w:val="0"/>
                <w:color w:val="1F1F1F"/>
                <w:sz w:val="13"/>
              </w:rPr>
              <w:t>Complete estimator must retain gain without repeated repairs.</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3"/>
              </w:rPr>
              <w:t>Oracle features and invalid state are mechanism evidence only.</w:t>
            </w:r>
          </w:p>
        </w:tc>
      </w:tr>
      <w:tr>
        <w:trPr>
          <w:cantSplit w:val="true"/>
        </w:trPr>
        <w:tc>
          <w:tcPr>
            <w:tcW w:type="dxa" w:w="2304"/>
            <w:vAlign w:val="top"/>
            <w:tcMar>
              <w:top w:w="60" w:type="dxa"/>
              <w:start w:w="75" w:type="dxa"/>
              <w:bottom w:w="60" w:type="dxa"/>
              <w:end w:w="75" w:type="dxa"/>
            </w:tcMar>
          </w:tcPr>
          <w:p>
            <w:pPr>
              <w:spacing w:after="0" w:line="240" w:lineRule="auto"/>
            </w:pPr>
            <w:r/>
            <w:r>
              <w:rPr>
                <w:rFonts w:ascii="Aptos" w:hAnsi="Aptos"/>
                <w:b w:val="0"/>
                <w:color w:val="1F1F1F"/>
                <w:sz w:val="13"/>
              </w:rPr>
              <w:t>Same-cloud Edgeworth expected near-neutral vs observed12.996</w:t>
            </w:r>
          </w:p>
        </w:tc>
        <w:tc>
          <w:tcPr>
            <w:tcW w:type="dxa" w:w="2880"/>
            <w:vAlign w:val="top"/>
            <w:tcMar>
              <w:top w:w="60" w:type="dxa"/>
              <w:start w:w="75" w:type="dxa"/>
              <w:bottom w:w="60" w:type="dxa"/>
              <w:end w:w="75" w:type="dxa"/>
            </w:tcMar>
          </w:tcPr>
          <w:p>
            <w:pPr>
              <w:spacing w:after="0" w:line="240" w:lineRule="auto"/>
            </w:pPr>
            <w:r/>
            <w:r>
              <w:rPr>
                <w:rFonts w:ascii="Aptos" w:hAnsi="Aptos"/>
                <w:b w:val="0"/>
                <w:color w:val="1F1F1F"/>
                <w:sz w:val="13"/>
              </w:rPr>
              <w:t>Same-cloud corrections can actively corrupt the binding mean, not just telescope.</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Use external absolute center and test mean-only ablation before any cubic correction.</w:t>
            </w:r>
          </w:p>
        </w:tc>
        <w:tc>
          <w:tcPr>
            <w:tcW w:type="dxa" w:w="2592"/>
            <w:vAlign w:val="top"/>
            <w:tcMar>
              <w:top w:w="60" w:type="dxa"/>
              <w:start w:w="75" w:type="dxa"/>
              <w:bottom w:w="60" w:type="dxa"/>
              <w:end w:w="75" w:type="dxa"/>
            </w:tcMar>
          </w:tcPr>
          <w:p>
            <w:pPr>
              <w:spacing w:after="0" w:line="240" w:lineRule="auto"/>
            </w:pPr>
            <w:r/>
            <w:r>
              <w:rPr>
                <w:rFonts w:ascii="Aptos" w:hAnsi="Aptos"/>
                <w:b w:val="0"/>
                <w:color w:val="1F1F1F"/>
                <w:sz w:val="13"/>
              </w:rPr>
              <w:t>Mean error&lt;0.3%, break-even&lt;0.45%, complete-control tail safe.</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3"/>
              </w:rPr>
              <w:t>Predictions from tensor accuracy were wrong; rely on measured final MSE.</w:t>
            </w:r>
          </w:p>
        </w:tc>
      </w:tr>
      <w:tr>
        <w:trPr>
          <w:cantSplit w:val="true"/>
        </w:trPr>
        <w:tc>
          <w:tcPr>
            <w:tcW w:type="dxa" w:w="2304"/>
            <w:shd w:fill="F8FBFD"/>
            <w:vAlign w:val="top"/>
            <w:tcMar>
              <w:top w:w="60" w:type="dxa"/>
              <w:start w:w="75" w:type="dxa"/>
              <w:bottom w:w="60" w:type="dxa"/>
              <w:end w:w="75" w:type="dxa"/>
            </w:tcMar>
          </w:tcPr>
          <w:p>
            <w:pPr>
              <w:spacing w:after="0" w:line="240" w:lineRule="auto"/>
            </w:pPr>
            <w:r/>
            <w:r>
              <w:rPr>
                <w:rFonts w:ascii="Aptos" w:hAnsi="Aptos"/>
                <w:b w:val="0"/>
                <w:color w:val="1F1F1F"/>
                <w:sz w:val="13"/>
              </w:rPr>
              <w:t>Small screens produce large leads vs frozen reversals</w:t>
            </w:r>
          </w:p>
        </w:tc>
        <w:tc>
          <w:tcPr>
            <w:tcW w:type="dxa" w:w="2880"/>
            <w:shd w:fill="F8FBFD"/>
            <w:vAlign w:val="top"/>
            <w:tcMar>
              <w:top w:w="60" w:type="dxa"/>
              <w:start w:w="75" w:type="dxa"/>
              <w:bottom w:w="60" w:type="dxa"/>
              <w:end w:w="75" w:type="dxa"/>
            </w:tcMar>
          </w:tcPr>
          <w:p>
            <w:pPr>
              <w:spacing w:after="0" w:line="240" w:lineRule="auto"/>
            </w:pPr>
            <w:r/>
            <w:r>
              <w:rPr>
                <w:rFonts w:ascii="Aptos" w:hAnsi="Aptos"/>
                <w:b w:val="0"/>
                <w:color w:val="1F1F1F"/>
                <w:sz w:val="13"/>
              </w:rPr>
              <w:t>Network heterogeneity and target noise dominate many sub-5% effects.</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Immutable 8/24/64+ stages, network bootstrap, reference-noise correction and no holdout reuse.</w:t>
            </w:r>
          </w:p>
        </w:tc>
        <w:tc>
          <w:tcPr>
            <w:tcW w:type="dxa" w:w="2592"/>
            <w:shd w:fill="F8FBFD"/>
            <w:vAlign w:val="top"/>
            <w:tcMar>
              <w:top w:w="60" w:type="dxa"/>
              <w:start w:w="75" w:type="dxa"/>
              <w:bottom w:w="60" w:type="dxa"/>
              <w:end w:w="75" w:type="dxa"/>
            </w:tcMar>
          </w:tcPr>
          <w:p>
            <w:pPr>
              <w:spacing w:after="0" w:line="240" w:lineRule="auto"/>
            </w:pPr>
            <w:r/>
            <w:r>
              <w:rPr>
                <w:rFonts w:ascii="Aptos" w:hAnsi="Aptos"/>
                <w:b w:val="0"/>
                <w:color w:val="1F1F1F"/>
                <w:sz w:val="13"/>
              </w:rPr>
              <w:t>Major path&gt;=1.3x screen; cheap additive&gt;=5% adjusted with CI and tail gates.</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3"/>
              </w:rPr>
              <w:t>Small synthetic evidence can kill exact code paths but should not close broad classes.</w:t>
            </w:r>
          </w:p>
        </w:tc>
      </w:tr>
    </w:tbl>
    <w:p>
      <w:pPr>
        <w:spacing w:after="20"/>
      </w:pPr>
    </w:p>
    <w:p>
      <w:pPr>
        <w:pStyle w:val="Heading1"/>
      </w:pPr>
      <w:r>
        <w:t>7. Canonical next experiments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936"/>
            <w:shd w:fill="17365D"/>
            <w:vAlign w:val="top"/>
            <w:tcMar>
              <w:top w:w="60" w:type="dxa"/>
              <w:start w:w="75" w:type="dxa"/>
              <w:bottom w:w="60" w:type="dxa"/>
              <w:end w:w="75" w:type="dxa"/>
            </w:tcMar>
          </w:tcPr>
          <w:p>
            <w:pPr>
              <w:spacing w:after="0" w:line="240" w:lineRule="auto"/>
              <w:jc w:val="center"/>
            </w:pPr>
            <w:r/>
            <w:r>
              <w:rPr>
                <w:rFonts w:ascii="Aptos" w:hAnsi="Aptos"/>
                <w:b/>
                <w:color w:val="FFFFFF"/>
                <w:sz w:val="16"/>
              </w:rPr>
              <w:t>Priority</w:t>
            </w:r>
          </w:p>
        </w:tc>
        <w:tc>
          <w:tcPr>
            <w:tcW w:type="dxa" w:w="3240"/>
            <w:shd w:fill="17365D"/>
            <w:vAlign w:val="top"/>
            <w:tcMar>
              <w:top w:w="60" w:type="dxa"/>
              <w:start w:w="75" w:type="dxa"/>
              <w:bottom w:w="60" w:type="dxa"/>
              <w:end w:w="75" w:type="dxa"/>
            </w:tcMar>
          </w:tcPr>
          <w:p>
            <w:pPr>
              <w:spacing w:after="0" w:line="240" w:lineRule="auto"/>
              <w:jc w:val="center"/>
            </w:pPr>
            <w:r/>
            <w:r>
              <w:rPr>
                <w:rFonts w:ascii="Aptos" w:hAnsi="Aptos"/>
                <w:b/>
                <w:color w:val="FFFFFF"/>
                <w:sz w:val="16"/>
              </w:rPr>
              <w:t>Experiment</w:t>
            </w:r>
          </w:p>
        </w:tc>
        <w:tc>
          <w:tcPr>
            <w:tcW w:type="dxa" w:w="4032"/>
            <w:shd w:fill="17365D"/>
            <w:vAlign w:val="top"/>
            <w:tcMar>
              <w:top w:w="60" w:type="dxa"/>
              <w:start w:w="75" w:type="dxa"/>
              <w:bottom w:w="60" w:type="dxa"/>
              <w:end w:w="75" w:type="dxa"/>
            </w:tcMar>
          </w:tcPr>
          <w:p>
            <w:pPr>
              <w:spacing w:after="0" w:line="240" w:lineRule="auto"/>
              <w:jc w:val="center"/>
            </w:pPr>
            <w:r/>
            <w:r>
              <w:rPr>
                <w:rFonts w:ascii="Aptos" w:hAnsi="Aptos"/>
                <w:b/>
                <w:color w:val="FFFFFF"/>
                <w:sz w:val="16"/>
              </w:rPr>
              <w:t>Precondition</w:t>
            </w:r>
          </w:p>
        </w:tc>
        <w:tc>
          <w:tcPr>
            <w:tcW w:type="dxa" w:w="3888"/>
            <w:shd w:fill="17365D"/>
            <w:vAlign w:val="top"/>
            <w:tcMar>
              <w:top w:w="60" w:type="dxa"/>
              <w:start w:w="75" w:type="dxa"/>
              <w:bottom w:w="60" w:type="dxa"/>
              <w:end w:w="75" w:type="dxa"/>
            </w:tcMar>
          </w:tcPr>
          <w:p>
            <w:pPr>
              <w:spacing w:after="0" w:line="240" w:lineRule="auto"/>
              <w:jc w:val="center"/>
            </w:pPr>
            <w:r/>
            <w:r>
              <w:rPr>
                <w:rFonts w:ascii="Aptos" w:hAnsi="Aptos"/>
                <w:b/>
                <w:color w:val="FFFFFF"/>
                <w:sz w:val="16"/>
              </w:rPr>
              <w:t>Gate</w:t>
            </w:r>
          </w:p>
        </w:tc>
      </w:tr>
      <w:tr>
        <w:trPr>
          <w:cantSplit w:val="true"/>
        </w:trPr>
        <w:tc>
          <w:tcPr>
            <w:tcW w:type="dxa" w:w="936"/>
            <w:vAlign w:val="top"/>
            <w:tcMar>
              <w:top w:w="60" w:type="dxa"/>
              <w:start w:w="75" w:type="dxa"/>
              <w:bottom w:w="60" w:type="dxa"/>
              <w:end w:w="75" w:type="dxa"/>
            </w:tcMar>
          </w:tcPr>
          <w:p>
            <w:pPr>
              <w:spacing w:after="0" w:line="240" w:lineRule="auto"/>
            </w:pPr>
            <w:r/>
            <w:r>
              <w:rPr>
                <w:rFonts w:ascii="Aptos" w:hAnsi="Aptos"/>
                <w:b w:val="0"/>
                <w:color w:val="1F1F1F"/>
                <w:sz w:val="14"/>
              </w:rPr>
              <w:t>1</w:t>
            </w:r>
          </w:p>
        </w:tc>
        <w:tc>
          <w:tcPr>
            <w:tcW w:type="dxa" w:w="3240"/>
            <w:vAlign w:val="top"/>
            <w:tcMar>
              <w:top w:w="60" w:type="dxa"/>
              <w:start w:w="75" w:type="dxa"/>
              <w:bottom w:w="60" w:type="dxa"/>
              <w:end w:w="75" w:type="dxa"/>
            </w:tcMar>
          </w:tcPr>
          <w:p>
            <w:pPr>
              <w:spacing w:after="0" w:line="240" w:lineRule="auto"/>
            </w:pPr>
            <w:r/>
            <w:r>
              <w:rPr>
                <w:rFonts w:ascii="Aptos" w:hAnsi="Aptos"/>
                <w:b w:val="0"/>
                <w:color w:val="1F1F1F"/>
                <w:sz w:val="14"/>
              </w:rPr>
              <w:t>Integrated compiler measurement</w:t>
            </w:r>
          </w:p>
        </w:tc>
        <w:tc>
          <w:tcPr>
            <w:tcW w:type="dxa" w:w="4032"/>
            <w:vAlign w:val="top"/>
            <w:tcMar>
              <w:top w:w="60" w:type="dxa"/>
              <w:start w:w="75" w:type="dxa"/>
              <w:bottom w:w="60" w:type="dxa"/>
              <w:end w:w="75" w:type="dxa"/>
            </w:tcMar>
          </w:tcPr>
          <w:p>
            <w:pPr>
              <w:spacing w:after="0" w:line="240" w:lineRule="auto"/>
            </w:pPr>
            <w:r/>
            <w:r>
              <w:rPr>
                <w:rFonts w:ascii="Aptos" w:hAnsi="Aptos"/>
                <w:b w:val="0"/>
                <w:color w:val="1F1F1F"/>
                <w:sz w:val="14"/>
              </w:rPr>
              <w:t>Current partial-tree baseline and exact fixed3/adaptive implementations</w:t>
            </w:r>
          </w:p>
        </w:tc>
        <w:tc>
          <w:tcPr>
            <w:tcW w:type="dxa" w:w="3888"/>
            <w:vAlign w:val="top"/>
            <w:tcMar>
              <w:top w:w="60" w:type="dxa"/>
              <w:start w:w="75" w:type="dxa"/>
              <w:bottom w:w="60" w:type="dxa"/>
              <w:end w:w="75" w:type="dxa"/>
            </w:tcMar>
          </w:tcPr>
          <w:p>
            <w:pPr>
              <w:spacing w:after="0" w:line="240" w:lineRule="auto"/>
            </w:pPr>
            <w:r/>
            <w:r>
              <w:rPr>
                <w:rFonts w:ascii="Aptos" w:hAnsi="Aptos"/>
                <w:b w:val="0"/>
                <w:color w:val="1F1F1F"/>
                <w:sz w:val="14"/>
              </w:rPr>
              <w:t>Measured adjusted improvement; no runtime/prediction regression</w:t>
            </w:r>
          </w:p>
        </w:tc>
      </w:tr>
      <w:tr>
        <w:trPr>
          <w:cantSplit w:val="true"/>
        </w:trPr>
        <w:tc>
          <w:tcPr>
            <w:tcW w:type="dxa" w:w="936"/>
            <w:shd w:fill="F8FBFD"/>
            <w:vAlign w:val="top"/>
            <w:tcMar>
              <w:top w:w="60" w:type="dxa"/>
              <w:start w:w="75" w:type="dxa"/>
              <w:bottom w:w="60" w:type="dxa"/>
              <w:end w:w="75" w:type="dxa"/>
            </w:tcMar>
          </w:tcPr>
          <w:p>
            <w:pPr>
              <w:spacing w:after="0" w:line="240" w:lineRule="auto"/>
            </w:pPr>
            <w:r/>
            <w:r>
              <w:rPr>
                <w:rFonts w:ascii="Aptos" w:hAnsi="Aptos"/>
                <w:b w:val="0"/>
                <w:color w:val="1F1F1F"/>
                <w:sz w:val="14"/>
              </w:rPr>
              <w:t>2</w:t>
            </w:r>
          </w:p>
        </w:tc>
        <w:tc>
          <w:tcPr>
            <w:tcW w:type="dxa" w:w="3240"/>
            <w:shd w:fill="F8FBFD"/>
            <w:vAlign w:val="top"/>
            <w:tcMar>
              <w:top w:w="60" w:type="dxa"/>
              <w:start w:w="75" w:type="dxa"/>
              <w:bottom w:w="60" w:type="dxa"/>
              <w:end w:w="75" w:type="dxa"/>
            </w:tcMar>
          </w:tcPr>
          <w:p>
            <w:pPr>
              <w:spacing w:after="0" w:line="240" w:lineRule="auto"/>
            </w:pPr>
            <w:r/>
            <w:r>
              <w:rPr>
                <w:rFonts w:ascii="Aptos" w:hAnsi="Aptos"/>
                <w:b w:val="0"/>
                <w:color w:val="1F1F1F"/>
                <w:sz w:val="14"/>
              </w:rPr>
              <w:t>Frozen sparse exact-anchor validation</w:t>
            </w:r>
          </w:p>
        </w:tc>
        <w:tc>
          <w:tcPr>
            <w:tcW w:type="dxa" w:w="4032"/>
            <w:shd w:fill="F8FBFD"/>
            <w:vAlign w:val="top"/>
            <w:tcMar>
              <w:top w:w="60" w:type="dxa"/>
              <w:start w:w="75" w:type="dxa"/>
              <w:bottom w:w="60" w:type="dxa"/>
              <w:end w:w="75" w:type="dxa"/>
            </w:tcMar>
          </w:tcPr>
          <w:p>
            <w:pPr>
              <w:spacing w:after="0" w:line="240" w:lineRule="auto"/>
            </w:pPr>
            <w:r/>
            <w:r>
              <w:rPr>
                <w:rFonts w:ascii="Aptos" w:hAnsi="Aptos"/>
                <w:b w:val="0"/>
                <w:color w:val="1F1F1F"/>
                <w:sz w:val="14"/>
              </w:rPr>
              <w:t>Recover and hash layer/probes/folds/regularization/shrinkage; new network block</w:t>
            </w:r>
          </w:p>
        </w:tc>
        <w:tc>
          <w:tcPr>
            <w:tcW w:type="dxa" w:w="3888"/>
            <w:shd w:fill="F8FBFD"/>
            <w:vAlign w:val="top"/>
            <w:tcMar>
              <w:top w:w="60" w:type="dxa"/>
              <w:start w:w="75" w:type="dxa"/>
              <w:bottom w:w="60" w:type="dxa"/>
              <w:end w:w="75" w:type="dxa"/>
            </w:tcMar>
          </w:tcPr>
          <w:p>
            <w:pPr>
              <w:spacing w:after="0" w:line="240" w:lineRule="auto"/>
            </w:pPr>
            <w:r/>
            <w:r>
              <w:rPr>
                <w:rFonts w:ascii="Aptos" w:hAnsi="Aptos"/>
                <w:b w:val="0"/>
                <w:color w:val="1F1F1F"/>
                <w:sz w:val="14"/>
              </w:rPr>
              <w:t>Candidate/base &lt;=0.50, preferred &lt;=0.30; safe tails</w:t>
            </w:r>
          </w:p>
        </w:tc>
      </w:tr>
      <w:tr>
        <w:trPr>
          <w:cantSplit w:val="true"/>
        </w:trPr>
        <w:tc>
          <w:tcPr>
            <w:tcW w:type="dxa" w:w="936"/>
            <w:vAlign w:val="top"/>
            <w:tcMar>
              <w:top w:w="60" w:type="dxa"/>
              <w:start w:w="75" w:type="dxa"/>
              <w:bottom w:w="60" w:type="dxa"/>
              <w:end w:w="75" w:type="dxa"/>
            </w:tcMar>
          </w:tcPr>
          <w:p>
            <w:pPr>
              <w:spacing w:after="0" w:line="240" w:lineRule="auto"/>
            </w:pPr>
            <w:r/>
            <w:r>
              <w:rPr>
                <w:rFonts w:ascii="Aptos" w:hAnsi="Aptos"/>
                <w:b w:val="0"/>
                <w:color w:val="1F1F1F"/>
                <w:sz w:val="14"/>
              </w:rPr>
              <w:t>3</w:t>
            </w:r>
          </w:p>
        </w:tc>
        <w:tc>
          <w:tcPr>
            <w:tcW w:type="dxa" w:w="3240"/>
            <w:vAlign w:val="top"/>
            <w:tcMar>
              <w:top w:w="60" w:type="dxa"/>
              <w:start w:w="75" w:type="dxa"/>
              <w:bottom w:w="60" w:type="dxa"/>
              <w:end w:w="75" w:type="dxa"/>
            </w:tcMar>
          </w:tcPr>
          <w:p>
            <w:pPr>
              <w:spacing w:after="0" w:line="240" w:lineRule="auto"/>
            </w:pPr>
            <w:r/>
            <w:r>
              <w:rPr>
                <w:rFonts w:ascii="Aptos" w:hAnsi="Aptos"/>
                <w:b w:val="0"/>
                <w:color w:val="1F1F1F"/>
                <w:sz w:val="14"/>
              </w:rPr>
              <w:t>Real sparse-map rank and channel overlap</w:t>
            </w:r>
          </w:p>
        </w:tc>
        <w:tc>
          <w:tcPr>
            <w:tcW w:type="dxa" w:w="4032"/>
            <w:vAlign w:val="top"/>
            <w:tcMar>
              <w:top w:w="60" w:type="dxa"/>
              <w:start w:w="75" w:type="dxa"/>
              <w:bottom w:w="60" w:type="dxa"/>
              <w:end w:w="75" w:type="dxa"/>
            </w:tcMar>
          </w:tcPr>
          <w:p>
            <w:pPr>
              <w:spacing w:after="0" w:line="240" w:lineRule="auto"/>
            </w:pPr>
            <w:r/>
            <w:r>
              <w:rPr>
                <w:rFonts w:ascii="Aptos" w:hAnsi="Aptos"/>
                <w:b w:val="0"/>
                <w:color w:val="1F1F1F"/>
                <w:sz w:val="14"/>
              </w:rPr>
              <w:t>Frozen probes and exact layer31 replay corrections</w:t>
            </w:r>
          </w:p>
        </w:tc>
        <w:tc>
          <w:tcPr>
            <w:tcW w:type="dxa" w:w="3888"/>
            <w:vAlign w:val="top"/>
            <w:tcMar>
              <w:top w:w="60" w:type="dxa"/>
              <w:start w:w="75" w:type="dxa"/>
              <w:bottom w:w="60" w:type="dxa"/>
              <w:end w:w="75" w:type="dxa"/>
            </w:tcMar>
          </w:tcPr>
          <w:p>
            <w:pPr>
              <w:spacing w:after="0" w:line="240" w:lineRule="auto"/>
            </w:pPr>
            <w:r/>
            <w:r>
              <w:rPr>
                <w:rFonts w:ascii="Aptos" w:hAnsi="Aptos"/>
                <w:b w:val="0"/>
                <w:color w:val="1F1F1F"/>
                <w:sz w:val="14"/>
              </w:rPr>
              <w:t>Rank &lt;=16 retains &gt;=90% downstream-relevant correction energy before low-dimensional learning</w:t>
            </w:r>
          </w:p>
        </w:tc>
      </w:tr>
      <w:tr>
        <w:trPr>
          <w:cantSplit w:val="true"/>
        </w:trPr>
        <w:tc>
          <w:tcPr>
            <w:tcW w:type="dxa" w:w="936"/>
            <w:shd w:fill="F8FBFD"/>
            <w:vAlign w:val="top"/>
            <w:tcMar>
              <w:top w:w="60" w:type="dxa"/>
              <w:start w:w="75" w:type="dxa"/>
              <w:bottom w:w="60" w:type="dxa"/>
              <w:end w:w="75" w:type="dxa"/>
            </w:tcMar>
          </w:tcPr>
          <w:p>
            <w:pPr>
              <w:spacing w:after="0" w:line="240" w:lineRule="auto"/>
            </w:pPr>
            <w:r/>
            <w:r>
              <w:rPr>
                <w:rFonts w:ascii="Aptos" w:hAnsi="Aptos"/>
                <w:b w:val="0"/>
                <w:color w:val="1F1F1F"/>
                <w:sz w:val="14"/>
              </w:rPr>
              <w:t>4</w:t>
            </w:r>
          </w:p>
        </w:tc>
        <w:tc>
          <w:tcPr>
            <w:tcW w:type="dxa" w:w="3240"/>
            <w:shd w:fill="F8FBFD"/>
            <w:vAlign w:val="top"/>
            <w:tcMar>
              <w:top w:w="60" w:type="dxa"/>
              <w:start w:w="75" w:type="dxa"/>
              <w:bottom w:w="60" w:type="dxa"/>
              <w:end w:w="75" w:type="dxa"/>
            </w:tcMar>
          </w:tcPr>
          <w:p>
            <w:pPr>
              <w:spacing w:after="0" w:line="240" w:lineRule="auto"/>
            </w:pPr>
            <w:r/>
            <w:r>
              <w:rPr>
                <w:rFonts w:ascii="Aptos" w:hAnsi="Aptos"/>
                <w:b w:val="0"/>
                <w:color w:val="1F1F1F"/>
                <w:sz w:val="14"/>
              </w:rPr>
              <w:t>Real layerwise source attribution</w:t>
            </w:r>
          </w:p>
        </w:tc>
        <w:tc>
          <w:tcPr>
            <w:tcW w:type="dxa" w:w="4032"/>
            <w:shd w:fill="F8FBFD"/>
            <w:vAlign w:val="top"/>
            <w:tcMar>
              <w:top w:w="60" w:type="dxa"/>
              <w:start w:w="75" w:type="dxa"/>
              <w:bottom w:w="60" w:type="dxa"/>
              <w:end w:w="75" w:type="dxa"/>
            </w:tcMar>
          </w:tcPr>
          <w:p>
            <w:pPr>
              <w:spacing w:after="0" w:line="240" w:lineRule="auto"/>
            </w:pPr>
            <w:r/>
            <w:r>
              <w:rPr>
                <w:rFonts w:ascii="Aptos" w:hAnsi="Aptos"/>
                <w:b w:val="0"/>
                <w:color w:val="1F1F1F"/>
                <w:sz w:val="14"/>
              </w:rPr>
              <w:t>Implemented q32/q64 adjoint and independent oracle/factorized targets</w:t>
            </w:r>
          </w:p>
        </w:tc>
        <w:tc>
          <w:tcPr>
            <w:tcW w:type="dxa" w:w="3888"/>
            <w:shd w:fill="F8FBFD"/>
            <w:vAlign w:val="top"/>
            <w:tcMar>
              <w:top w:w="60" w:type="dxa"/>
              <w:start w:w="75" w:type="dxa"/>
              <w:bottom w:w="60" w:type="dxa"/>
              <w:end w:w="75" w:type="dxa"/>
            </w:tcMar>
          </w:tcPr>
          <w:p>
            <w:pPr>
              <w:spacing w:after="0" w:line="240" w:lineRule="auto"/>
            </w:pPr>
            <w:r/>
            <w:r>
              <w:rPr>
                <w:rFonts w:ascii="Aptos" w:hAnsi="Aptos"/>
                <w:b w:val="0"/>
                <w:color w:val="1F1F1F"/>
                <w:sz w:val="14"/>
              </w:rPr>
              <w:t>Short suffix only if &lt;=12 layers retain &gt;=90% control gain</w:t>
            </w:r>
          </w:p>
        </w:tc>
      </w:tr>
      <w:tr>
        <w:trPr>
          <w:cantSplit w:val="true"/>
        </w:trPr>
        <w:tc>
          <w:tcPr>
            <w:tcW w:type="dxa" w:w="936"/>
            <w:vAlign w:val="top"/>
            <w:tcMar>
              <w:top w:w="60" w:type="dxa"/>
              <w:start w:w="75" w:type="dxa"/>
              <w:bottom w:w="60" w:type="dxa"/>
              <w:end w:w="75" w:type="dxa"/>
            </w:tcMar>
          </w:tcPr>
          <w:p>
            <w:pPr>
              <w:spacing w:after="0" w:line="240" w:lineRule="auto"/>
            </w:pPr>
            <w:r/>
            <w:r>
              <w:rPr>
                <w:rFonts w:ascii="Aptos" w:hAnsi="Aptos"/>
                <w:b w:val="0"/>
                <w:color w:val="1F1F1F"/>
                <w:sz w:val="14"/>
              </w:rPr>
              <w:t>5</w:t>
            </w:r>
          </w:p>
        </w:tc>
        <w:tc>
          <w:tcPr>
            <w:tcW w:type="dxa" w:w="3240"/>
            <w:vAlign w:val="top"/>
            <w:tcMar>
              <w:top w:w="60" w:type="dxa"/>
              <w:start w:w="75" w:type="dxa"/>
              <w:bottom w:w="60" w:type="dxa"/>
              <w:end w:w="75" w:type="dxa"/>
            </w:tcMar>
          </w:tcPr>
          <w:p>
            <w:pPr>
              <w:spacing w:after="0" w:line="240" w:lineRule="auto"/>
            </w:pPr>
            <w:r/>
            <w:r>
              <w:rPr>
                <w:rFonts w:ascii="Aptos" w:hAnsi="Aptos"/>
                <w:b w:val="0"/>
                <w:color w:val="1F1F1F"/>
                <w:sz w:val="14"/>
              </w:rPr>
              <w:t>One independent contracted source / micro-cubature</w:t>
            </w:r>
          </w:p>
        </w:tc>
        <w:tc>
          <w:tcPr>
            <w:tcW w:type="dxa" w:w="4032"/>
            <w:vAlign w:val="top"/>
            <w:tcMar>
              <w:top w:w="60" w:type="dxa"/>
              <w:start w:w="75" w:type="dxa"/>
              <w:bottom w:w="60" w:type="dxa"/>
              <w:end w:w="75" w:type="dxa"/>
            </w:tcMar>
          </w:tcPr>
          <w:p>
            <w:pPr>
              <w:spacing w:after="0" w:line="240" w:lineRule="auto"/>
            </w:pPr>
            <w:r/>
            <w:r>
              <w:rPr>
                <w:rFonts w:ascii="Aptos" w:hAnsi="Aptos"/>
                <w:b w:val="0"/>
                <w:color w:val="1F1F1F"/>
                <w:sz w:val="14"/>
              </w:rPr>
              <w:t>Attribution identifies target span and checkpoint</w:t>
            </w:r>
          </w:p>
        </w:tc>
        <w:tc>
          <w:tcPr>
            <w:tcW w:type="dxa" w:w="3888"/>
            <w:vAlign w:val="top"/>
            <w:tcMar>
              <w:top w:w="60" w:type="dxa"/>
              <w:start w:w="75" w:type="dxa"/>
              <w:bottom w:w="60" w:type="dxa"/>
              <w:end w:w="75" w:type="dxa"/>
            </w:tcMar>
          </w:tcPr>
          <w:p>
            <w:pPr>
              <w:spacing w:after="0" w:line="240" w:lineRule="auto"/>
            </w:pPr>
            <w:r/>
            <w:r>
              <w:rPr>
                <w:rFonts w:ascii="Aptos" w:hAnsi="Aptos"/>
                <w:b w:val="0"/>
                <w:color w:val="1F1F1F"/>
                <w:sz w:val="14"/>
              </w:rPr>
              <w:t>Complete-control &lt;=0.60; real mean tolerance; &lt;=8–10B; safe tails</w:t>
            </w:r>
          </w:p>
        </w:tc>
      </w:tr>
      <w:tr>
        <w:trPr>
          <w:cantSplit w:val="true"/>
        </w:trPr>
        <w:tc>
          <w:tcPr>
            <w:tcW w:type="dxa" w:w="936"/>
            <w:shd w:fill="F8FBFD"/>
            <w:vAlign w:val="top"/>
            <w:tcMar>
              <w:top w:w="60" w:type="dxa"/>
              <w:start w:w="75" w:type="dxa"/>
              <w:bottom w:w="60" w:type="dxa"/>
              <w:end w:w="75" w:type="dxa"/>
            </w:tcMar>
          </w:tcPr>
          <w:p>
            <w:pPr>
              <w:spacing w:after="0" w:line="240" w:lineRule="auto"/>
            </w:pPr>
            <w:r/>
            <w:r>
              <w:rPr>
                <w:rFonts w:ascii="Aptos" w:hAnsi="Aptos"/>
                <w:b w:val="0"/>
                <w:color w:val="1F1F1F"/>
                <w:sz w:val="14"/>
              </w:rPr>
              <w:t>6</w:t>
            </w:r>
          </w:p>
        </w:tc>
        <w:tc>
          <w:tcPr>
            <w:tcW w:type="dxa" w:w="3240"/>
            <w:shd w:fill="F8FBFD"/>
            <w:vAlign w:val="top"/>
            <w:tcMar>
              <w:top w:w="60" w:type="dxa"/>
              <w:start w:w="75" w:type="dxa"/>
              <w:bottom w:w="60" w:type="dxa"/>
              <w:end w:w="75" w:type="dxa"/>
            </w:tcMar>
          </w:tcPr>
          <w:p>
            <w:pPr>
              <w:spacing w:after="0" w:line="240" w:lineRule="auto"/>
            </w:pPr>
            <w:r/>
            <w:r>
              <w:rPr>
                <w:rFonts w:ascii="Aptos" w:hAnsi="Aptos"/>
                <w:b w:val="0"/>
                <w:color w:val="1F1F1F"/>
                <w:sz w:val="14"/>
              </w:rPr>
              <w:t>Shared-arithmetic companion phase rule</w:t>
            </w:r>
          </w:p>
        </w:tc>
        <w:tc>
          <w:tcPr>
            <w:tcW w:type="dxa" w:w="4032"/>
            <w:shd w:fill="F8FBFD"/>
            <w:vAlign w:val="top"/>
            <w:tcMar>
              <w:top w:w="60" w:type="dxa"/>
              <w:start w:w="75" w:type="dxa"/>
              <w:bottom w:w="60" w:type="dxa"/>
              <w:end w:w="75" w:type="dxa"/>
            </w:tcMar>
          </w:tcPr>
          <w:p>
            <w:pPr>
              <w:spacing w:after="0" w:line="240" w:lineRule="auto"/>
            </w:pPr>
            <w:r/>
            <w:r>
              <w:rPr>
                <w:rFonts w:ascii="Aptos" w:hAnsi="Aptos"/>
                <w:b w:val="0"/>
                <w:color w:val="1F1F1F"/>
                <w:sz w:val="14"/>
              </w:rPr>
              <w:t>Reuse nearly all protected prefix computation</w:t>
            </w:r>
          </w:p>
        </w:tc>
        <w:tc>
          <w:tcPr>
            <w:tcW w:type="dxa" w:w="3888"/>
            <w:shd w:fill="F8FBFD"/>
            <w:vAlign w:val="top"/>
            <w:tcMar>
              <w:top w:w="60" w:type="dxa"/>
              <w:start w:w="75" w:type="dxa"/>
              <w:bottom w:w="60" w:type="dxa"/>
              <w:end w:w="75" w:type="dxa"/>
            </w:tcMar>
          </w:tcPr>
          <w:p>
            <w:pPr>
              <w:spacing w:after="0" w:line="240" w:lineRule="auto"/>
            </w:pPr>
            <w:r/>
            <w:r>
              <w:rPr>
                <w:rFonts w:ascii="Aptos" w:hAnsi="Aptos"/>
                <w:b w:val="0"/>
                <w:color w:val="1F1F1F"/>
                <w:sz w:val="14"/>
              </w:rPr>
              <w:t>&lt;=1–2% true incremental compute and positive signed coefficient signal</w:t>
            </w:r>
          </w:p>
        </w:tc>
      </w:tr>
      <w:tr>
        <w:trPr>
          <w:cantSplit w:val="true"/>
        </w:trPr>
        <w:tc>
          <w:tcPr>
            <w:tcW w:type="dxa" w:w="936"/>
            <w:vAlign w:val="top"/>
            <w:tcMar>
              <w:top w:w="60" w:type="dxa"/>
              <w:start w:w="75" w:type="dxa"/>
              <w:bottom w:w="60" w:type="dxa"/>
              <w:end w:w="75" w:type="dxa"/>
            </w:tcMar>
          </w:tcPr>
          <w:p>
            <w:pPr>
              <w:spacing w:after="0" w:line="240" w:lineRule="auto"/>
            </w:pPr>
            <w:r/>
            <w:r>
              <w:rPr>
                <w:rFonts w:ascii="Aptos" w:hAnsi="Aptos"/>
                <w:b w:val="0"/>
                <w:color w:val="1F1F1F"/>
                <w:sz w:val="14"/>
              </w:rPr>
              <w:t>7</w:t>
            </w:r>
          </w:p>
        </w:tc>
        <w:tc>
          <w:tcPr>
            <w:tcW w:type="dxa" w:w="3240"/>
            <w:vAlign w:val="top"/>
            <w:tcMar>
              <w:top w:w="60" w:type="dxa"/>
              <w:start w:w="75" w:type="dxa"/>
              <w:bottom w:w="60" w:type="dxa"/>
              <w:end w:w="75" w:type="dxa"/>
            </w:tcMar>
          </w:tcPr>
          <w:p>
            <w:pPr>
              <w:spacing w:after="0" w:line="240" w:lineRule="auto"/>
            </w:pPr>
            <w:r/>
            <w:r>
              <w:rPr>
                <w:rFonts w:ascii="Aptos" w:hAnsi="Aptos"/>
                <w:b w:val="0"/>
                <w:color w:val="1F1F1F"/>
                <w:sz w:val="14"/>
              </w:rPr>
              <w:t>Target-free 8–32 coordinate selector</w:t>
            </w:r>
          </w:p>
        </w:tc>
        <w:tc>
          <w:tcPr>
            <w:tcW w:type="dxa" w:w="4032"/>
            <w:vAlign w:val="top"/>
            <w:tcMar>
              <w:top w:w="60" w:type="dxa"/>
              <w:start w:w="75" w:type="dxa"/>
              <w:bottom w:w="60" w:type="dxa"/>
              <w:end w:w="75" w:type="dxa"/>
            </w:tcMar>
          </w:tcPr>
          <w:p>
            <w:pPr>
              <w:spacing w:after="0" w:line="240" w:lineRule="auto"/>
            </w:pPr>
            <w:r/>
            <w:r>
              <w:rPr>
                <w:rFonts w:ascii="Aptos" w:hAnsi="Aptos"/>
                <w:b w:val="0"/>
                <w:color w:val="1F1F1F"/>
                <w:sz w:val="14"/>
              </w:rPr>
              <w:t>New networks, no signed truth in selector</w:t>
            </w:r>
          </w:p>
        </w:tc>
        <w:tc>
          <w:tcPr>
            <w:tcW w:type="dxa" w:w="3888"/>
            <w:vAlign w:val="top"/>
            <w:tcMar>
              <w:top w:w="60" w:type="dxa"/>
              <w:start w:w="75" w:type="dxa"/>
              <w:bottom w:w="60" w:type="dxa"/>
              <w:end w:w="75" w:type="dxa"/>
            </w:tcMar>
          </w:tcPr>
          <w:p>
            <w:pPr>
              <w:spacing w:after="0" w:line="240" w:lineRule="auto"/>
            </w:pPr>
            <w:r/>
            <w:r>
              <w:rPr>
                <w:rFonts w:ascii="Aptos" w:hAnsi="Aptos"/>
                <w:b w:val="0"/>
                <w:color w:val="1F1F1F"/>
                <w:sz w:val="14"/>
              </w:rPr>
              <w:t>K&lt;=32 captures &gt;=50% oracle gap with stable support</w:t>
            </w:r>
          </w:p>
        </w:tc>
      </w:tr>
      <w:tr>
        <w:trPr>
          <w:cantSplit w:val="true"/>
        </w:trPr>
        <w:tc>
          <w:tcPr>
            <w:tcW w:type="dxa" w:w="936"/>
            <w:shd w:fill="F8FBFD"/>
            <w:vAlign w:val="top"/>
            <w:tcMar>
              <w:top w:w="60" w:type="dxa"/>
              <w:start w:w="75" w:type="dxa"/>
              <w:bottom w:w="60" w:type="dxa"/>
              <w:end w:w="75" w:type="dxa"/>
            </w:tcMar>
          </w:tcPr>
          <w:p>
            <w:pPr>
              <w:spacing w:after="0" w:line="240" w:lineRule="auto"/>
            </w:pPr>
            <w:r/>
            <w:r>
              <w:rPr>
                <w:rFonts w:ascii="Aptos" w:hAnsi="Aptos"/>
                <w:b w:val="0"/>
                <w:color w:val="1F1F1F"/>
                <w:sz w:val="14"/>
              </w:rPr>
              <w:t>8</w:t>
            </w:r>
          </w:p>
        </w:tc>
        <w:tc>
          <w:tcPr>
            <w:tcW w:type="dxa" w:w="3240"/>
            <w:shd w:fill="F8FBFD"/>
            <w:vAlign w:val="top"/>
            <w:tcMar>
              <w:top w:w="60" w:type="dxa"/>
              <w:start w:w="75" w:type="dxa"/>
              <w:bottom w:w="60" w:type="dxa"/>
              <w:end w:w="75" w:type="dxa"/>
            </w:tcMar>
          </w:tcPr>
          <w:p>
            <w:pPr>
              <w:spacing w:after="0" w:line="240" w:lineRule="auto"/>
            </w:pPr>
            <w:r/>
            <w:r>
              <w:rPr>
                <w:rFonts w:ascii="Aptos" w:hAnsi="Aptos"/>
                <w:b w:val="0"/>
                <w:color w:val="1F1F1F"/>
                <w:sz w:val="14"/>
              </w:rPr>
              <w:t>Bounded width256 edge-DWS</w:t>
            </w:r>
          </w:p>
        </w:tc>
        <w:tc>
          <w:tcPr>
            <w:tcW w:type="dxa" w:w="4032"/>
            <w:shd w:fill="F8FBFD"/>
            <w:vAlign w:val="top"/>
            <w:tcMar>
              <w:top w:w="60" w:type="dxa"/>
              <w:start w:w="75" w:type="dxa"/>
              <w:bottom w:w="60" w:type="dxa"/>
              <w:end w:w="75" w:type="dxa"/>
            </w:tcMar>
          </w:tcPr>
          <w:p>
            <w:pPr>
              <w:spacing w:after="0" w:line="240" w:lineRule="auto"/>
            </w:pPr>
            <w:r/>
            <w:r>
              <w:rPr>
                <w:rFonts w:ascii="Aptos" w:hAnsi="Aptos"/>
                <w:b w:val="0"/>
                <w:color w:val="1F1F1F"/>
                <w:sz w:val="14"/>
              </w:rPr>
              <w:t>Independent anchor and basis frozen</w:t>
            </w:r>
          </w:p>
        </w:tc>
        <w:tc>
          <w:tcPr>
            <w:tcW w:type="dxa" w:w="3888"/>
            <w:shd w:fill="F8FBFD"/>
            <w:vAlign w:val="top"/>
            <w:tcMar>
              <w:top w:w="60" w:type="dxa"/>
              <w:start w:w="75" w:type="dxa"/>
              <w:bottom w:w="60" w:type="dxa"/>
              <w:end w:w="75" w:type="dxa"/>
            </w:tcMar>
          </w:tcPr>
          <w:p>
            <w:pPr>
              <w:spacing w:after="0" w:line="240" w:lineRule="auto"/>
            </w:pPr>
            <w:r/>
            <w:r>
              <w:rPr>
                <w:rFonts w:ascii="Aptos" w:hAnsi="Aptos"/>
                <w:b w:val="0"/>
                <w:color w:val="1F1F1F"/>
                <w:sz w:val="14"/>
              </w:rPr>
              <w:t>Grouped CV gain &gt;=1.10; lower CI &gt;=1.05; worst &lt;=1.25; adjusted positive</w:t>
            </w:r>
          </w:p>
        </w:tc>
      </w:tr>
      <w:tr>
        <w:trPr>
          <w:cantSplit w:val="true"/>
        </w:trPr>
        <w:tc>
          <w:tcPr>
            <w:tcW w:type="dxa" w:w="936"/>
            <w:vAlign w:val="top"/>
            <w:tcMar>
              <w:top w:w="60" w:type="dxa"/>
              <w:start w:w="75" w:type="dxa"/>
              <w:bottom w:w="60" w:type="dxa"/>
              <w:end w:w="75" w:type="dxa"/>
            </w:tcMar>
          </w:tcPr>
          <w:p>
            <w:pPr>
              <w:spacing w:after="0" w:line="240" w:lineRule="auto"/>
            </w:pPr>
            <w:r/>
            <w:r>
              <w:rPr>
                <w:rFonts w:ascii="Aptos" w:hAnsi="Aptos"/>
                <w:b w:val="0"/>
                <w:color w:val="1F1F1F"/>
                <w:sz w:val="14"/>
              </w:rPr>
              <w:t>9</w:t>
            </w:r>
          </w:p>
        </w:tc>
        <w:tc>
          <w:tcPr>
            <w:tcW w:type="dxa" w:w="3240"/>
            <w:vAlign w:val="top"/>
            <w:tcMar>
              <w:top w:w="60" w:type="dxa"/>
              <w:start w:w="75" w:type="dxa"/>
              <w:bottom w:w="60" w:type="dxa"/>
              <w:end w:w="75" w:type="dxa"/>
            </w:tcMar>
          </w:tcPr>
          <w:p>
            <w:pPr>
              <w:spacing w:after="0" w:line="240" w:lineRule="auto"/>
            </w:pPr>
            <w:r/>
            <w:r>
              <w:rPr>
                <w:rFonts w:ascii="Aptos" w:hAnsi="Aptos"/>
                <w:b w:val="0"/>
                <w:color w:val="1F1F1F"/>
                <w:sz w:val="14"/>
              </w:rPr>
              <w:t>Qualitatively new coreset representation</w:t>
            </w:r>
          </w:p>
        </w:tc>
        <w:tc>
          <w:tcPr>
            <w:tcW w:type="dxa" w:w="4032"/>
            <w:vAlign w:val="top"/>
            <w:tcMar>
              <w:top w:w="60" w:type="dxa"/>
              <w:start w:w="75" w:type="dxa"/>
              <w:bottom w:w="60" w:type="dxa"/>
              <w:end w:w="75" w:type="dxa"/>
            </w:tcMar>
          </w:tcPr>
          <w:p>
            <w:pPr>
              <w:spacing w:after="0" w:line="240" w:lineRule="auto"/>
            </w:pPr>
            <w:r/>
            <w:r>
              <w:rPr>
                <w:rFonts w:ascii="Aptos" w:hAnsi="Aptos"/>
                <w:b w:val="0"/>
                <w:color w:val="1F1F1F"/>
                <w:sz w:val="14"/>
              </w:rPr>
              <w:t>New proxy demonstrates oracle-row importance correlation</w:t>
            </w:r>
          </w:p>
        </w:tc>
        <w:tc>
          <w:tcPr>
            <w:tcW w:type="dxa" w:w="3888"/>
            <w:vAlign w:val="top"/>
            <w:tcMar>
              <w:top w:w="60" w:type="dxa"/>
              <w:start w:w="75" w:type="dxa"/>
              <w:bottom w:w="60" w:type="dxa"/>
              <w:end w:w="75" w:type="dxa"/>
            </w:tcMar>
          </w:tcPr>
          <w:p>
            <w:pPr>
              <w:spacing w:after="0" w:line="240" w:lineRule="auto"/>
            </w:pPr>
            <w:r/>
            <w:r>
              <w:rPr>
                <w:rFonts w:ascii="Aptos" w:hAnsi="Aptos"/>
                <w:b w:val="0"/>
                <w:color w:val="1F1F1F"/>
                <w:sz w:val="14"/>
              </w:rPr>
              <w:t>Same-support oracle added MSE &lt;=1.1e-8 before optimization</w:t>
            </w:r>
          </w:p>
        </w:tc>
      </w:tr>
    </w:tbl>
    <w:p>
      <w:pPr>
        <w:spacing w:after="20"/>
      </w:pPr>
    </w:p>
    <w:p>
      <w:pPr>
        <w:pStyle w:val="Heading2"/>
      </w:pPr>
      <w:r>
        <w:t>What not to spend time on</w:t>
      </w:r>
    </w:p>
    <w:p>
      <w:pPr>
        <w:pStyle w:val="ListBullet"/>
        <w:spacing w:after="40"/>
      </w:pPr>
      <w:r>
        <w:rPr>
          <w:rFonts w:ascii="Aptos" w:hAnsi="Aptos"/>
          <w:sz w:val="19"/>
        </w:rPr>
        <w:t>Larger orthant solvers, more explicit uncertain gates, or deeper activation-region enumeration.</w:t>
      </w:r>
    </w:p>
    <w:p>
      <w:pPr>
        <w:pStyle w:val="ListBullet"/>
        <w:spacing w:after="40"/>
      </w:pPr>
      <w:r>
        <w:rPr>
          <w:rFonts w:ascii="Aptos" w:hAnsi="Aptos"/>
          <w:sz w:val="19"/>
        </w:rPr>
        <w:t>More stable-gate MLMC allocation over partial Kerdock bases.</w:t>
      </w:r>
    </w:p>
    <w:p>
      <w:pPr>
        <w:pStyle w:val="ListBullet"/>
        <w:spacing w:after="40"/>
      </w:pPr>
      <w:r>
        <w:rPr>
          <w:rFonts w:ascii="Aptos" w:hAnsi="Aptos"/>
          <w:sz w:val="19"/>
        </w:rPr>
        <w:t>More q sweeps, exchange rounds, signed-weight sweeps, or pilot output metrics for the tested K2 coreset.</w:t>
      </w:r>
    </w:p>
    <w:p>
      <w:pPr>
        <w:pStyle w:val="ListBullet"/>
        <w:spacing w:after="40"/>
      </w:pPr>
      <w:r>
        <w:rPr>
          <w:rFonts w:ascii="Aptos" w:hAnsi="Aptos"/>
          <w:sz w:val="19"/>
        </w:rPr>
        <w:t>More same-cloud Edgeworth, delete-fold, or internal-subdesign anchors.</w:t>
      </w:r>
    </w:p>
    <w:p>
      <w:pPr>
        <w:pStyle w:val="ListBullet"/>
        <w:spacing w:after="40"/>
      </w:pPr>
      <w:r>
        <w:rPr>
          <w:rFonts w:ascii="Aptos" w:hAnsi="Aptos"/>
          <w:sz w:val="19"/>
        </w:rPr>
        <w:t>More ordinary independent trajectories for layer-31 sign estimation unless arithmetic is shared.</w:t>
      </w:r>
    </w:p>
    <w:p>
      <w:pPr>
        <w:pStyle w:val="ListBullet"/>
        <w:spacing w:after="40"/>
      </w:pPr>
      <w:r>
        <w:rPr>
          <w:rFonts w:ascii="Aptos" w:hAnsi="Aptos"/>
          <w:sz w:val="19"/>
        </w:rPr>
        <w:t>Standalone degree-6/harmonic regressions or broad reduced-width weight models.</w:t>
      </w:r>
    </w:p>
    <w:p>
      <w:pPr>
        <w:pStyle w:val="ListBullet"/>
        <w:spacing w:after="40"/>
      </w:pPr>
      <w:r>
        <w:rPr>
          <w:rFonts w:ascii="Aptos" w:hAnsi="Aptos"/>
          <w:sz w:val="19"/>
        </w:rPr>
        <w:t>Any new statistical claim using IDs 0–199 or a previously opened branch holdout.</w:t>
      </w:r>
    </w:p>
    <w:p>
      <w:r>
        <w:br w:type="page"/>
      </w:r>
    </w:p>
    <w:p>
      <w:pPr>
        <w:pStyle w:val="Heading1"/>
      </w:pPr>
      <w:r>
        <w:t>Appendix A. Key source artifacts reviewed</w:t>
      </w:r>
    </w:p>
    <w:p>
      <w:pPr>
        <w:pStyle w:val="ListBullet"/>
        <w:spacing w:after="40"/>
      </w:pPr>
      <w:r>
        <w:rPr>
          <w:rFonts w:ascii="Aptos" w:hAnsi="Aptos"/>
          <w:sz w:val="19"/>
        </w:rPr>
        <w:t>WHestBench research catalogs and experiment ledgers (multiple July 29 versions)</w:t>
      </w:r>
    </w:p>
    <w:p>
      <w:pPr>
        <w:pStyle w:val="ListBullet"/>
        <w:spacing w:after="40"/>
      </w:pPr>
      <w:r>
        <w:rPr>
          <w:rFonts w:ascii="Aptos" w:hAnsi="Aptos"/>
          <w:sz w:val="19"/>
        </w:rPr>
        <w:t>arc_code.zip and arc_code_deep_audit_20260729.md</w:t>
      </w:r>
    </w:p>
    <w:p>
      <w:pPr>
        <w:pStyle w:val="ListBullet"/>
        <w:spacing w:after="40"/>
      </w:pPr>
      <w:r>
        <w:rPr>
          <w:rFonts w:ascii="Aptos" w:hAnsi="Aptos"/>
          <w:sz w:val="19"/>
        </w:rPr>
        <w:t>NONK3_CONTINUATION_REPORT.md and compiler implementation handoffs</w:t>
      </w:r>
    </w:p>
    <w:p>
      <w:pPr>
        <w:pStyle w:val="ListBullet"/>
        <w:spacing w:after="40"/>
      </w:pPr>
      <w:r>
        <w:rPr>
          <w:rFonts w:ascii="Aptos" w:hAnsi="Aptos"/>
          <w:sz w:val="19"/>
        </w:rPr>
        <w:t>ARC_ACTIVATION_REGION_CONTINUATION_REPORT.md</w:t>
      </w:r>
    </w:p>
    <w:p>
      <w:pPr>
        <w:pStyle w:val="ListBullet"/>
        <w:spacing w:after="40"/>
      </w:pPr>
      <w:r>
        <w:rPr>
          <w:rFonts w:ascii="Aptos" w:hAnsi="Aptos"/>
          <w:sz w:val="19"/>
        </w:rPr>
        <w:t>FULL_MULTILEVEL_PREFIX_SUFFIX_REPORT.md</w:t>
      </w:r>
    </w:p>
    <w:p>
      <w:pPr>
        <w:pStyle w:val="ListBullet"/>
        <w:spacing w:after="40"/>
      </w:pPr>
      <w:r>
        <w:rPr>
          <w:rFonts w:ascii="Aptos" w:hAnsi="Aptos"/>
          <w:sz w:val="19"/>
        </w:rPr>
        <w:t>NETWORK_SPECIFIC_KERNEL_CORESET_EXACT_KERDOCK_REPORT.md</w:t>
      </w:r>
    </w:p>
    <w:p>
      <w:pPr>
        <w:pStyle w:val="ListBullet"/>
        <w:spacing w:after="40"/>
      </w:pPr>
      <w:r>
        <w:rPr>
          <w:rFonts w:ascii="Aptos" w:hAnsi="Aptos"/>
          <w:sz w:val="19"/>
        </w:rPr>
        <w:t>EQUIVARIANT_WEIGHT_MODEL_RESEARCH_20260729.md</w:t>
      </w:r>
    </w:p>
    <w:p>
      <w:pPr>
        <w:pStyle w:val="ListBullet"/>
        <w:spacing w:after="40"/>
      </w:pPr>
      <w:r>
        <w:rPr>
          <w:rFonts w:ascii="Aptos" w:hAnsi="Aptos"/>
          <w:sz w:val="19"/>
        </w:rPr>
        <w:t>Independent Short-Suffix Micro-Cubature for Sparse Late-Layer Anchors</w:t>
      </w:r>
    </w:p>
    <w:p>
      <w:pPr>
        <w:pStyle w:val="ListBullet"/>
        <w:spacing w:after="40"/>
      </w:pPr>
      <w:r>
        <w:rPr>
          <w:rFonts w:ascii="Aptos" w:hAnsi="Aptos"/>
          <w:sz w:val="19"/>
        </w:rPr>
        <w:t>AGENT2_EXACT_SPARSE_ADJOINT_REPORT.md and agent2_sparse_adjoint_results.json</w:t>
      </w:r>
    </w:p>
    <w:p>
      <w:pPr>
        <w:pStyle w:val="ListBullet"/>
        <w:spacing w:after="40"/>
      </w:pPr>
      <w:r>
        <w:rPr>
          <w:rFonts w:ascii="Aptos" w:hAnsi="Aptos"/>
          <w:sz w:val="19"/>
        </w:rPr>
        <w:t>sparse_cubic_center_and_channel_report.md and agent2_agent1_terminal_test.json</w:t>
      </w:r>
    </w:p>
    <w:p>
      <w:pPr>
        <w:pStyle w:val="ListBullet"/>
        <w:spacing w:after="40"/>
      </w:pPr>
      <w:r>
        <w:rPr>
          <w:rFonts w:ascii="Aptos" w:hAnsi="Aptos"/>
          <w:sz w:val="19"/>
        </w:rPr>
        <w:t>FRESH_SCREEN_SUMMARY.json and AGENT1_CONTINUATION_SUMMARY.json</w:t>
      </w:r>
    </w:p>
    <w:p>
      <w:pPr>
        <w:pStyle w:val="ListBullet"/>
        <w:spacing w:after="40"/>
      </w:pPr>
      <w:r>
        <w:rPr>
          <w:rFonts w:ascii="Aptos" w:hAnsi="Aptos"/>
          <w:sz w:val="19"/>
        </w:rPr>
        <w:t>adjoint_k3_full_holdout8.json and M85/connected-cubic result JSONs</w:t>
      </w:r>
    </w:p>
    <w:p>
      <w:pPr>
        <w:pStyle w:val="ListBullet"/>
        <w:spacing w:after="40"/>
      </w:pPr>
      <w:r>
        <w:rPr>
          <w:rFonts w:ascii="Aptos" w:hAnsi="Aptos"/>
          <w:sz w:val="19"/>
        </w:rPr>
        <w:t>ARC_HARMONIC_CV_EXPERIMENT_20260729.md</w:t>
      </w:r>
    </w:p>
    <w:p>
      <w:pPr>
        <w:pStyle w:val="ListBullet"/>
        <w:spacing w:after="40"/>
      </w:pPr>
      <w:r>
        <w:rPr>
          <w:rFonts w:ascii="Aptos" w:hAnsi="Aptos"/>
          <w:sz w:val="19"/>
        </w:rPr>
        <w:t>Agent 7 audit and split-contamination report</w:t>
      </w:r>
    </w:p>
    <w:p>
      <w:pPr>
        <w:pStyle w:val="Heading1"/>
      </w:pPr>
      <w:r>
        <w:t>Appendix B. Ratio convention</w:t>
      </w:r>
    </w:p>
    <w:p>
      <w:r>
        <w:rPr>
          <w:rFonts w:ascii="Aptos" w:hAnsi="Aptos"/>
          <w:b/>
          <w:color w:val="17365D"/>
          <w:sz w:val="19"/>
        </w:rPr>
        <w:t xml:space="preserve">Canonical workbook convention: </w:t>
      </w:r>
      <w:r>
        <w:rPr>
          <w:rFonts w:ascii="Aptos" w:hAnsi="Aptos"/>
          <w:sz w:val="19"/>
        </w:rPr>
        <w:t xml:space="preserve">candidate MSE / baseline MSE, so lower is better. </w:t>
      </w:r>
      <w:r>
        <w:rPr>
          <w:rFonts w:ascii="Aptos" w:hAnsi="Aptos"/>
          <w:sz w:val="19"/>
        </w:rPr>
        <w:t>When a source reports a gain as baseline/candidate, the document labels it explicitly as a gain or converts it before comparison.</w:t>
      </w:r>
    </w:p>
    <w:p>
      <w:pPr>
        <w:pStyle w:val="Heading1"/>
      </w:pPr>
      <w:r>
        <w:t>Appendix C. Scope of canonicality</w:t>
      </w:r>
    </w:p>
    <w:p>
      <w:r>
        <w:rPr>
          <w:rFonts w:ascii="Aptos" w:hAnsi="Aptos"/>
          <w:sz w:val="19"/>
        </w:rPr>
        <w:t>The companion workbook is the exhaustive experiment tracker. This narrative document is the canonical decision summary. The source library still contains raw scripts, archives, and result files that may not be reproducible in a sandbox because official data, high-precision moment corpora, or frozen arrays are absent. Absence from a code archive is not evidence that an experiment was never run.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Reconciled evidence cutoff: July 29, 2026, 12:36 p.m. 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color w:val="666666"/>
        <w:sz w:val="16"/>
      </w:rPr>
      <w:t>WHestBench canonical research state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C659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Callout">
    <w:name w:val="Executive Callout"/>
    <w:pPr>
      <w:spacing w:before="120" w:after="120"/>
      <w:ind w:left="216" w:right="216"/>
    </w:pPr>
    <w:rPr>
      <w:rFonts w:ascii="Aptos" w:hAnsi="Aptos"/>
      <w:b/>
      <w:color w:val="17365D"/>
      <w:sz w:val="22"/>
    </w:rPr>
  </w:style>
  <w:style w:type="paragraph" w:customStyle="1" w:styleId="SmallNote">
    <w:name w:val="Small Note"/>
    <w:pPr>
      <w:spacing w:after="40"/>
    </w:pPr>
    <w:rPr>
      <w:rFonts w:ascii="Aptos" w:hAnsi="Apto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