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  <Override PartName="/word/media/rId58.png" ContentType="image/png"/>
  <Override PartName="/word/media/rId20.png" ContentType="image/png"/>
  <Override PartName="/word/media/rId46.png" ContentType="image/png"/>
  <Override PartName="/word/media/rId59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whestbench-paper-a-reviewer-questions"/>
    <w:p>
      <w:pPr>
        <w:pStyle w:val="Heading1"/>
      </w:pPr>
      <w:r>
        <w:t xml:space="preserve">WHestBench Paper A — reviewer questions</w:t>
      </w:r>
    </w:p>
    <w:p>
      <w:pPr>
        <w:pStyle w:val="FirstParagraph"/>
      </w:pPr>
      <w:r>
        <w:t xml:space="preserve">The request is intentionally bounded. A reviewer need not audit the complete experiment ledger.</w:t>
      </w:r>
    </w:p>
    <w:bookmarkStart w:id="20" w:name="theorem-and-scope"/>
    <w:p>
      <w:pPr>
        <w:pStyle w:val="Heading2"/>
      </w:pPr>
      <w:r>
        <w:t xml:space="preserve">Theorem and scope</w:t>
      </w:r>
    </w:p>
    <w:p>
      <w:pPr>
        <w:pStyle w:val="Compact"/>
        <w:numPr>
          <w:ilvl w:val="0"/>
          <w:numId w:val="1001"/>
        </w:numPr>
      </w:pPr>
      <w:r>
        <w:t xml:space="preserve">Is the static estimator class stated naturally and without hidden assumptions?</w:t>
      </w:r>
    </w:p>
    <w:p>
      <w:pPr>
        <w:pStyle w:val="Compact"/>
        <w:numPr>
          <w:ilvl w:val="0"/>
          <w:numId w:val="1001"/>
        </w:numPr>
      </w:pPr>
      <w:r>
        <w:t xml:space="preserve">Does the nonnegative result support</w:t>
      </w:r>
      <w:r>
        <w:t xml:space="preserve"> </w:t>
      </w:r>
      <w:r>
        <w:t xml:space="preserve">“</w:t>
      </w:r>
      <w:r>
        <w:t xml:space="preserve">within 0.0233242% of optimum,</w:t>
      </w:r>
      <w:r>
        <w:t xml:space="preserve">”</w:t>
      </w:r>
      <w:r>
        <w:t xml:space="preserve"> </w:t>
      </w:r>
      <w:r>
        <w:t xml:space="preserve">given the stated interval-verification dependency?</w:t>
      </w:r>
    </w:p>
    <w:p>
      <w:pPr>
        <w:pStyle w:val="Compact"/>
        <w:numPr>
          <w:ilvl w:val="0"/>
          <w:numId w:val="1001"/>
        </w:numPr>
      </w:pPr>
      <w:r>
        <w:t xml:space="preserve">Is the arbitrary-signed theorem correctly separated from the stronger nonnegative theorem?</w:t>
      </w:r>
    </w:p>
    <w:p>
      <w:pPr>
        <w:pStyle w:val="Compact"/>
        <w:numPr>
          <w:ilvl w:val="0"/>
          <w:numId w:val="1001"/>
        </w:numPr>
      </w:pPr>
      <w:r>
        <w:t xml:space="preserve">Is it correct to exclude the earlier arbitrary-total-mass corollary until its standalone witness is recovered, and should the mass-one restriction be more prominent?</w:t>
      </w:r>
    </w:p>
    <w:p>
      <w:pPr>
        <w:pStyle w:val="Compact"/>
        <w:numPr>
          <w:ilvl w:val="0"/>
          <w:numId w:val="1001"/>
        </w:numPr>
      </w:pPr>
      <w:r>
        <w:t xml:space="preserve">Are the finite-width, adaptive, nonlinear, and network-dependent escape classes sufficiently prominent?</w:t>
      </w:r>
    </w:p>
    <w:bookmarkEnd w:id="20"/>
    <w:bookmarkStart w:id="21" w:name="proof-architecture"/>
    <w:p>
      <w:pPr>
        <w:pStyle w:val="Heading2"/>
      </w:pPr>
      <w:r>
        <w:t xml:space="preserve">Proof architecture</w:t>
      </w:r>
    </w:p>
    <w:p>
      <w:pPr>
        <w:pStyle w:val="Compact"/>
        <w:numPr>
          <w:ilvl w:val="0"/>
          <w:numId w:val="1002"/>
        </w:numPr>
      </w:pPr>
      <w:r>
        <w:t xml:space="preserve">Is the all-degree degree-five auxiliary optimization adequately justified by the Hermite contact conditions, exact quadrature, and reduced-cost sign argument?</w:t>
      </w:r>
    </w:p>
    <w:p>
      <w:pPr>
        <w:pStyle w:val="Compact"/>
        <w:numPr>
          <w:ilvl w:val="0"/>
          <w:numId w:val="1002"/>
        </w:numPr>
      </w:pPr>
      <w:r>
        <w:t xml:space="preserve">Is the positive-index lemma and its transfer through atomic inertia correct?</w:t>
      </w:r>
    </w:p>
    <w:p>
      <w:pPr>
        <w:pStyle w:val="Compact"/>
        <w:numPr>
          <w:ilvl w:val="0"/>
          <w:numId w:val="1002"/>
        </w:numPr>
      </w:pPr>
      <w:r>
        <w:t xml:space="preserve">Is the sign-count hierarchy a useful corollary or better placed in an appendix?</w:t>
      </w:r>
    </w:p>
    <w:p>
      <w:pPr>
        <w:pStyle w:val="Compact"/>
        <w:numPr>
          <w:ilvl w:val="0"/>
          <w:numId w:val="1002"/>
        </w:numPr>
      </w:pPr>
      <w:r>
        <w:t xml:space="preserve">Is the Schur–Horn shared-Gram sharpness theorem stated at the right generality?</w:t>
      </w:r>
    </w:p>
    <w:p>
      <w:pPr>
        <w:pStyle w:val="Compact"/>
        <w:numPr>
          <w:ilvl w:val="0"/>
          <w:numId w:val="1002"/>
        </w:numPr>
      </w:pPr>
      <w:r>
        <w:t xml:space="preserve">Is the equality-to-zero-code argument correct under the full-row-rank condition?</w:t>
      </w:r>
    </w:p>
    <w:p>
      <w:pPr>
        <w:pStyle w:val="Compact"/>
        <w:numPr>
          <w:ilvl w:val="0"/>
          <w:numId w:val="1002"/>
        </w:numPr>
      </w:pPr>
      <w:r>
        <w:t xml:space="preserve">Does the consecutive-Gegenbauer common-zero obstruction establish only strict nonattainment, as claimed?</w:t>
      </w:r>
    </w:p>
    <w:p>
      <w:pPr>
        <w:pStyle w:val="Compact"/>
        <w:numPr>
          <w:ilvl w:val="0"/>
          <w:numId w:val="1002"/>
        </w:numPr>
      </w:pPr>
      <w:r>
        <w:t xml:space="preserve">Is the coalescing-cancellation example sufficient to explain why strictness does not give a uniform unrestricted signed gap?</w:t>
      </w:r>
    </w:p>
    <w:bookmarkEnd w:id="21"/>
    <w:bookmarkStart w:id="22" w:name="computer-assisted-evidence"/>
    <w:p>
      <w:pPr>
        <w:pStyle w:val="Heading2"/>
      </w:pPr>
      <w:r>
        <w:t xml:space="preserve">Computer-assisted evidence</w:t>
      </w:r>
    </w:p>
    <w:p>
      <w:pPr>
        <w:pStyle w:val="Compact"/>
        <w:numPr>
          <w:ilvl w:val="0"/>
          <w:numId w:val="1003"/>
        </w:numPr>
      </w:pPr>
      <w:r>
        <w:t xml:space="preserve">Which numerical interval claims must be independently reconstructed before a preprint?</w:t>
      </w:r>
    </w:p>
    <w:p>
      <w:pPr>
        <w:pStyle w:val="Compact"/>
        <w:numPr>
          <w:ilvl w:val="0"/>
          <w:numId w:val="1003"/>
        </w:numPr>
      </w:pPr>
      <w:r>
        <w:t xml:space="preserve">Is exact-rational replay of the witness sufficient once the kernel intervals are independently certified?</w:t>
      </w:r>
    </w:p>
    <w:p>
      <w:pPr>
        <w:pStyle w:val="Compact"/>
        <w:numPr>
          <w:ilvl w:val="0"/>
          <w:numId w:val="1003"/>
        </w:numPr>
      </w:pPr>
      <w:r>
        <w:t xml:space="preserve">What should be placed in the main paper versus a verification appendix or repository?</w:t>
      </w:r>
    </w:p>
    <w:bookmarkEnd w:id="22"/>
    <w:bookmarkStart w:id="23" w:name="positioning"/>
    <w:p>
      <w:pPr>
        <w:pStyle w:val="Heading2"/>
      </w:pPr>
      <w:r>
        <w:t xml:space="preserve">Positioning</w:t>
      </w:r>
    </w:p>
    <w:p>
      <w:pPr>
        <w:pStyle w:val="Compact"/>
        <w:numPr>
          <w:ilvl w:val="0"/>
          <w:numId w:val="1004"/>
        </w:numPr>
      </w:pPr>
      <w:r>
        <w:t xml:space="preserve">Is the contribution best positioned as spherical cubature, kernel quadrature, design theory, or a neural-kernel application?</w:t>
      </w:r>
    </w:p>
    <w:p>
      <w:pPr>
        <w:pStyle w:val="Compact"/>
        <w:numPr>
          <w:ilvl w:val="0"/>
          <w:numId w:val="1004"/>
        </w:numPr>
      </w:pPr>
      <w:r>
        <w:t xml:space="preserve">Which related work or prior near-optimality theorem is missing?</w:t>
      </w:r>
    </w:p>
    <w:p>
      <w:pPr>
        <w:pStyle w:val="Compact"/>
        <w:numPr>
          <w:ilvl w:val="0"/>
          <w:numId w:val="1004"/>
        </w:numPr>
      </w:pPr>
      <w:r>
        <w:t xml:space="preserve">Which venue or workshop is the best initial target?</w:t>
      </w:r>
    </w:p>
    <w:bookmarkEnd w:id="23"/>
    <w:bookmarkStart w:id="24" w:name="artifact-and-wording-checks"/>
    <w:p>
      <w:pPr>
        <w:pStyle w:val="Heading2"/>
      </w:pPr>
      <w:r>
        <w:t xml:space="preserve">Artifact and wording checks</w:t>
      </w:r>
    </w:p>
    <w:p>
      <w:pPr>
        <w:pStyle w:val="Compact"/>
        <w:numPr>
          <w:ilvl w:val="0"/>
          <w:numId w:val="1005"/>
        </w:numPr>
      </w:pPr>
      <w:r>
        <w:t xml:space="preserve">Does the frozen-witness inertia strengthening correctly convert the released comparison allocation from rank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to positive index</w:t>
      </w:r>
      <w:r>
        <w:t xml:space="preserve"> </w:t>
      </w:r>
      <w:r>
        <w:rPr>
          <w:rStyle w:val="VerbatimChar"/>
        </w:rPr>
        <w:t xml:space="preserve">N-1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Is the distinction between a factor cap</w:t>
      </w:r>
      <w:r>
        <w:t xml:space="preserve"> </w:t>
      </w:r>
      <w:r>
        <w:rPr>
          <w:rStyle w:val="VerbatimChar"/>
        </w:rPr>
        <w:t xml:space="preserve">1.067167...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6.293983...%</w:t>
      </w:r>
      <w:r>
        <w:t xml:space="preserve"> </w:t>
      </w:r>
      <w:r>
        <w:t xml:space="preserve">Kerdock-risk reduction stated correctly?</w:t>
      </w:r>
    </w:p>
    <w:p>
      <w:pPr>
        <w:pStyle w:val="Compact"/>
        <w:numPr>
          <w:ilvl w:val="0"/>
          <w:numId w:val="1005"/>
        </w:numPr>
      </w:pPr>
      <w:r>
        <w:t xml:space="preserve">Does the endpoint certificate adequately support equality only at the three Hermite contact points?</w:t>
      </w:r>
    </w:p>
    <w:p>
      <w:pPr>
        <w:pStyle w:val="Compact"/>
        <w:numPr>
          <w:ilvl w:val="0"/>
          <w:numId w:val="1005"/>
        </w:numPr>
      </w:pPr>
      <w:r>
        <w:t xml:space="preserve">Is the distinction from exact SDP packing optimality of related Kerdock spherical codes clear enough?</w:t>
      </w:r>
    </w:p>
    <w:bookmarkEnd w:id="24"/>
    <w:bookmarkEnd w:id="25"/>
    <w:sectPr w:rsidR="00FC693F" w:rsidRPr="0006063C" w:rsidSect="00034616">
      <w:headerReference r:id="rId9" w:type="default"/>
      <w:footerReference r:id="rId10" w:type="default"/>
      <w:pgSz w:h="15840" w:w="12240"/>
      <w:pgMar w:bottom="1037" w:footer="432" w:gutter="0" w:header="432" w:left="1181" w:right="1181" w:top="1123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7880"/>
        <w:sz w:val="16"/>
        <w:lang w:val="zxx" w:eastAsia="zxx" w:bidi="zxx"/>
        <w:noProof/>
      </w:rPr>
      <w:t>Open research draft •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7880"/>
        <w:sz w:val="16"/>
        <w:lang w:val="zxx" w:eastAsia="zxx" w:bidi="zxx"/>
        <w:noProof/>
      </w:rPr>
      <w:t>WHestBench Open Research — External Review Draft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hideSpellingErrors/>
  <w:hideGrammaticalError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zxx" w:eastAsia="zxx" w:val="zxx"/>
        <w:noProof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10" w:line="259" w:lineRule="auto"/>
    </w:pPr>
    <w:rPr>
      <w:rFonts w:ascii="Aptos" w:eastAsia="Aptos" w:hAnsi="Aptos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60" w:before="160"/>
      <w:outlineLvl w:val="0"/>
    </w:pPr>
    <w:rPr>
      <w:rFonts w:ascii="Aptos Display" w:asciiTheme="majorHAnsi" w:cstheme="majorBidi" w:eastAsia="Aptos Display" w:eastAsiaTheme="majorEastAsia" w:hAnsi="Aptos Display" w:hAnsiTheme="majorHAnsi"/>
      <w:b/>
      <w:bCs/>
      <w:color w:val="15436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40" w:before="120"/>
      <w:outlineLvl w:val="1"/>
    </w:pPr>
    <w:rPr>
      <w:rFonts w:ascii="Aptos Display" w:asciiTheme="majorHAnsi" w:cstheme="majorBidi" w:eastAsia="Aptos Display" w:eastAsiaTheme="majorEastAsia" w:hAnsi="Aptos Display" w:hAnsiTheme="majorHAnsi"/>
      <w:b/>
      <w:bCs/>
      <w:color w:val="1F4E6B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30" w:before="80"/>
      <w:outlineLvl w:val="2"/>
    </w:pPr>
    <w:rPr>
      <w:rFonts w:ascii="Aptos Display" w:asciiTheme="majorHAnsi" w:cstheme="majorBidi" w:eastAsia="Aptos Display" w:eastAsiaTheme="majorEastAsia" w:hAnsi="Aptos Display" w:hAnsiTheme="majorHAnsi"/>
      <w:b/>
      <w:bCs/>
      <w:color w:val="335369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80" w:line="240" w:lineRule="auto"/>
      <w:contextualSpacing/>
    </w:pPr>
    <w:rPr>
      <w:rFonts w:ascii="Aptos Display" w:asciiTheme="majorHAnsi" w:cstheme="majorBidi" w:eastAsia="Aptos Display" w:eastAsiaTheme="majorEastAsia" w:hAnsi="Aptos Display" w:hAnsiTheme="majorHAnsi"/>
      <w:b/>
      <w:color w:val="1F374A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Aptos" w:asciiTheme="majorHAnsi" w:cstheme="majorBidi" w:eastAsiaTheme="majorEastAsia" w:hAnsi="Aptos" w:hAnsiTheme="majorHAnsi"/>
      <w:i/>
      <w:iCs/>
      <w:color w:val="4A5B68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10" w:line="259" w:lineRule="auto"/>
    </w:pPr>
    <w:rPr>
      <w:rFonts w:ascii="Aptos" w:hAnsi="Aptos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50"/>
      <w:ind w:hanging="259" w:left="317"/>
      <w:contextualSpacing/>
    </w:pPr>
    <w:rPr>
      <w:rFonts w:ascii="Aptos" w:hAnsi="Aptos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50"/>
      <w:ind w:hanging="259" w:left="317"/>
      <w:contextualSpacing/>
    </w:pPr>
    <w:rPr>
      <w:rFonts w:ascii="Aptos" w:hAnsi="Aptos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Next/>
      <w:spacing w:after="100" w:before="40" w:line="240" w:lineRule="auto"/>
    </w:pPr>
    <w:rPr>
      <w:rFonts w:ascii="Aptos" w:hAnsi="Aptos"/>
      <w:b/>
      <w:bCs/>
      <w:i/>
      <w:color w:val="465058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18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2026-08-02T16:12:51Z</dcterms:created>
  <dcterms:modified xsi:type="dcterms:W3CDTF">2026-08-02T16:12:51Z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