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7365D"/>
          <w:sz w:val="52"/>
        </w:rPr>
        <w:t>WHestBench Canonical Research State</w:t>
      </w:r>
    </w:p>
    <w:p>
      <w:pPr>
        <w:jc w:val="center"/>
      </w:pPr>
      <w:r>
        <w:rPr>
          <w:rFonts w:ascii="Aptos Display" w:hAnsi="Aptos Display"/>
          <w:b/>
          <w:color w:val="1F4E78"/>
          <w:sz w:val="30"/>
        </w:rPr>
        <w:t>ARC White-Box Estimation Challenge 2026</w:t>
      </w:r>
    </w:p>
    <w:p>
      <w:pPr>
        <w:spacing w:before="240"/>
        <w:jc w:val="center"/>
      </w:pPr>
      <w:r>
        <w:rPr>
          <w:rFonts w:ascii="Aptos" w:hAnsi="Aptos"/>
          <w:i/>
          <w:color w:val="666666"/>
          <w:sz w:val="22"/>
        </w:rPr>
        <w:t>Full reconciliation of experiments, evidence quality, closure scope, and next decisions</w:t>
      </w: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D9EAF7"/>
            <w:tcMar>
              <w:top w:w="120" w:type="dxa"/>
              <w:start w:w="140" w:type="dxa"/>
              <w:bottom w:w="120" w:type="dxa"/>
              <w:end w:w="140" w:type="dxa"/>
            </w:tcMar>
          </w:tcPr>
          <w:p>
            <w:pPr>
              <w:spacing w:after="0"/>
            </w:pPr>
            <w:r/>
            <w:r>
              <w:rPr>
                <w:rFonts w:ascii="Aptos" w:hAnsi="Aptos"/>
                <w:b/>
                <w:color w:val="17365D"/>
                <w:sz w:val="21"/>
              </w:rPr>
              <w:t>Canonical policy: a small or synthetic sandbox result may close the exact implementation it tested, but it does not close a broad research avenue unless the environment is matched, the evidence is replicated, or a rigorous theorem applies.</w:t>
            </w:r>
          </w:p>
        </w:tc>
      </w:tr>
    </w:tbl>
    <w:p>
      <w:pPr>
        <w:spacing w:after="20"/>
      </w:pPr>
    </w:p>
    <w:p>
      <w:pPr>
        <w:spacing w:before="360"/>
        <w:jc w:val="center"/>
      </w:pPr>
      <w:r>
        <w:t>Evidence cutoff: July 29, 2026, 2:28 p.m. ET</w:t>
      </w:r>
    </w:p>
    <w:p>
      <w:pPr>
        <w:jc w:val="center"/>
      </w:pPr>
      <w:r>
        <w:t>Companion workbook: whestbench_canonical_research_ledger_20260729_reconciled_v5.xlsx</w:t>
      </w:r>
    </w:p>
    <w:p>
      <w:r>
        <w:br w:type="page"/>
      </w:r>
    </w:p>
    <w:p>
      <w:pPr>
        <w:pStyle w:val="Heading1"/>
      </w:pPr>
      <w:r>
        <w:t>1. Executive summary</w:t>
      </w: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D9EAF7"/>
            <w:tcMar>
              <w:top w:w="120" w:type="dxa"/>
              <w:start w:w="140" w:type="dxa"/>
              <w:bottom w:w="120" w:type="dxa"/>
              <w:end w:w="140" w:type="dxa"/>
            </w:tcMar>
          </w:tcPr>
          <w:p>
            <w:pPr>
              <w:spacing w:after="0"/>
            </w:pPr>
            <w:r/>
            <w:r>
              <w:rPr>
                <w:rFonts w:ascii="Aptos" w:hAnsi="Aptos"/>
                <w:b/>
                <w:color w:val="17365D"/>
                <w:sz w:val="21"/>
              </w:rPr>
              <w:t>The research has localized a large, real, late-layer correction channel, and the adjoint compute problem is largely solved. The unresolved problem is observability: cheaply predicting the signed absolute center/source defect that the complete Kerdock rule misses.</w:t>
            </w:r>
          </w:p>
        </w:tc>
      </w:tr>
    </w:tbl>
    <w:p>
      <w:pPr>
        <w:spacing w:after="20"/>
      </w:pPr>
    </w:p>
    <w:p>
      <w:pPr>
        <w:pStyle w:val="ListBullet"/>
        <w:spacing w:after="40"/>
      </w:pPr>
      <w:r>
        <w:rPr>
          <w:rFonts w:ascii="Aptos" w:hAnsi="Aptos"/>
          <w:sz w:val="19"/>
        </w:rPr>
        <w:t>The only shipping-ready direction is arithmetic: compare the fixed three-layer and adaptive depth-2–6 suffix compilers inside the current partial-tree implementation with measured FlopScope and residual wall time.</w:t>
      </w:r>
    </w:p>
    <w:p>
      <w:pPr>
        <w:pStyle w:val="ListBullet"/>
        <w:spacing w:after="40"/>
      </w:pPr>
      <w:r>
        <w:t>The strongest validated mechanism is the layer-31 post-ReLU mean defect: exact correction produced candidate/base 0.2187 on 64 holdout networks with 64/64 wins. The bounded target-free sparse-coordinate program is now closed, however: leading K=32 selectors captured 53.21% and 51.08% of the oracle gap under rotation 3 but only 38.90% and 36.50% under rotation 19 despite selecting nearly the same coordinates.</w:t>
      </w:r>
    </w:p>
    <w:p>
      <w:pPr>
        <w:pStyle w:val="ListBullet"/>
        <w:spacing w:after="40"/>
      </w:pPr>
      <w:r>
        <w:rPr>
          <w:rFonts w:ascii="Aptos" w:hAnsi="Aptos"/>
          <w:sz w:val="19"/>
        </w:rPr>
        <w:t>Connected-cubic controls contain transferable signal. Oracle-state rank-4 c21 reached candidate/base 0.5993 on 16/16 networks; the M85 factorized-anchor control reached 0.8814 on frozen holdout but had a 1.4277 worst-network tail.</w:t>
      </w:r>
    </w:p>
    <w:p>
      <w:pPr>
        <w:pStyle w:val="ListBullet"/>
        <w:spacing w:after="40"/>
      </w:pPr>
      <w:r>
        <w:t>The adjoint and joint-scalar algebra are now solved infrastructure, but the deployment lane has failed its two previously surviving implementations. Exact checkpoint plus candidate sources reached candidate/base 0.526 at 6.744B, retaining 61.18% of exact-anchor benefit, while the legal inherited candidate was 1.014 and the legal full-depth candidate 1.001 at 10.310B. The remaining obstruction is an exceptionally accurate absolute joint checkpoint/source, not contraction compute or another recurrence identity.</w:t>
      </w:r>
    </w:p>
    <w:p>
      <w:pPr>
        <w:pStyle w:val="ListBullet"/>
        <w:spacing w:after="40"/>
      </w:pPr>
      <w:r>
        <w:t>The direct final-output sparse radial-Hermite ceiling remains unvalidated: the newest reported exact-anchor result is candidate/base 0.109 on eight development networks. The same feature family is closed as a layer-31 residual surrogate, and the tested joint-scalar deployment mechanisms are now closed. A fresh direct-output oracle validation is therefore a ceiling decision, not evidence that a deployable anchor is close.</w:t>
      </w:r>
    </w:p>
    <w:p>
      <w:pPr>
        <w:pStyle w:val="ListBullet"/>
        <w:spacing w:after="40"/>
      </w:pPr>
      <w:r>
        <w:t>The current statistical portfolio is now extremely narrow. Conditional integration, stable-gate MLMC, ordinary sampled pilots, same-cloud anchors, K2/row/edge coresets, tested joint-scalar recurrences, marginal shared-phase statistics, sparse radial-Hermite g31, and fixed target-free coordinate support have all failed their frozen gates. The active work is compiler measurement, fresh validation of the direct final-output sparse oracle, and one bounded width-256 learned anchor using a rotation-aware target.</w:t>
      </w:r>
    </w:p>
    <w:p>
      <w:pPr>
        <w:pStyle w:val="Heading2"/>
      </w:pPr>
      <w:r>
        <w:t>What changed in this reconciliation</w:t>
      </w:r>
    </w:p>
    <w:p>
      <w:pPr>
        <w:pStyle w:val="ListBullet"/>
        <w:spacing w:after="40"/>
      </w:pPr>
      <w:r>
        <w:rPr>
          <w:rFonts w:ascii="Aptos" w:hAnsi="Aptos"/>
          <w:sz w:val="19"/>
        </w:rPr>
        <w:t>Added 18 missing or overly compressed experiment rows, including the local adjoint implementation, oracle-state rank-4 c21, source-closure failures, granular activation-region experiments, and individual equivariant-model results.</w:t>
      </w:r>
    </w:p>
    <w:p>
      <w:pPr>
        <w:pStyle w:val="ListBullet"/>
        <w:spacing w:after="40"/>
      </w:pPr>
      <w:r>
        <w:rPr>
          <w:rFonts w:ascii="Aptos" w:hAnsi="Aptos"/>
          <w:sz w:val="19"/>
        </w:rPr>
        <w:t>Corrected stale or wrong top-level statements: the old 1.442e-7 compiler projection used an obsolete baseline; the exact quadratic control is closed; the stable-gate MLMC report did not contain the previously attributed 2.02 worst-network value.</w:t>
      </w:r>
    </w:p>
    <w:p>
      <w:pPr>
        <w:pStyle w:val="ListBullet"/>
        <w:spacing w:after="40"/>
      </w:pPr>
      <w:r>
        <w:rPr>
          <w:rFonts w:ascii="Aptos" w:hAnsi="Aptos"/>
          <w:sz w:val="19"/>
        </w:rPr>
        <w:t>Downgraded the claim that sparse centering is low-dimensional. It is exactly shared, but its empirical rank on the real frozen probes is unknown; a width-256 proxy span has rank 128.</w:t>
      </w:r>
    </w:p>
    <w:p>
      <w:pPr>
        <w:pStyle w:val="ListBullet"/>
        <w:spacing w:after="40"/>
      </w:pPr>
      <w:r>
        <w:rPr>
          <w:rFonts w:ascii="Aptos" w:hAnsi="Aptos"/>
          <w:sz w:val="19"/>
        </w:rPr>
        <w:t>Inserted the missing negative toy evidence against short-suffix source localization. Real source attribution is now a prerequisite for micro-cubature or suffix-only closure work.</w:t>
      </w:r>
    </w:p>
    <w:p>
      <w:pPr>
        <w:pStyle w:val="ListBullet"/>
        <w:spacing w:after="40"/>
      </w:pPr>
      <w:r>
        <w:rPr>
          <w:rFonts w:ascii="Aptos" w:hAnsi="Aptos"/>
          <w:sz w:val="19"/>
        </w:rPr>
        <w:t>Separated tested-form closure from broad-class closure throughout the ledger.</w:t>
      </w:r>
    </w:p>
    <w:p>
      <w:r>
        <w:br w:type="page"/>
      </w:r>
    </w:p>
    <w:p>
      <w:pPr>
        <w:pStyle w:val="Heading1"/>
      </w:pPr>
      <w:r>
        <w:t>2. Evidence hierarchy and closure rules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2016"/>
            <w:shd w:fill="17365D"/>
            <w:vAlign w:val="top"/>
            <w:tcMar>
              <w:top w:w="60" w:type="dxa"/>
              <w:start w:w="75" w:type="dxa"/>
              <w:bottom w:w="60" w:type="dxa"/>
              <w:end w:w="75" w:type="dxa"/>
            </w:tcMar>
          </w:tcPr>
          <w:p>
            <w:pPr>
              <w:spacing w:after="0" w:line="240" w:lineRule="auto"/>
              <w:jc w:val="center"/>
            </w:pPr>
            <w:r/>
            <w:r>
              <w:rPr>
                <w:rFonts w:ascii="Aptos" w:hAnsi="Aptos"/>
                <w:b/>
                <w:color w:val="FFFFFF"/>
                <w:sz w:val="16"/>
              </w:rPr>
              <w:t>Tier</w:t>
            </w:r>
          </w:p>
        </w:tc>
        <w:tc>
          <w:tcPr>
            <w:tcW w:type="dxa" w:w="3744"/>
            <w:shd w:fill="17365D"/>
            <w:vAlign w:val="top"/>
            <w:tcMar>
              <w:top w:w="60" w:type="dxa"/>
              <w:start w:w="75" w:type="dxa"/>
              <w:bottom w:w="60" w:type="dxa"/>
              <w:end w:w="75" w:type="dxa"/>
            </w:tcMar>
          </w:tcPr>
          <w:p>
            <w:pPr>
              <w:spacing w:after="0" w:line="240" w:lineRule="auto"/>
              <w:jc w:val="center"/>
            </w:pPr>
            <w:r/>
            <w:r>
              <w:rPr>
                <w:rFonts w:ascii="Aptos" w:hAnsi="Aptos"/>
                <w:b/>
                <w:color w:val="FFFFFF"/>
                <w:sz w:val="16"/>
              </w:rPr>
              <w:t>Meaning</w:t>
            </w:r>
          </w:p>
        </w:tc>
        <w:tc>
          <w:tcPr>
            <w:tcW w:type="dxa" w:w="5040"/>
            <w:shd w:fill="17365D"/>
            <w:vAlign w:val="top"/>
            <w:tcMar>
              <w:top w:w="60" w:type="dxa"/>
              <w:start w:w="75" w:type="dxa"/>
              <w:bottom w:w="60" w:type="dxa"/>
              <w:end w:w="75" w:type="dxa"/>
            </w:tcMar>
          </w:tcPr>
          <w:p>
            <w:pPr>
              <w:spacing w:after="0" w:line="240" w:lineRule="auto"/>
              <w:jc w:val="center"/>
            </w:pPr>
            <w:r/>
            <w:r>
              <w:rPr>
                <w:rFonts w:ascii="Aptos" w:hAnsi="Aptos"/>
                <w:b/>
                <w:color w:val="FFFFFF"/>
                <w:sz w:val="16"/>
              </w:rPr>
              <w:t>Allowed conclusion</w:t>
            </w:r>
          </w:p>
        </w:tc>
      </w:tr>
      <w:tr>
        <w:trPr>
          <w:cantSplit w:val="true"/>
        </w:trPr>
        <w:tc>
          <w:tcPr>
            <w:tcW w:type="dxa" w:w="2016"/>
            <w:vAlign w:val="top"/>
            <w:tcMar>
              <w:top w:w="60" w:type="dxa"/>
              <w:start w:w="75" w:type="dxa"/>
              <w:bottom w:w="60" w:type="dxa"/>
              <w:end w:w="75" w:type="dxa"/>
            </w:tcMar>
          </w:tcPr>
          <w:p>
            <w:pPr>
              <w:spacing w:after="0" w:line="240" w:lineRule="auto"/>
            </w:pPr>
            <w:r/>
            <w:r>
              <w:rPr>
                <w:rFonts w:ascii="Aptos" w:hAnsi="Aptos"/>
                <w:b w:val="0"/>
                <w:color w:val="1F1F1F"/>
                <w:sz w:val="16"/>
              </w:rPr>
              <w:t>E5 — official paired grader</w:t>
            </w:r>
          </w:p>
        </w:tc>
        <w:tc>
          <w:tcPr>
            <w:tcW w:type="dxa" w:w="3744"/>
            <w:vAlign w:val="top"/>
            <w:tcMar>
              <w:top w:w="60" w:type="dxa"/>
              <w:start w:w="75" w:type="dxa"/>
              <w:bottom w:w="60" w:type="dxa"/>
              <w:end w:w="75" w:type="dxa"/>
            </w:tcMar>
          </w:tcPr>
          <w:p>
            <w:pPr>
              <w:spacing w:after="0" w:line="240" w:lineRule="auto"/>
            </w:pPr>
            <w:r/>
            <w:r>
              <w:rPr>
                <w:rFonts w:ascii="Aptos" w:hAnsi="Aptos"/>
                <w:b w:val="0"/>
                <w:color w:val="1F1F1F"/>
                <w:sz w:val="16"/>
              </w:rPr>
              <w:t>Exact benchmark, current implementation, target comparison, full compute/wall accounting</w:t>
            </w:r>
          </w:p>
        </w:tc>
        <w:tc>
          <w:tcPr>
            <w:tcW w:type="dxa" w:w="5040"/>
            <w:vAlign w:val="top"/>
            <w:tcMar>
              <w:top w:w="60" w:type="dxa"/>
              <w:start w:w="75" w:type="dxa"/>
              <w:bottom w:w="60" w:type="dxa"/>
              <w:end w:w="75" w:type="dxa"/>
            </w:tcMar>
          </w:tcPr>
          <w:p>
            <w:pPr>
              <w:spacing w:after="0" w:line="240" w:lineRule="auto"/>
            </w:pPr>
            <w:r/>
            <w:r>
              <w:rPr>
                <w:rFonts w:ascii="Aptos" w:hAnsi="Aptos"/>
                <w:b w:val="0"/>
                <w:color w:val="1F1F1F"/>
                <w:sz w:val="16"/>
              </w:rPr>
              <w:t>Submission decision and measured score claim</w:t>
            </w:r>
          </w:p>
        </w:tc>
      </w:tr>
      <w:tr>
        <w:trPr>
          <w:cantSplit w:val="true"/>
        </w:trPr>
        <w:tc>
          <w:tcPr>
            <w:tcW w:type="dxa" w:w="2016"/>
            <w:shd w:fill="F8FBFD"/>
            <w:vAlign w:val="top"/>
            <w:tcMar>
              <w:top w:w="60" w:type="dxa"/>
              <w:start w:w="75" w:type="dxa"/>
              <w:bottom w:w="60" w:type="dxa"/>
              <w:end w:w="75" w:type="dxa"/>
            </w:tcMar>
          </w:tcPr>
          <w:p>
            <w:pPr>
              <w:spacing w:after="0" w:line="240" w:lineRule="auto"/>
            </w:pPr>
            <w:r/>
            <w:r>
              <w:rPr>
                <w:rFonts w:ascii="Aptos" w:hAnsi="Aptos"/>
                <w:b w:val="0"/>
                <w:color w:val="1F1F1F"/>
                <w:sz w:val="16"/>
              </w:rPr>
              <w:t>E4 — frozen full-width holdout</w:t>
            </w:r>
          </w:p>
        </w:tc>
        <w:tc>
          <w:tcPr>
            <w:tcW w:type="dxa" w:w="3744"/>
            <w:shd w:fill="F8FBFD"/>
            <w:vAlign w:val="top"/>
            <w:tcMar>
              <w:top w:w="60" w:type="dxa"/>
              <w:start w:w="75" w:type="dxa"/>
              <w:bottom w:w="60" w:type="dxa"/>
              <w:end w:w="75" w:type="dxa"/>
            </w:tcMar>
          </w:tcPr>
          <w:p>
            <w:pPr>
              <w:spacing w:after="0" w:line="240" w:lineRule="auto"/>
            </w:pPr>
            <w:r/>
            <w:r>
              <w:rPr>
                <w:rFonts w:ascii="Aptos" w:hAnsi="Aptos"/>
                <w:b w:val="0"/>
                <w:color w:val="1F1F1F"/>
                <w:sz w:val="16"/>
              </w:rPr>
              <w:t>Fresh width-256/depth-32 networks after settings are frozen</w:t>
            </w:r>
          </w:p>
        </w:tc>
        <w:tc>
          <w:tcPr>
            <w:tcW w:type="dxa" w:w="5040"/>
            <w:shd w:fill="F8FBFD"/>
            <w:vAlign w:val="top"/>
            <w:tcMar>
              <w:top w:w="60" w:type="dxa"/>
              <w:start w:w="75" w:type="dxa"/>
              <w:bottom w:w="60" w:type="dxa"/>
              <w:end w:w="75" w:type="dxa"/>
            </w:tcMar>
          </w:tcPr>
          <w:p>
            <w:pPr>
              <w:spacing w:after="0" w:line="240" w:lineRule="auto"/>
            </w:pPr>
            <w:r/>
            <w:r>
              <w:rPr>
                <w:rFonts w:ascii="Aptos" w:hAnsi="Aptos"/>
                <w:b w:val="0"/>
                <w:color w:val="1F1F1F"/>
                <w:sz w:val="16"/>
              </w:rPr>
              <w:t>Primary pre-official evidence; may close a tested implementation</w:t>
            </w:r>
          </w:p>
        </w:tc>
      </w:tr>
      <w:tr>
        <w:trPr>
          <w:cantSplit w:val="true"/>
        </w:trPr>
        <w:tc>
          <w:tcPr>
            <w:tcW w:type="dxa" w:w="2016"/>
            <w:vAlign w:val="top"/>
            <w:tcMar>
              <w:top w:w="60" w:type="dxa"/>
              <w:start w:w="75" w:type="dxa"/>
              <w:bottom w:w="60" w:type="dxa"/>
              <w:end w:w="75" w:type="dxa"/>
            </w:tcMar>
          </w:tcPr>
          <w:p>
            <w:pPr>
              <w:spacing w:after="0" w:line="240" w:lineRule="auto"/>
            </w:pPr>
            <w:r/>
            <w:r>
              <w:rPr>
                <w:rFonts w:ascii="Aptos" w:hAnsi="Aptos"/>
                <w:b w:val="0"/>
                <w:color w:val="1F1F1F"/>
                <w:sz w:val="16"/>
              </w:rPr>
              <w:t>E3 — architecture-matched synthetic</w:t>
            </w:r>
          </w:p>
        </w:tc>
        <w:tc>
          <w:tcPr>
            <w:tcW w:type="dxa" w:w="3744"/>
            <w:vAlign w:val="top"/>
            <w:tcMar>
              <w:top w:w="60" w:type="dxa"/>
              <w:start w:w="75" w:type="dxa"/>
              <w:bottom w:w="60" w:type="dxa"/>
              <w:end w:w="75" w:type="dxa"/>
            </w:tcMar>
          </w:tcPr>
          <w:p>
            <w:pPr>
              <w:spacing w:after="0" w:line="240" w:lineRule="auto"/>
            </w:pPr>
            <w:r/>
            <w:r>
              <w:rPr>
                <w:rFonts w:ascii="Aptos" w:hAnsi="Aptos"/>
                <w:b w:val="0"/>
                <w:color w:val="1F1F1F"/>
                <w:sz w:val="16"/>
              </w:rPr>
              <w:t>Correct width/geometry but synthetic targets, development use, or incomplete runtime fidelity</w:t>
            </w:r>
          </w:p>
        </w:tc>
        <w:tc>
          <w:tcPr>
            <w:tcW w:type="dxa" w:w="5040"/>
            <w:vAlign w:val="top"/>
            <w:tcMar>
              <w:top w:w="60" w:type="dxa"/>
              <w:start w:w="75" w:type="dxa"/>
              <w:bottom w:w="60" w:type="dxa"/>
              <w:end w:w="75" w:type="dxa"/>
            </w:tcMar>
          </w:tcPr>
          <w:p>
            <w:pPr>
              <w:spacing w:after="0" w:line="240" w:lineRule="auto"/>
            </w:pPr>
            <w:r/>
            <w:r>
              <w:rPr>
                <w:rFonts w:ascii="Aptos" w:hAnsi="Aptos"/>
                <w:b w:val="0"/>
                <w:color w:val="1F1F1F"/>
                <w:sz w:val="16"/>
              </w:rPr>
              <w:t>Select or kill exact variants; do not make broad class claims</w:t>
            </w:r>
          </w:p>
        </w:tc>
      </w:tr>
      <w:tr>
        <w:trPr>
          <w:cantSplit w:val="true"/>
        </w:trPr>
        <w:tc>
          <w:tcPr>
            <w:tcW w:type="dxa" w:w="2016"/>
            <w:shd w:fill="F8FBFD"/>
            <w:vAlign w:val="top"/>
            <w:tcMar>
              <w:top w:w="60" w:type="dxa"/>
              <w:start w:w="75" w:type="dxa"/>
              <w:bottom w:w="60" w:type="dxa"/>
              <w:end w:w="75" w:type="dxa"/>
            </w:tcMar>
          </w:tcPr>
          <w:p>
            <w:pPr>
              <w:spacing w:after="0" w:line="240" w:lineRule="auto"/>
            </w:pPr>
            <w:r/>
            <w:r>
              <w:rPr>
                <w:rFonts w:ascii="Aptos" w:hAnsi="Aptos"/>
                <w:b w:val="0"/>
                <w:color w:val="1F1F1F"/>
                <w:sz w:val="16"/>
              </w:rPr>
              <w:t>E2 — oracle mechanism</w:t>
            </w:r>
          </w:p>
        </w:tc>
        <w:tc>
          <w:tcPr>
            <w:tcW w:type="dxa" w:w="3744"/>
            <w:shd w:fill="F8FBFD"/>
            <w:vAlign w:val="top"/>
            <w:tcMar>
              <w:top w:w="60" w:type="dxa"/>
              <w:start w:w="75" w:type="dxa"/>
              <w:bottom w:w="60" w:type="dxa"/>
              <w:end w:w="75" w:type="dxa"/>
            </w:tcMar>
          </w:tcPr>
          <w:p>
            <w:pPr>
              <w:spacing w:after="0" w:line="240" w:lineRule="auto"/>
            </w:pPr>
            <w:r/>
            <w:r>
              <w:rPr>
                <w:rFonts w:ascii="Aptos" w:hAnsi="Aptos"/>
                <w:b w:val="0"/>
                <w:color w:val="1F1F1F"/>
                <w:sz w:val="16"/>
              </w:rPr>
              <w:t>True moments, target-aware directions, unavailable anchors or interventions</w:t>
            </w:r>
          </w:p>
        </w:tc>
        <w:tc>
          <w:tcPr>
            <w:tcW w:type="dxa" w:w="5040"/>
            <w:shd w:fill="F8FBFD"/>
            <w:vAlign w:val="top"/>
            <w:tcMar>
              <w:top w:w="60" w:type="dxa"/>
              <w:start w:w="75" w:type="dxa"/>
              <w:bottom w:w="60" w:type="dxa"/>
              <w:end w:w="75" w:type="dxa"/>
            </w:tcMar>
          </w:tcPr>
          <w:p>
            <w:pPr>
              <w:spacing w:after="0" w:line="240" w:lineRule="auto"/>
            </w:pPr>
            <w:r/>
            <w:r>
              <w:rPr>
                <w:rFonts w:ascii="Aptos" w:hAnsi="Aptos"/>
                <w:b w:val="0"/>
                <w:color w:val="1F1F1F"/>
                <w:sz w:val="16"/>
              </w:rPr>
              <w:t>Establishes headroom and structure only</w:t>
            </w:r>
          </w:p>
        </w:tc>
      </w:tr>
      <w:tr>
        <w:trPr>
          <w:cantSplit w:val="true"/>
        </w:trPr>
        <w:tc>
          <w:tcPr>
            <w:tcW w:type="dxa" w:w="2016"/>
            <w:vAlign w:val="top"/>
            <w:tcMar>
              <w:top w:w="60" w:type="dxa"/>
              <w:start w:w="75" w:type="dxa"/>
              <w:bottom w:w="60" w:type="dxa"/>
              <w:end w:w="75" w:type="dxa"/>
            </w:tcMar>
          </w:tcPr>
          <w:p>
            <w:pPr>
              <w:spacing w:after="0" w:line="240" w:lineRule="auto"/>
            </w:pPr>
            <w:r/>
            <w:r>
              <w:rPr>
                <w:rFonts w:ascii="Aptos" w:hAnsi="Aptos"/>
                <w:b w:val="0"/>
                <w:color w:val="1F1F1F"/>
                <w:sz w:val="16"/>
              </w:rPr>
              <w:t>E1 — algebra / infrastructure</w:t>
            </w:r>
          </w:p>
        </w:tc>
        <w:tc>
          <w:tcPr>
            <w:tcW w:type="dxa" w:w="3744"/>
            <w:vAlign w:val="top"/>
            <w:tcMar>
              <w:top w:w="60" w:type="dxa"/>
              <w:start w:w="75" w:type="dxa"/>
              <w:bottom w:w="60" w:type="dxa"/>
              <w:end w:w="75" w:type="dxa"/>
            </w:tcMar>
          </w:tcPr>
          <w:p>
            <w:pPr>
              <w:spacing w:after="0" w:line="240" w:lineRule="auto"/>
            </w:pPr>
            <w:r/>
            <w:r>
              <w:rPr>
                <w:rFonts w:ascii="Aptos" w:hAnsi="Aptos"/>
                <w:b w:val="0"/>
                <w:color w:val="1F1F1F"/>
                <w:sz w:val="16"/>
              </w:rPr>
              <w:t>Identity proof, unit test, code harness, complexity estimate</w:t>
            </w:r>
          </w:p>
        </w:tc>
        <w:tc>
          <w:tcPr>
            <w:tcW w:type="dxa" w:w="5040"/>
            <w:vAlign w:val="top"/>
            <w:tcMar>
              <w:top w:w="60" w:type="dxa"/>
              <w:start w:w="75" w:type="dxa"/>
              <w:bottom w:w="60" w:type="dxa"/>
              <w:end w:w="75" w:type="dxa"/>
            </w:tcMar>
          </w:tcPr>
          <w:p>
            <w:pPr>
              <w:spacing w:after="0" w:line="240" w:lineRule="auto"/>
            </w:pPr>
            <w:r/>
            <w:r>
              <w:rPr>
                <w:rFonts w:ascii="Aptos" w:hAnsi="Aptos"/>
                <w:b w:val="0"/>
                <w:color w:val="1F1F1F"/>
                <w:sz w:val="16"/>
              </w:rPr>
              <w:t>No MSE or deployment claim</w:t>
            </w:r>
          </w:p>
        </w:tc>
      </w:tr>
    </w:tbl>
    <w:p>
      <w:pPr>
        <w:spacing w:after="20"/>
      </w:pPr>
    </w:p>
    <w:p>
      <w:pPr>
        <w:pStyle w:val="Heading2"/>
      </w:pPr>
      <w:r>
        <w:t>Mandatory provenance fields</w:t>
      </w:r>
    </w:p>
    <w:p>
      <w:pPr>
        <w:pStyle w:val="ListBullet"/>
        <w:spacing w:after="40"/>
      </w:pPr>
      <w:r>
        <w:rPr>
          <w:rFonts w:ascii="Aptos" w:hAnsi="Aptos"/>
          <w:sz w:val="19"/>
        </w:rPr>
        <w:t>Execution environment: local full repository, exact code archive, architecture-matched sandbox, wrong-width sandbox, or official runner.</w:t>
      </w:r>
    </w:p>
    <w:p>
      <w:pPr>
        <w:pStyle w:val="ListBullet"/>
        <w:spacing w:after="40"/>
      </w:pPr>
      <w:r>
        <w:rPr>
          <w:rFonts w:ascii="Aptos" w:hAnsi="Aptos"/>
          <w:sz w:val="19"/>
        </w:rPr>
        <w:t>Network architecture and geometry: width, depth, exact Kerdock point count, basis count, support size, and whether the real seed-3 design was used.</w:t>
      </w:r>
    </w:p>
    <w:p>
      <w:pPr>
        <w:pStyle w:val="ListBullet"/>
        <w:spacing w:after="40"/>
      </w:pPr>
      <w:r>
        <w:rPr>
          <w:rFonts w:ascii="Aptos" w:hAnsi="Aptos"/>
          <w:sz w:val="19"/>
        </w:rPr>
        <w:t>Stage and sample scale: screen, frozen validation, holdout, training/calibration sizes, network IDs or seed manifest, and reference-target precision.</w:t>
      </w:r>
    </w:p>
    <w:p>
      <w:pPr>
        <w:pStyle w:val="ListBullet"/>
        <w:spacing w:after="40"/>
      </w:pPr>
      <w:r>
        <w:rPr>
          <w:rFonts w:ascii="Aptos" w:hAnsi="Aptos"/>
          <w:sz w:val="19"/>
        </w:rPr>
        <w:t>Estimator status: oracle, deployable-shaped, fully deployable, infrastructure-only, or projected.</w:t>
      </w:r>
    </w:p>
    <w:p>
      <w:pPr>
        <w:pStyle w:val="ListBullet"/>
        <w:spacing w:after="40"/>
      </w:pPr>
      <w:r>
        <w:rPr>
          <w:rFonts w:ascii="Aptos" w:hAnsi="Aptos"/>
          <w:sz w:val="19"/>
        </w:rPr>
        <w:t>Performance convention: candidate/base lower-is-better or baseline/candidate gain higher-is-better; raw MSE and adjusted score must be separated.</w:t>
      </w:r>
    </w:p>
    <w:p>
      <w:pPr>
        <w:pStyle w:val="ListBullet"/>
        <w:spacing w:after="40"/>
      </w:pPr>
      <w:r>
        <w:rPr>
          <w:rFonts w:ascii="Aptos" w:hAnsi="Aptos"/>
          <w:sz w:val="19"/>
        </w:rPr>
        <w:t>Risk: wins, worst network, confidence interval, reference-noise fraction, compute estimate versus measured cost, and protected-holdout use.</w:t>
      </w: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FCE4D6"/>
            <w:tcMar>
              <w:top w:w="120" w:type="dxa"/>
              <w:start w:w="140" w:type="dxa"/>
              <w:bottom w:w="120" w:type="dxa"/>
              <w:end w:w="140" w:type="dxa"/>
            </w:tcMar>
          </w:tcPr>
          <w:p>
            <w:pPr>
              <w:spacing w:after="0"/>
            </w:pPr>
            <w:r/>
            <w:r>
              <w:rPr>
                <w:rFonts w:ascii="Aptos" w:hAnsi="Aptos"/>
                <w:b/>
                <w:color w:val="17365D"/>
                <w:sz w:val="21"/>
              </w:rPr>
              <w:t>Governance correction: global IDs 0–199 are exposed. The V73 64-network block is valuable oracle-mechanism evidence, but it is not available as a fresh deployable-estimator holdout.</w:t>
            </w:r>
          </w:p>
        </w:tc>
      </w:tr>
    </w:tbl>
    <w:p>
      <w:pPr>
        <w:spacing w:after="20"/>
      </w:pPr>
    </w:p>
    <w:p>
      <w:r>
        <w:br w:type="page"/>
      </w:r>
    </w:p>
    <w:p>
      <w:pPr>
        <w:pStyle w:val="Heading1"/>
      </w:pPr>
      <w:r>
        <w:t>3. Canonical portfolio</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val="true"/>
        </w:trPr>
        <w:tc>
          <w:tcPr>
            <w:tcW w:type="dxa" w:w="1800"/>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Branch</w:t>
            </w:r>
          </w:p>
        </w:tc>
        <w:tc>
          <w:tcPr>
            <w:tcW w:type="dxa" w:w="1944"/>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Status</w:t>
            </w:r>
          </w:p>
        </w:tc>
        <w:tc>
          <w:tcPr>
            <w:tcW w:type="dxa" w:w="3168"/>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Best evidence</w:t>
            </w:r>
          </w:p>
        </w:tc>
        <w:tc>
          <w:tcPr>
            <w:tcW w:type="dxa" w:w="2880"/>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Scale / caveat</w:t>
            </w:r>
          </w:p>
        </w:tc>
        <w:tc>
          <w:tcPr>
            <w:tcW w:type="dxa" w:w="3024"/>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Next decision</w:t>
            </w:r>
          </w:p>
        </w:tc>
      </w:tr>
      <w:tr>
        <w:trPr>
          <w:cantSplit w:val="true"/>
        </w:trPr>
        <w:tc>
          <w:tcPr>
            <w:tcW w:type="dxa" w:w="1800"/>
            <w:vAlign w:val="top"/>
            <w:tcMar>
              <w:top w:w="60" w:type="dxa"/>
              <w:start w:w="75" w:type="dxa"/>
              <w:bottom w:w="60" w:type="dxa"/>
              <w:end w:w="75" w:type="dxa"/>
            </w:tcMar>
          </w:tcPr>
          <w:p>
            <w:pPr>
              <w:spacing w:after="0" w:line="240" w:lineRule="auto"/>
            </w:pPr>
            <w:r/>
            <w:r>
              <w:rPr>
                <w:rFonts w:ascii="Aptos" w:hAnsi="Aptos"/>
                <w:b w:val="0"/>
                <w:color w:val="1F1F1F"/>
                <w:sz w:val="14"/>
              </w:rPr>
              <w:t>Shipping compiler</w:t>
            </w:r>
          </w:p>
        </w:tc>
        <w:tc>
          <w:tcPr>
            <w:tcW w:type="dxa" w:w="1944"/>
            <w:vAlign w:val="top"/>
            <w:tcMar>
              <w:top w:w="60" w:type="dxa"/>
              <w:start w:w="75" w:type="dxa"/>
              <w:bottom w:w="60" w:type="dxa"/>
              <w:end w:w="75" w:type="dxa"/>
            </w:tcMar>
          </w:tcPr>
          <w:p>
            <w:pPr>
              <w:spacing w:after="0" w:line="240" w:lineRule="auto"/>
            </w:pPr>
            <w:r/>
            <w:r>
              <w:rPr>
                <w:rFonts w:ascii="Aptos" w:hAnsi="Aptos"/>
                <w:b w:val="0"/>
                <w:color w:val="1F1F1F"/>
                <w:sz w:val="14"/>
              </w:rPr>
              <w:t>Shipping pending measurement</w:t>
            </w:r>
          </w:p>
        </w:tc>
        <w:tc>
          <w:tcPr>
            <w:tcW w:type="dxa" w:w="3168"/>
            <w:vAlign w:val="top"/>
            <w:tcMar>
              <w:top w:w="60" w:type="dxa"/>
              <w:start w:w="75" w:type="dxa"/>
              <w:bottom w:w="60" w:type="dxa"/>
              <w:end w:w="75" w:type="dxa"/>
            </w:tcMar>
          </w:tcPr>
          <w:p>
            <w:pPr>
              <w:spacing w:after="0" w:line="240" w:lineRule="auto"/>
            </w:pPr>
            <w:r/>
            <w:r>
              <w:rPr>
                <w:rFonts w:ascii="Aptos" w:hAnsi="Aptos"/>
                <w:b w:val="0"/>
                <w:color w:val="1F1F1F"/>
                <w:sz w:val="14"/>
              </w:rPr>
              <w:t>Adaptive calibrated adjusted ratio 0.97865 on 60 fresh networks; fixed3 is simpler</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4"/>
              </w:rPr>
              <w:t>Final integrated current-package cost not measured; old absolute projection is stale</w:t>
            </w:r>
          </w:p>
        </w:tc>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Paired partial-tree baseline vs fixed3 vs adaptive</w:t>
            </w:r>
          </w:p>
        </w:tc>
      </w:tr>
      <w:tr>
        <w:trPr>
          <w:cantSplit w:val="true"/>
        </w:trPr>
        <w:tc>
          <w:tcPr>
            <w:tcW w:type="dxa" w:w="1800"/>
            <w:shd w:fill="F8FBFD"/>
            <w:vAlign w:val="top"/>
            <w:tcMar>
              <w:top w:w="60" w:type="dxa"/>
              <w:start w:w="75" w:type="dxa"/>
              <w:bottom w:w="60" w:type="dxa"/>
              <w:end w:w="75" w:type="dxa"/>
            </w:tcMar>
          </w:tcPr>
          <w:p>
            <w:pPr>
              <w:spacing w:after="0" w:line="240" w:lineRule="auto"/>
            </w:pPr>
            <w:r/>
            <w:r>
              <w:rPr>
                <w:rFonts w:ascii="Aptos" w:hAnsi="Aptos"/>
                <w:b w:val="0"/>
                <w:color w:val="1F1F1F"/>
                <w:sz w:val="14"/>
              </w:rPr>
              <w:t>Layer-31 correction</w:t>
            </w:r>
          </w:p>
        </w:tc>
        <w:tc>
          <w:tcPr>
            <w:tcW w:type="dxa" w:w="1944"/>
            <w:shd w:fill="F8FBFD"/>
            <w:vAlign w:val="top"/>
            <w:tcMar>
              <w:top w:w="60" w:type="dxa"/>
              <w:start w:w="75" w:type="dxa"/>
              <w:bottom w:w="60" w:type="dxa"/>
              <w:end w:w="75" w:type="dxa"/>
            </w:tcMar>
          </w:tcPr>
          <w:p>
            <w:r>
              <w:t>Oracle mechanism; tested coordinate-support lane closed</w:t>
            </w:r>
          </w:p>
        </w:tc>
        <w:tc>
          <w:tcPr>
            <w:tcW w:type="dxa" w:w="3168"/>
            <w:shd w:fill="F8FBFD"/>
            <w:vAlign w:val="top"/>
            <w:tcMar>
              <w:top w:w="60" w:type="dxa"/>
              <w:start w:w="75" w:type="dxa"/>
              <w:bottom w:w="60" w:type="dxa"/>
              <w:end w:w="75" w:type="dxa"/>
            </w:tcMar>
          </w:tcPr>
          <w:p>
            <w:r>
              <w:t>Full oracle candidate/base 0.2187, 64/64. K32 target-free selectors captured 53.21%/51.08% under rotation 3 but only 38.90%/36.50% under rotation 19.</w:t>
            </w:r>
          </w:p>
        </w:tc>
        <w:tc>
          <w:tcPr>
            <w:tcW w:type="dxa" w:w="2880"/>
            <w:shd w:fill="F8FBFD"/>
            <w:vAlign w:val="top"/>
            <w:tcMar>
              <w:top w:w="60" w:type="dxa"/>
              <w:start w:w="75" w:type="dxa"/>
              <w:bottom w:w="60" w:type="dxa"/>
              <w:end w:w="75" w:type="dxa"/>
            </w:tcMar>
          </w:tcPr>
          <w:p>
            <w:r>
              <w:t>Selector audit is synthetic width-256 N=8 with two high-reference rotations; coordinate overlap was high but benefit was not rotation-stable.</w:t>
            </w:r>
          </w:p>
        </w:tc>
        <w:tc>
          <w:tcPr>
            <w:tcW w:type="dxa" w:w="3024"/>
            <w:shd w:fill="F8FBFD"/>
            <w:vAlign w:val="top"/>
            <w:tcMar>
              <w:top w:w="60" w:type="dxa"/>
              <w:start w:w="75" w:type="dxa"/>
              <w:bottom w:w="60" w:type="dxa"/>
              <w:end w:w="75" w:type="dxa"/>
            </w:tcMar>
          </w:tcPr>
          <w:p>
            <w:r>
              <w:t>No more fixed-coordinate selector sweeps; use a rotation-aware subspace or direct-output target.</w:t>
            </w:r>
          </w:p>
        </w:tc>
      </w:tr>
      <w:tr>
        <w:trPr>
          <w:cantSplit w:val="true"/>
        </w:trPr>
        <w:tc>
          <w:tcPr>
            <w:tcW w:type="dxa" w:w="1800"/>
            <w:vAlign w:val="top"/>
            <w:tcMar>
              <w:top w:w="60" w:type="dxa"/>
              <w:start w:w="75" w:type="dxa"/>
              <w:bottom w:w="60" w:type="dxa"/>
              <w:end w:w="75" w:type="dxa"/>
            </w:tcMar>
          </w:tcPr>
          <w:p>
            <w:r>
              <w:t>Sparse cubic / direct-output Hermite</w:t>
            </w:r>
          </w:p>
        </w:tc>
        <w:tc>
          <w:tcPr>
            <w:tcW w:type="dxa" w:w="1944"/>
            <w:vAlign w:val="top"/>
            <w:tcMar>
              <w:top w:w="60" w:type="dxa"/>
              <w:start w:w="75" w:type="dxa"/>
              <w:bottom w:w="60" w:type="dxa"/>
              <w:end w:w="75" w:type="dxa"/>
            </w:tcMar>
          </w:tcPr>
          <w:p>
            <w:r>
              <w:t>Leading unvalidated oracle ceiling only</w:t>
            </w:r>
          </w:p>
        </w:tc>
        <w:tc>
          <w:tcPr>
            <w:tcW w:type="dxa" w:w="3168"/>
            <w:vAlign w:val="top"/>
            <w:tcMar>
              <w:top w:w="60" w:type="dxa"/>
              <w:start w:w="75" w:type="dxa"/>
              <w:bottom w:w="60" w:type="dxa"/>
              <w:end w:w="75" w:type="dxa"/>
            </w:tcMar>
          </w:tcPr>
          <w:p>
            <w:r>
              <w:t>Direct exact-anchor candidate/base 0.109 on N=8; oracle-state rank-4 c21 0.5993 on 16/16</w:t>
            </w:r>
          </w:p>
        </w:tc>
        <w:tc>
          <w:tcPr>
            <w:tcW w:type="dxa" w:w="2880"/>
            <w:vAlign w:val="top"/>
            <w:tcMar>
              <w:top w:w="60" w:type="dxa"/>
              <w:start w:w="75" w:type="dxa"/>
              <w:bottom w:w="60" w:type="dxa"/>
              <w:end w:w="75" w:type="dxa"/>
            </w:tcMar>
          </w:tcPr>
          <w:p>
            <w:r>
              <w:t>Direct sparse result lacks frozen fresh validation; layer-31 residual form and tested joint anchors are closed</w:t>
            </w:r>
          </w:p>
        </w:tc>
        <w:tc>
          <w:tcPr>
            <w:tcW w:type="dxa" w:w="3024"/>
            <w:vAlign w:val="top"/>
            <w:tcMar>
              <w:top w:w="60" w:type="dxa"/>
              <w:start w:w="75" w:type="dxa"/>
              <w:bottom w:w="60" w:type="dxa"/>
              <w:end w:w="75" w:type="dxa"/>
            </w:tcMar>
          </w:tcPr>
          <w:p>
            <w:r>
              <w:t>Recover/freeze exact construction and run a fresh &gt;=24-network oracle validation</w:t>
            </w:r>
          </w:p>
        </w:tc>
      </w:tr>
      <w:tr>
        <w:trPr>
          <w:cantSplit w:val="true"/>
        </w:trPr>
        <w:tc>
          <w:tcPr>
            <w:tcW w:type="dxa" w:w="1800"/>
            <w:shd w:fill="F8FBFD"/>
            <w:vAlign w:val="top"/>
            <w:tcMar>
              <w:top w:w="60" w:type="dxa"/>
              <w:start w:w="75" w:type="dxa"/>
              <w:bottom w:w="60" w:type="dxa"/>
              <w:end w:w="75" w:type="dxa"/>
            </w:tcMar>
          </w:tcPr>
          <w:p>
            <w:r>
              <w:t>Adjoint / joint scalar</w:t>
            </w:r>
          </w:p>
        </w:tc>
        <w:tc>
          <w:tcPr>
            <w:tcW w:type="dxa" w:w="1944"/>
            <w:shd w:fill="F8FBFD"/>
            <w:vAlign w:val="top"/>
            <w:tcMar>
              <w:top w:w="60" w:type="dxa"/>
              <w:start w:w="75" w:type="dxa"/>
              <w:bottom w:w="60" w:type="dxa"/>
              <w:end w:w="75" w:type="dxa"/>
            </w:tcMar>
          </w:tcPr>
          <w:p>
            <w:r>
              <w:t>Exact infrastructure; tested deployment forms closed</w:t>
            </w:r>
          </w:p>
        </w:tc>
        <w:tc>
          <w:tcPr>
            <w:tcW w:type="dxa" w:w="3168"/>
            <w:shd w:fill="F8FBFD"/>
            <w:vAlign w:val="top"/>
            <w:tcMar>
              <w:top w:w="60" w:type="dxa"/>
              <w:start w:w="75" w:type="dxa"/>
              <w:bottom w:w="60" w:type="dxa"/>
              <w:end w:w="75" w:type="dxa"/>
            </w:tcMar>
          </w:tcPr>
          <w:p>
            <w:r>
              <w:t>Exact anchor 0.225957; exact checkpoint + candidate sources 0.526440 at 6.744B; legal inherited 1.014314; legal full-depth 1.000775 at 10.310B</w:t>
            </w:r>
          </w:p>
        </w:tc>
        <w:tc>
          <w:tcPr>
            <w:tcW w:type="dxa" w:w="2880"/>
            <w:shd w:fill="F8FBFD"/>
            <w:vAlign w:val="top"/>
            <w:tcMar>
              <w:top w:w="60" w:type="dxa"/>
              <w:start w:w="75" w:type="dxa"/>
              <w:bottom w:w="60" w:type="dxa"/>
              <w:end w:w="75" w:type="dxa"/>
            </w:tcMar>
          </w:tcPr>
          <w:p>
            <w:r>
              <w:t>Compatibility reconstruction on exposed N=8; source/checkpoint cancellation is extremely sensitive</w:t>
            </w:r>
          </w:p>
        </w:tc>
        <w:tc>
          <w:tcPr>
            <w:tcW w:type="dxa" w:w="3024"/>
            <w:shd w:fill="F8FBFD"/>
            <w:vAlign w:val="top"/>
            <w:tcMar>
              <w:top w:w="60" w:type="dxa"/>
              <w:start w:w="75" w:type="dxa"/>
              <w:bottom w:w="60" w:type="dxa"/>
              <w:end w:w="75" w:type="dxa"/>
            </w:tcMar>
          </w:tcPr>
          <w:p>
            <w:r>
              <w:t>Archive the interface; reopen only with a fundamentally more accurate absolute checkpoint/source projecting &lt;=0.4568 below 14B</w:t>
            </w:r>
          </w:p>
        </w:tc>
      </w:tr>
      <w:tr>
        <w:trPr>
          <w:cantSplit w:val="true"/>
        </w:trPr>
        <w:tc>
          <w:tcPr>
            <w:tcW w:type="dxa" w:w="1800"/>
            <w:vAlign w:val="top"/>
            <w:tcMar>
              <w:top w:w="60" w:type="dxa"/>
              <w:start w:w="75" w:type="dxa"/>
              <w:bottom w:w="60" w:type="dxa"/>
              <w:end w:w="75" w:type="dxa"/>
            </w:tcMar>
          </w:tcPr>
          <w:p>
            <w:r>
              <w:t>Micro-cubature / ordinary source rollout</w:t>
            </w:r>
          </w:p>
        </w:tc>
        <w:tc>
          <w:tcPr>
            <w:tcW w:type="dxa" w:w="1944"/>
            <w:vAlign w:val="top"/>
            <w:tcMar>
              <w:top w:w="60" w:type="dxa"/>
              <w:start w:w="75" w:type="dxa"/>
              <w:bottom w:w="60" w:type="dxa"/>
              <w:end w:w="75" w:type="dxa"/>
            </w:tcMar>
          </w:tcPr>
          <w:p>
            <w:r>
              <w:t>Closed tested forms</w:t>
            </w:r>
          </w:p>
        </w:tc>
        <w:tc>
          <w:tcPr>
            <w:tcW w:type="dxa" w:w="3168"/>
            <w:vAlign w:val="top"/>
            <w:tcMar>
              <w:top w:w="60" w:type="dxa"/>
              <w:start w:w="75" w:type="dxa"/>
              <w:bottom w:w="60" w:type="dxa"/>
              <w:end w:w="75" w:type="dxa"/>
            </w:tcMar>
          </w:tcPr>
          <w:p>
            <w:r>
              <w:t>Source spans about 19 effective layers; short suffixes miss the signal and full-depth legal recurrence is neutral</w:t>
            </w:r>
          </w:p>
        </w:tc>
        <w:tc>
          <w:tcPr>
            <w:tcW w:type="dxa" w:w="2880"/>
            <w:vAlign w:val="top"/>
            <w:tcMar>
              <w:top w:w="60" w:type="dxa"/>
              <w:start w:w="75" w:type="dxa"/>
              <w:bottom w:w="60" w:type="dxa"/>
              <w:end w:w="75" w:type="dxa"/>
            </w:tcMar>
          </w:tcPr>
          <w:p>
            <w:r>
              <w:t>One-/four-basis anchors and fresh clouds are harmful or uneconomic</w:t>
            </w:r>
          </w:p>
        </w:tc>
        <w:tc>
          <w:tcPr>
            <w:tcW w:type="dxa" w:w="3024"/>
            <w:vAlign w:val="top"/>
            <w:tcMar>
              <w:top w:w="60" w:type="dxa"/>
              <w:start w:w="75" w:type="dxa"/>
              <w:bottom w:w="60" w:type="dxa"/>
              <w:end w:w="75" w:type="dxa"/>
            </w:tcMar>
          </w:tcPr>
          <w:p>
            <w:r>
              <w:t>No more ordinary fresh clouds or suffix rollouts</w:t>
            </w:r>
          </w:p>
        </w:tc>
      </w:tr>
      <w:tr>
        <w:trPr>
          <w:cantSplit w:val="true"/>
        </w:trPr>
        <w:tc>
          <w:tcPr>
            <w:tcW w:type="dxa" w:w="1800"/>
            <w:shd w:fill="F8FBFD"/>
            <w:vAlign w:val="top"/>
            <w:tcMar>
              <w:top w:w="60" w:type="dxa"/>
              <w:start w:w="75" w:type="dxa"/>
              <w:bottom w:w="60" w:type="dxa"/>
              <w:end w:w="75" w:type="dxa"/>
            </w:tcMar>
          </w:tcPr>
          <w:p>
            <w:r>
              <w:t>Shared-arithmetic phase</w:t>
            </w:r>
          </w:p>
        </w:tc>
        <w:tc>
          <w:tcPr>
            <w:tcW w:type="dxa" w:w="1944"/>
            <w:shd w:fill="F8FBFD"/>
            <w:vAlign w:val="top"/>
            <w:tcMar>
              <w:top w:w="60" w:type="dxa"/>
              <w:start w:w="75" w:type="dxa"/>
              <w:bottom w:w="60" w:type="dxa"/>
              <w:end w:w="75" w:type="dxa"/>
            </w:tcMar>
          </w:tcPr>
          <w:p>
            <w:r>
              <w:t>Marginal flux closed; non-marginal theory dormant</w:t>
            </w:r>
          </w:p>
        </w:tc>
        <w:tc>
          <w:tcPr>
            <w:tcW w:type="dxa" w:w="3168"/>
            <w:shd w:fill="F8FBFD"/>
            <w:vAlign w:val="top"/>
            <w:tcMar>
              <w:top w:w="60" w:type="dxa"/>
              <w:start w:w="75" w:type="dxa"/>
              <w:bottom w:w="60" w:type="dxa"/>
              <w:end w:w="75" w:type="dxa"/>
            </w:tcMar>
          </w:tcPr>
          <w:p>
            <w:r>
              <w:t>Frozen final-gate Stein flux: raw gain 1.002085x, adjusted gain 0.986599x, correlation 0.0586, 29/50 wins</w:t>
            </w:r>
          </w:p>
        </w:tc>
        <w:tc>
          <w:tcPr>
            <w:tcW w:type="dxa" w:w="2880"/>
            <w:shd w:fill="F8FBFD"/>
            <w:vAlign w:val="top"/>
            <w:tcMar>
              <w:top w:w="60" w:type="dxa"/>
              <w:start w:w="75" w:type="dxa"/>
              <w:bottom w:w="60" w:type="dxa"/>
              <w:end w:w="75" w:type="dxa"/>
            </w:tcMar>
          </w:tcPr>
          <w:p>
            <w:r>
              <w:t>No extra trajectories, but 1.5696% arithmetic increment; mainly suppressed harmful V80</w:t>
            </w:r>
          </w:p>
        </w:tc>
        <w:tc>
          <w:tcPr>
            <w:tcW w:type="dxa" w:w="3024"/>
            <w:shd w:fill="F8FBFD"/>
            <w:vAlign w:val="top"/>
            <w:tcMar>
              <w:top w:w="60" w:type="dxa"/>
              <w:start w:w="75" w:type="dxa"/>
              <w:bottom w:w="60" w:type="dxa"/>
              <w:end w:w="75" w:type="dxa"/>
            </w:tcMar>
          </w:tcPr>
          <w:p>
            <w:r>
              <w:t>No retuning. Reopen only for a prederived cross-output/adjoint statistic at &lt;=1% true incremental cost</w:t>
            </w:r>
          </w:p>
        </w:tc>
      </w:tr>
      <w:tr>
        <w:trPr>
          <w:cantSplit w:val="true"/>
        </w:trPr>
        <w:tc>
          <w:tcPr>
            <w:tcW w:type="dxa" w:w="1800"/>
            <w:vAlign w:val="top"/>
            <w:tcMar>
              <w:top w:w="60" w:type="dxa"/>
              <w:start w:w="75" w:type="dxa"/>
              <w:bottom w:w="60" w:type="dxa"/>
              <w:end w:w="75" w:type="dxa"/>
            </w:tcMar>
          </w:tcPr>
          <w:p>
            <w:pPr>
              <w:spacing w:after="0" w:line="240" w:lineRule="auto"/>
            </w:pPr>
            <w:r/>
            <w:r>
              <w:rPr>
                <w:rFonts w:ascii="Aptos" w:hAnsi="Aptos"/>
                <w:b w:val="0"/>
                <w:color w:val="1F1F1F"/>
                <w:sz w:val="14"/>
              </w:rPr>
              <w:t>Equivariant learning</w:t>
            </w:r>
          </w:p>
        </w:tc>
        <w:tc>
          <w:tcPr>
            <w:tcW w:type="dxa" w:w="1944"/>
            <w:vAlign w:val="top"/>
            <w:tcMar>
              <w:top w:w="60" w:type="dxa"/>
              <w:start w:w="75" w:type="dxa"/>
              <w:bottom w:w="60" w:type="dxa"/>
              <w:end w:w="75" w:type="dxa"/>
            </w:tcMar>
          </w:tcPr>
          <w:p>
            <w:pPr>
              <w:spacing w:after="0" w:line="240" w:lineRule="auto"/>
            </w:pPr>
            <w:r/>
            <w:r>
              <w:rPr>
                <w:rFonts w:ascii="Aptos" w:hAnsi="Aptos"/>
                <w:b w:val="0"/>
                <w:color w:val="1F1F1F"/>
                <w:sz w:val="14"/>
              </w:rPr>
              <w:t>Paused / one bounded width-256 test</w:t>
            </w:r>
          </w:p>
        </w:tc>
        <w:tc>
          <w:tcPr>
            <w:tcW w:type="dxa" w:w="3168"/>
            <w:vAlign w:val="top"/>
            <w:tcMar>
              <w:top w:w="60" w:type="dxa"/>
              <w:start w:w="75" w:type="dxa"/>
              <w:bottom w:w="60" w:type="dxa"/>
              <w:end w:w="75" w:type="dxa"/>
            </w:tcMar>
          </w:tcPr>
          <w:p>
            <w:pPr>
              <w:spacing w:after="0" w:line="240" w:lineRule="auto"/>
            </w:pPr>
            <w:r/>
            <w:r>
              <w:rPr>
                <w:rFonts w:ascii="Aptos" w:hAnsi="Aptos"/>
                <w:b w:val="0"/>
                <w:color w:val="1F1F1F"/>
                <w:sz w:val="14"/>
              </w:rPr>
              <w:t>Best reduced-width phase encoder gain 1.01142; replay break-even 1.03125</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4"/>
              </w:rPr>
              <w:t>Wrong width, tail 6.12; broad models narrowed, not universally closed</w:t>
            </w:r>
          </w:p>
        </w:tc>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Grouped width-256 edge-DWS after target freeze</w:t>
            </w:r>
          </w:p>
        </w:tc>
      </w:tr>
      <w:tr>
        <w:trPr>
          <w:cantSplit w:val="true"/>
        </w:trPr>
        <w:tc>
          <w:tcPr>
            <w:tcW w:type="dxa" w:w="1800"/>
            <w:shd w:fill="F8FBFD"/>
            <w:vAlign w:val="top"/>
            <w:tcMar>
              <w:top w:w="60" w:type="dxa"/>
              <w:start w:w="75" w:type="dxa"/>
              <w:bottom w:w="60" w:type="dxa"/>
              <w:end w:w="75" w:type="dxa"/>
            </w:tcMar>
          </w:tcPr>
          <w:p>
            <w:r>
              <w:t>Network-specific coreset</w:t>
            </w:r>
          </w:p>
        </w:tc>
        <w:tc>
          <w:tcPr>
            <w:tcW w:type="dxa" w:w="1944"/>
            <w:shd w:fill="F8FBFD"/>
            <w:vAlign w:val="top"/>
            <w:tcMar>
              <w:top w:w="60" w:type="dxa"/>
              <w:start w:w="75" w:type="dxa"/>
              <w:bottom w:w="60" w:type="dxa"/>
              <w:end w:w="75" w:type="dxa"/>
            </w:tcMar>
          </w:tcPr>
          <w:p>
            <w:r>
              <w:t>Active branch closed; set-level existence dormant</w:t>
            </w:r>
          </w:p>
        </w:tc>
        <w:tc>
          <w:tcPr>
            <w:tcW w:type="dxa" w:w="3168"/>
            <w:shd w:fill="F8FBFD"/>
            <w:vAlign w:val="top"/>
            <w:tcMar>
              <w:top w:w="60" w:type="dxa"/>
              <w:start w:w="75" w:type="dxa"/>
              <w:bottom w:w="60" w:type="dxa"/>
              <w:end w:w="75" w:type="dxa"/>
            </w:tcMar>
          </w:tcPr>
          <w:p>
            <w:r>
              <w:t>Oracle support 2.391e-9, but K2, per-row phase and pairwise edge representations all fail exact-geometry support gates</w:t>
            </w:r>
          </w:p>
        </w:tc>
        <w:tc>
          <w:tcPr>
            <w:tcW w:type="dxa" w:w="2880"/>
            <w:shd w:fill="F8FBFD"/>
            <w:vAlign w:val="top"/>
            <w:tcMar>
              <w:top w:w="60" w:type="dxa"/>
              <w:start w:w="75" w:type="dxa"/>
              <w:bottom w:w="60" w:type="dxa"/>
              <w:end w:w="75" w:type="dxa"/>
            </w:tcMar>
          </w:tcPr>
          <w:p>
            <w:r>
              <w:t>Synthetic exact geometry N=20+12+12; support recall remains near chance</w:t>
            </w:r>
          </w:p>
        </w:tc>
        <w:tc>
          <w:tcPr>
            <w:tcW w:type="dxa" w:w="3024"/>
            <w:shd w:fill="F8FBFD"/>
            <w:vAlign w:val="top"/>
            <w:tcMar>
              <w:top w:w="60" w:type="dxa"/>
              <w:start w:w="75" w:type="dxa"/>
              <w:bottom w:w="60" w:type="dxa"/>
              <w:end w:w="75" w:type="dxa"/>
            </w:tcMar>
          </w:tcPr>
          <w:p>
            <w:r>
              <w:t>No active work unless another branch yields a nearly free set-level scorer predicting whole-support oracle error</w:t>
            </w:r>
          </w:p>
        </w:tc>
      </w:tr>
      <w:tr>
        <w:trPr>
          <w:cantSplit w:val="true"/>
        </w:trPr>
        <w:tc>
          <w:tcPr>
            <w:tcW w:type="dxa" w:w="1800"/>
            <w:vAlign w:val="top"/>
            <w:tcMar>
              <w:top w:w="60" w:type="dxa"/>
              <w:start w:w="75" w:type="dxa"/>
              <w:bottom w:w="60" w:type="dxa"/>
              <w:end w:w="75" w:type="dxa"/>
            </w:tcMar>
          </w:tcPr>
          <w:p>
            <w:pPr>
              <w:spacing w:after="0" w:line="240" w:lineRule="auto"/>
            </w:pPr>
            <w:r/>
            <w:r>
              <w:rPr>
                <w:rFonts w:ascii="Aptos" w:hAnsi="Aptos"/>
                <w:b w:val="0"/>
                <w:color w:val="1F1F1F"/>
                <w:sz w:val="14"/>
              </w:rPr>
              <w:t>Activation-region / phase stats</w:t>
            </w:r>
          </w:p>
        </w:tc>
        <w:tc>
          <w:tcPr>
            <w:tcW w:type="dxa" w:w="1944"/>
            <w:vAlign w:val="top"/>
            <w:tcMar>
              <w:top w:w="60" w:type="dxa"/>
              <w:start w:w="75" w:type="dxa"/>
              <w:bottom w:w="60" w:type="dxa"/>
              <w:end w:w="75" w:type="dxa"/>
            </w:tcMar>
          </w:tcPr>
          <w:p>
            <w:pPr>
              <w:spacing w:after="0" w:line="240" w:lineRule="auto"/>
            </w:pPr>
            <w:r/>
            <w:r>
              <w:rPr>
                <w:rFonts w:ascii="Aptos" w:hAnsi="Aptos"/>
                <w:b w:val="0"/>
                <w:color w:val="1F1F1F"/>
                <w:sz w:val="14"/>
              </w:rPr>
              <w:t>Closed tested forms</w:t>
            </w:r>
          </w:p>
        </w:tc>
        <w:tc>
          <w:tcPr>
            <w:tcW w:type="dxa" w:w="3168"/>
            <w:vAlign w:val="top"/>
            <w:tcMar>
              <w:top w:w="60" w:type="dxa"/>
              <w:start w:w="75" w:type="dxa"/>
              <w:bottom w:w="60" w:type="dxa"/>
              <w:end w:w="75" w:type="dxa"/>
            </w:tcMar>
          </w:tcPr>
          <w:p>
            <w:pPr>
              <w:spacing w:after="0" w:line="240" w:lineRule="auto"/>
            </w:pPr>
            <w:r/>
            <w:r>
              <w:rPr>
                <w:rFonts w:ascii="Aptos" w:hAnsi="Aptos"/>
                <w:b w:val="0"/>
                <w:color w:val="1F1F1F"/>
                <w:sz w:val="14"/>
              </w:rPr>
              <w:t>Residual CV candidate/base 1.0112 on frozen 24; learned phase statistics ~1.000</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4"/>
              </w:rPr>
              <w:t>Sparse-coordinate oracle is retained</w:t>
            </w:r>
          </w:p>
        </w:tc>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No more orthant/gate tuning</w:t>
            </w:r>
          </w:p>
        </w:tc>
      </w:tr>
      <w:tr>
        <w:trPr>
          <w:cantSplit w:val="true"/>
        </w:trPr>
        <w:tc>
          <w:tcPr>
            <w:tcW w:type="dxa" w:w="1800"/>
            <w:shd w:fill="F8FBFD"/>
            <w:vAlign w:val="top"/>
            <w:tcMar>
              <w:top w:w="60" w:type="dxa"/>
              <w:start w:w="75" w:type="dxa"/>
              <w:bottom w:w="60" w:type="dxa"/>
              <w:end w:w="75" w:type="dxa"/>
            </w:tcMar>
          </w:tcPr>
          <w:p>
            <w:pPr>
              <w:spacing w:after="0" w:line="240" w:lineRule="auto"/>
            </w:pPr>
            <w:r/>
            <w:r>
              <w:rPr>
                <w:rFonts w:ascii="Aptos" w:hAnsi="Aptos"/>
                <w:b w:val="0"/>
                <w:color w:val="1F1F1F"/>
                <w:sz w:val="14"/>
              </w:rPr>
              <w:t>Stable-gate MLMC</w:t>
            </w:r>
          </w:p>
        </w:tc>
        <w:tc>
          <w:tcPr>
            <w:tcW w:type="dxa" w:w="1944"/>
            <w:shd w:fill="F8FBFD"/>
            <w:vAlign w:val="top"/>
            <w:tcMar>
              <w:top w:w="60" w:type="dxa"/>
              <w:start w:w="75" w:type="dxa"/>
              <w:bottom w:w="60" w:type="dxa"/>
              <w:end w:w="75" w:type="dxa"/>
            </w:tcMar>
          </w:tcPr>
          <w:p>
            <w:pPr>
              <w:spacing w:after="0" w:line="240" w:lineRule="auto"/>
            </w:pPr>
            <w:r/>
            <w:r>
              <w:rPr>
                <w:rFonts w:ascii="Aptos" w:hAnsi="Aptos"/>
                <w:b w:val="0"/>
                <w:color w:val="1F1F1F"/>
                <w:sz w:val="14"/>
              </w:rPr>
              <w:t>Closed statistically</w:t>
            </w:r>
          </w:p>
        </w:tc>
        <w:tc>
          <w:tcPr>
            <w:tcW w:type="dxa" w:w="3168"/>
            <w:shd w:fill="F8FBFD"/>
            <w:vAlign w:val="top"/>
            <w:tcMar>
              <w:top w:w="60" w:type="dxa"/>
              <w:start w:w="75" w:type="dxa"/>
              <w:bottom w:w="60" w:type="dxa"/>
              <w:end w:w="75" w:type="dxa"/>
            </w:tcMar>
          </w:tcPr>
          <w:p>
            <w:pPr>
              <w:spacing w:after="0" w:line="240" w:lineRule="auto"/>
            </w:pPr>
            <w:r/>
            <w:r>
              <w:rPr>
                <w:rFonts w:ascii="Aptos" w:hAnsi="Aptos"/>
                <w:b w:val="0"/>
                <w:color w:val="1F1F1F"/>
                <w:sz w:val="14"/>
              </w:rPr>
              <w:t>Candidate/base 1.2645 despite correlation 0.99944</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4"/>
              </w:rPr>
              <w:t>Partial allocation destroyed complete-design cancellation</w:t>
            </w:r>
          </w:p>
        </w:tc>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Compiler arithmetic only</w:t>
            </w:r>
          </w:p>
        </w:tc>
      </w:tr>
      <w:tr>
        <w:trPr>
          <w:cantSplit w:val="true"/>
        </w:trPr>
        <w:tc>
          <w:tcPr>
            <w:tcW w:type="dxa" w:w="1800"/>
            <w:vAlign w:val="top"/>
            <w:tcMar>
              <w:top w:w="60" w:type="dxa"/>
              <w:start w:w="75" w:type="dxa"/>
              <w:bottom w:w="60" w:type="dxa"/>
              <w:end w:w="75" w:type="dxa"/>
            </w:tcMar>
          </w:tcPr>
          <w:p>
            <w:pPr>
              <w:spacing w:after="0" w:line="240" w:lineRule="auto"/>
            </w:pPr>
            <w:r/>
            <w:r>
              <w:rPr>
                <w:rFonts w:ascii="Aptos" w:hAnsi="Aptos"/>
                <w:b w:val="0"/>
                <w:color w:val="1F1F1F"/>
                <w:sz w:val="14"/>
              </w:rPr>
              <w:t>Harmonic controls</w:t>
            </w:r>
          </w:p>
        </w:tc>
        <w:tc>
          <w:tcPr>
            <w:tcW w:type="dxa" w:w="1944"/>
            <w:vAlign w:val="top"/>
            <w:tcMar>
              <w:top w:w="60" w:type="dxa"/>
              <w:start w:w="75" w:type="dxa"/>
              <w:bottom w:w="60" w:type="dxa"/>
              <w:end w:w="75" w:type="dxa"/>
            </w:tcMar>
          </w:tcPr>
          <w:p>
            <w:pPr>
              <w:spacing w:after="0" w:line="240" w:lineRule="auto"/>
            </w:pPr>
            <w:r/>
            <w:r>
              <w:rPr>
                <w:rFonts w:ascii="Aptos" w:hAnsi="Aptos"/>
                <w:b w:val="0"/>
                <w:color w:val="1F1F1F"/>
                <w:sz w:val="14"/>
              </w:rPr>
              <w:t>Closed standalone</w:t>
            </w:r>
          </w:p>
        </w:tc>
        <w:tc>
          <w:tcPr>
            <w:tcW w:type="dxa" w:w="3168"/>
            <w:vAlign w:val="top"/>
            <w:tcMar>
              <w:top w:w="60" w:type="dxa"/>
              <w:start w:w="75" w:type="dxa"/>
              <w:bottom w:w="60" w:type="dxa"/>
              <w:end w:w="75" w:type="dxa"/>
            </w:tcMar>
          </w:tcPr>
          <w:p>
            <w:pPr>
              <w:spacing w:after="0" w:line="240" w:lineRule="auto"/>
            </w:pPr>
            <w:r/>
            <w:r>
              <w:rPr>
                <w:rFonts w:ascii="Aptos" w:hAnsi="Aptos"/>
                <w:b w:val="0"/>
                <w:color w:val="1F1F1F"/>
                <w:sz w:val="14"/>
              </w:rPr>
              <w:t>Broad frozen candidate/base 1.00444; q8 frozen 0.995, worst 1.471</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4"/>
              </w:rPr>
              <w:t>May remain an internal exact-zero-mean feature</w:t>
            </w:r>
          </w:p>
        </w:tc>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No standalone revival</w:t>
            </w:r>
          </w:p>
        </w:tc>
      </w:tr>
    </w:tbl>
    <w:p>
      <w:pPr>
        <w:spacing w:after="20"/>
      </w:pPr>
    </w:p>
    <w:p>
      <w:r>
        <w:br w:type="page"/>
      </w:r>
    </w:p>
    <w:p>
      <w:pPr>
        <w:pStyle w:val="Heading1"/>
      </w:pPr>
      <w:r>
        <w:t>4. Reconciliation audit: what was missing or misrecorded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cantSplit w:val="true"/>
        </w:trPr>
        <w:tc>
          <w:tcPr>
            <w:tcW w:type="dxa" w:w="1584"/>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Issue</w:t>
            </w:r>
          </w:p>
        </w:tc>
        <w:tc>
          <w:tcPr>
            <w:tcW w:type="dxa" w:w="2448"/>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Previous / ambiguous recording</w:t>
            </w:r>
          </w:p>
        </w:tc>
        <w:tc>
          <w:tcPr>
            <w:tcW w:type="dxa" w:w="3312"/>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Corrected evidence</w:t>
            </w:r>
          </w:p>
        </w:tc>
        <w:tc>
          <w:tcPr>
            <w:tcW w:type="dxa" w:w="1872"/>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Environment / scale</w:t>
            </w:r>
          </w:p>
        </w:tc>
        <w:tc>
          <w:tcPr>
            <w:tcW w:type="dxa" w:w="1296"/>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Confidence</w:t>
            </w:r>
          </w:p>
        </w:tc>
        <w:tc>
          <w:tcPr>
            <w:tcW w:type="dxa" w:w="2736"/>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Canonical correction</w:t>
            </w:r>
          </w:p>
        </w:tc>
        <w:tc>
          <w:tcPr>
            <w:tcW w:type="dxa" w:w="1872"/>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Source</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R1 Compiler absolute projection</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Adaptive compiler listed as ~1.442e-7 best near-term score.</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1.442e-7 was calibrated from older1.473e-7 assembly-free baseline; current partial-tree row0 is~1.12e-7 but not full-suite. Relative0.97865 remains valid evidence.</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Local N=60 plus row0 checkpoint</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Use relative ratio only; run integrated paired measurement.</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NONK3_CONTINUATION_REPORT; compendium</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R2 Quadratic control stale open</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Current State still called 4–7% exact quadratic best open non-K3 control.</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Fresh frozen N=12 reversed to candidate/base1.0188.</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Local full-width N=12</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Closed.</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Ledger A31 / current-state history</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R3 M85 tail omitted</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Shrunk worst network listed as not reported.</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70% blend worst candidate/base1.4277; unshrunk worst1.8312.</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Local frozen N=8</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Record tail; mechanism is real but unsafe.</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arc_code deep audit</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R4 Adjoint understated</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Recorded as analytic/sandbox proposal with 20B/&lt;10B estimate.</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Local q32 layer24 implementation has2.31% factorized error at~10.34B; q64 0.117% at13.34B. Still~31% from oracle.</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Local frozen160–167</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Mark implementation validated against factorized anchor; closure remains open.</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adjoint_k3_full_holdout8.json</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R5 Source failures omitted</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No canonical row for local closure/source insertion failures.</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Born/Gaussian~18% factorized/~38% oracle; checkpoint sample-only1.71/1.69; direct insertion catastrophic.</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Local archive, limited blocks</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Moderate-high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Add M96 and close exact tested sources.</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arc_code deep audit</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R6 Strong oracle c21 omitted</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Sparse/cubic narrative centered on N=8 0.190 claim.</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Rank4 oracle-state c21 has candidate/base0.5993 on16/16,worst0.9835.</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Local full-width N=16 oracle</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High mechanism</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Add as stronger replicated feature/control evidence.</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arc_code deep audit</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R7 Shared vs low-rank</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Canonical document said sparse center map was shared low-dimensional.</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Shared at most256D is exact; toy rank90=6 is synthetic, while width256 proxy span rank128. Real rank unknown.</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Analytic+toy/proxy</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 correction</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Replace 'low-dimensional' with 'shared, empirical rank unknown'.</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sparse center report; terminal test</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R8 Short-suffix optimism</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Adjoint/micro-cubature described short suffix5–10B as promising without negative localization evidence.</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Toy source localization retained~4.7% gain at depth2–4 and was harmful at6–16; full depth required.</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Synthetic unit test</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Moderate warning</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Real source attribution becomes prerequisite; do not assume locality.</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agent2_sparse_adjoint_results</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R9 Stable MLMC worst</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Evidence Registry attributed worst2.02 to stable-gate MLMC.</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2.02 belongs older V70 multilevel test; V77 report gives aggregate1.2645,median1.5077, no worst.</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Sandbox exact-design proxy</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Correct worst field to not reported.</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FULL_MULTILEVEL report</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R10 Partial-MUB nuance</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Recorded mainly as closed extra-trajectory pilot.</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N=8 16-basis result is uncertain/tail-unsafe, but64/128 bases make all networks improve; compute erases benefit. This proves sign is estimable with enough independent samples.</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Fresh sandbox N=8</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Moderate</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Close ordinary pilots but open shared-arithmetic companion information.</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FRESH_SCREEN / continuation</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R11 Activation experiments compressed</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Many distinct phase and pilot experiments were merged into one V75 row.</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Conditional CV, Walsh learning, invariant contractions, rotated pilots and internal pilots have distinct scales/results/reopening implications.</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N=8/24 and larger corpora</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Add ARCI-4 through ARCI-9 rows.</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Activation continuation</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R12 Equivariant experiments compressed</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Only one aggregate M92 row.</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Eight architectures/probes at widths32/64 show different tails; best1.01142 still below replay break-even. Three zero-target rows were repaired.</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Large reduced-width corpora</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Add M97–M103 and A38; preserve one bounded width256 test.</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Equivariant report</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R13 Sparse toy tolerance conflict</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Toy sparse center errors up to~1.7% did not hurt, which could be misread as relaxed tolerance.</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Real M83 breaks~0.45% and0.65% is harmful. Toy is algebra/unit test only.</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Toy vs real oracle tolerance</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Never use toy tolerance for ARC gates.</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sparse center report / M83</w:t>
            </w:r>
          </w:p>
        </w:tc>
      </w:tr>
      <w:tr>
        <w:trPr>
          <w:cantSplit w:val="true"/>
        </w:trPr>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3"/>
              </w:rPr>
              <w:t>R14 Coreset closure scope</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3"/>
              </w:rPr>
              <w:t>Sandbox agent recommended broad closure; user/local work not finished.</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K2 exact tested representation fails decisively, but oracle supports exist and protected holdouts were unopened.</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Exact geometry synthetic N=20</w:t>
            </w:r>
          </w:p>
        </w:tc>
        <w:tc>
          <w:tcPr>
            <w:tcW w:type="dxa" w:w="1296"/>
            <w:shd w:fill="F8FBFD"/>
            <w:vAlign w:val="top"/>
            <w:tcMar>
              <w:top w:w="60" w:type="dxa"/>
              <w:start w:w="75" w:type="dxa"/>
              <w:bottom w:w="60" w:type="dxa"/>
              <w:end w:w="75" w:type="dxa"/>
            </w:tcMar>
          </w:tcPr>
          <w:p>
            <w:pPr>
              <w:spacing w:after="0" w:line="240" w:lineRule="auto"/>
            </w:pPr>
            <w:r/>
            <w:r>
              <w:rPr>
                <w:rFonts w:ascii="Aptos" w:hAnsi="Aptos"/>
                <w:b w:val="0"/>
                <w:color w:val="1F1F1F"/>
                <w:sz w:val="13"/>
              </w:rPr>
              <w:t>High K2 / low broad class</w:t>
            </w:r>
          </w:p>
        </w:tc>
        <w:tc>
          <w:tcPr>
            <w:tcW w:type="dxa" w:w="2736"/>
            <w:shd w:fill="F8FBFD"/>
            <w:vAlign w:val="top"/>
            <w:tcMar>
              <w:top w:w="60" w:type="dxa"/>
              <w:start w:w="75" w:type="dxa"/>
              <w:bottom w:w="60" w:type="dxa"/>
              <w:end w:w="75" w:type="dxa"/>
            </w:tcMar>
          </w:tcPr>
          <w:p>
            <w:pPr>
              <w:spacing w:after="0" w:line="240" w:lineRule="auto"/>
            </w:pPr>
            <w:r/>
            <w:r>
              <w:rPr>
                <w:rFonts w:ascii="Aptos" w:hAnsi="Aptos"/>
                <w:b w:val="0"/>
                <w:color w:val="1F1F1F"/>
                <w:sz w:val="13"/>
              </w:rPr>
              <w:t>Close tested K2 only; broad class paused until qualitatively new proxy or matched local replication.</w:t>
            </w:r>
          </w:p>
        </w:tc>
        <w:tc>
          <w:tcPr>
            <w:tcW w:type="dxa" w:w="1872"/>
            <w:shd w:fill="F8FBFD"/>
            <w:vAlign w:val="top"/>
            <w:tcMar>
              <w:top w:w="60" w:type="dxa"/>
              <w:start w:w="75" w:type="dxa"/>
              <w:bottom w:w="60" w:type="dxa"/>
              <w:end w:w="75" w:type="dxa"/>
            </w:tcMar>
          </w:tcPr>
          <w:p>
            <w:pPr>
              <w:spacing w:after="0" w:line="240" w:lineRule="auto"/>
            </w:pPr>
            <w:r/>
            <w:r>
              <w:rPr>
                <w:rFonts w:ascii="Aptos" w:hAnsi="Aptos"/>
                <w:b w:val="0"/>
                <w:color w:val="1F1F1F"/>
                <w:sz w:val="13"/>
              </w:rPr>
              <w:t>Exact Kerdock coreset report</w:t>
            </w:r>
          </w:p>
        </w:tc>
      </w:tr>
      <w:tr>
        <w:trPr>
          <w:cantSplit w:val="true"/>
        </w:trPr>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3"/>
              </w:rPr>
              <w:t>R15 Archive completeness</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3"/>
              </w:rPr>
              <w:t>Code archive could be mistaken for canonical complete state.</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Archive omits official data, high-precision corpora, frozen sparse arrays and sibling continuations.</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655-file archive audit</w:t>
            </w:r>
          </w:p>
        </w:tc>
        <w:tc>
          <w:tcPr>
            <w:tcW w:type="dxa" w:w="1296"/>
            <w:vAlign w:val="top"/>
            <w:tcMar>
              <w:top w:w="60" w:type="dxa"/>
              <w:start w:w="75" w:type="dxa"/>
              <w:bottom w:w="60" w:type="dxa"/>
              <w:end w:w="75" w:type="dxa"/>
            </w:tcMar>
          </w:tcPr>
          <w:p>
            <w:pPr>
              <w:spacing w:after="0" w:line="240" w:lineRule="auto"/>
            </w:pPr>
            <w:r/>
            <w:r>
              <w:rPr>
                <w:rFonts w:ascii="Aptos" w:hAnsi="Aptos"/>
                <w:b w:val="0"/>
                <w:color w:val="1F1F1F"/>
                <w:sz w:val="13"/>
              </w:rPr>
              <w:t>High</w:t>
            </w:r>
          </w:p>
        </w:tc>
        <w:tc>
          <w:tcPr>
            <w:tcW w:type="dxa" w:w="2736"/>
            <w:vAlign w:val="top"/>
            <w:tcMar>
              <w:top w:w="60" w:type="dxa"/>
              <w:start w:w="75" w:type="dxa"/>
              <w:bottom w:w="60" w:type="dxa"/>
              <w:end w:w="75" w:type="dxa"/>
            </w:tcMar>
          </w:tcPr>
          <w:p>
            <w:pPr>
              <w:spacing w:after="0" w:line="240" w:lineRule="auto"/>
            </w:pPr>
            <w:r/>
            <w:r>
              <w:rPr>
                <w:rFonts w:ascii="Aptos" w:hAnsi="Aptos"/>
                <w:b w:val="0"/>
                <w:color w:val="1F1F1F"/>
                <w:sz w:val="13"/>
              </w:rPr>
              <w:t>Treat archive as code/result snapshot, not complete ledger.</w:t>
            </w:r>
          </w:p>
        </w:tc>
        <w:tc>
          <w:tcPr>
            <w:tcW w:type="dxa" w:w="1872"/>
            <w:vAlign w:val="top"/>
            <w:tcMar>
              <w:top w:w="60" w:type="dxa"/>
              <w:start w:w="75" w:type="dxa"/>
              <w:bottom w:w="60" w:type="dxa"/>
              <w:end w:w="75" w:type="dxa"/>
            </w:tcMar>
          </w:tcPr>
          <w:p>
            <w:pPr>
              <w:spacing w:after="0" w:line="240" w:lineRule="auto"/>
            </w:pPr>
            <w:r/>
            <w:r>
              <w:rPr>
                <w:rFonts w:ascii="Aptos" w:hAnsi="Aptos"/>
                <w:b w:val="0"/>
                <w:color w:val="1F1F1F"/>
                <w:sz w:val="13"/>
              </w:rPr>
              <w:t>arc_code deep audit</w:t>
            </w:r>
          </w:p>
        </w:tc>
      </w:tr>
      <w:tr>
        <w:tc>
          <w:tcPr>
            <w:tcW w:type="dxa" w:w="1461"/>
          </w:tcPr>
          <w:p>
            <w:r>
              <w:t>R21 Coordinate stability vs oracle capture</w:t>
            </w:r>
          </w:p>
        </w:tc>
        <w:tc>
          <w:tcPr>
            <w:tcW w:type="dxa" w:w="1461"/>
          </w:tcPr>
          <w:p>
            <w:r>
              <w:t>Target-free sparse support was treated as an immediate enabling step once selector overlap looked stable.</w:t>
            </w:r>
          </w:p>
        </w:tc>
        <w:tc>
          <w:tcPr>
            <w:tcW w:type="dxa" w:w="1461"/>
          </w:tcPr>
          <w:p>
            <w:r>
              <w:t>Nearly identical K32 supports captured 53.21%/51.08% under rotation 3 but only 38.90%/36.50% under rotation 19.</w:t>
            </w:r>
          </w:p>
        </w:tc>
        <w:tc>
          <w:tcPr>
            <w:tcW w:type="dxa" w:w="1461"/>
          </w:tcPr>
          <w:p>
            <w:r>
              <w:t>Sandbox width256 N=8; two complete-design rotations; 524,288-row references</w:t>
            </w:r>
          </w:p>
        </w:tc>
        <w:tc>
          <w:tcPr>
            <w:tcW w:type="dxa" w:w="1461"/>
          </w:tcPr>
          <w:p>
            <w:r>
              <w:t>Moderate-high for tested selectors</w:t>
            </w:r>
          </w:p>
        </w:tc>
        <w:tc>
          <w:tcPr>
            <w:tcW w:type="dxa" w:w="1461"/>
          </w:tcPr>
          <w:p>
            <w:r>
              <w:t>Close fixed-coordinate support; require a rotation-aware mode/subspace for any revival.</w:t>
            </w:r>
          </w:p>
        </w:tc>
        <w:tc>
          <w:tcPr>
            <w:tcW w:type="dxa" w:w="1461"/>
          </w:tcPr>
          <w:p>
            <w:r>
              <w:t>TARGET_FREE_LAYER31_SUPPORT_REPORT</w:t>
            </w:r>
          </w:p>
        </w:tc>
      </w:tr>
    </w:tbl>
    <w:p>
      <w:pPr>
        <w:spacing w:after="20"/>
      </w:pPr>
    </w:p>
    <w:p>
      <w:r>
        <w:br w:type="page"/>
      </w:r>
    </w:p>
    <w:p>
      <w:pPr>
        <w:pStyle w:val="Heading1"/>
      </w:pPr>
      <w:r>
        <w:t>5. Detailed findings by research family</w:t>
      </w:r>
    </w:p>
    <w:p>
      <w:pPr>
        <w:pStyle w:val="Heading2"/>
      </w:pPr>
      <w:r>
        <w:t>5.1 Shipping compiler and benchmark context</w:t>
      </w:r>
    </w:p>
    <w:p>
      <w:pPr>
        <w:pStyle w:val="ListBullet"/>
        <w:spacing w:after="40"/>
      </w:pPr>
      <w:r>
        <w:rPr>
          <w:rFonts w:ascii="Aptos" w:hAnsi="Aptos"/>
          <w:sz w:val="19"/>
        </w:rPr>
        <w:t>Adaptive depth 2–6: raw candidate/base 1.00170; calibrated adjusted ratio 0.97865 [0.97566, 0.98163]; 59/60 calibrated wins; worst 1.00222.</w:t>
      </w:r>
    </w:p>
    <w:p>
      <w:pPr>
        <w:pStyle w:val="ListBullet"/>
        <w:spacing w:after="40"/>
      </w:pPr>
      <w:r>
        <w:rPr>
          <w:rFonts w:ascii="Aptos" w:hAnsi="Aptos"/>
          <w:sz w:val="19"/>
        </w:rPr>
        <w:t>Fixed three-layer package: 2,064-row basis-balanced pilot, final three layers, rare-switch threshold 8, middle correction 0, final shrinkage 0.875, and a full-suffix fallback below 0.5% predicted savings.</w:t>
      </w:r>
    </w:p>
    <w:p>
      <w:pPr>
        <w:pStyle w:val="ListBullet"/>
        <w:spacing w:after="40"/>
      </w:pPr>
      <w:r>
        <w:rPr>
          <w:rFonts w:ascii="Aptos" w:hAnsi="Aptos"/>
          <w:sz w:val="19"/>
        </w:rPr>
        <w:t>The often-quoted ~1.442e-7 adaptive score was derived from the older 1.473e-7 assembly-free baseline. The current partial-tree row-0 projection is ~1.12e-7, but is not a paired full-suite score. The relative compiler ratio is the portable result.</w:t>
      </w: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E2F0D9"/>
            <w:tcMar>
              <w:top w:w="120" w:type="dxa"/>
              <w:start w:w="140" w:type="dxa"/>
              <w:bottom w:w="120" w:type="dxa"/>
              <w:end w:w="140" w:type="dxa"/>
            </w:tcMar>
          </w:tcPr>
          <w:p>
            <w:pPr>
              <w:spacing w:after="0"/>
            </w:pPr>
            <w:r/>
            <w:r>
              <w:rPr>
                <w:rFonts w:ascii="Aptos" w:hAnsi="Aptos"/>
                <w:b/>
                <w:color w:val="17365D"/>
                <w:sz w:val="21"/>
              </w:rPr>
              <w:t>Decision: measure before further research. Packing, symbolic composition, residual wall time, and fallback frequency can determine the winner.</w:t>
            </w:r>
          </w:p>
        </w:tc>
      </w:tr>
    </w:tbl>
    <w:p>
      <w:pPr>
        <w:spacing w:after="20"/>
      </w:pPr>
    </w:p>
    <w:p>
      <w:pPr>
        <w:pStyle w:val="Heading2"/>
      </w:pPr>
      <w:r>
        <w:t>5.2 Layer-31 sparsity and signed coefficient estimation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1728"/>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Coordinates</w:t>
            </w:r>
          </w:p>
        </w:tc>
        <w:tc>
          <w:tcPr>
            <w:tcW w:type="dxa" w:w="1728"/>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Raw gain</w:t>
            </w:r>
          </w:p>
        </w:tc>
        <w:tc>
          <w:tcPr>
            <w:tcW w:type="dxa" w:w="2592"/>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Oracle benefit captured</w:t>
            </w:r>
          </w:p>
        </w:tc>
        <w:tc>
          <w:tcPr>
            <w:tcW w:type="dxa" w:w="2448"/>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Worst candidate/base</w:t>
            </w:r>
          </w:p>
        </w:tc>
      </w:tr>
      <w:tr>
        <w:trPr>
          <w:cantSplit w:val="true"/>
        </w:trPr>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4</w:t>
            </w:r>
          </w:p>
        </w:tc>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1.2991x</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6"/>
              </w:rPr>
              <w:t>29.83%</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0.8693</w:t>
            </w:r>
          </w:p>
        </w:tc>
      </w:tr>
      <w:tr>
        <w:trPr>
          <w:cantSplit w:val="true"/>
        </w:trPr>
        <w:tc>
          <w:tcPr>
            <w:tcW w:type="dxa" w:w="1728"/>
            <w:shd w:fill="F8FBFD"/>
            <w:vAlign w:val="top"/>
            <w:tcMar>
              <w:top w:w="60" w:type="dxa"/>
              <w:start w:w="75" w:type="dxa"/>
              <w:bottom w:w="60" w:type="dxa"/>
              <w:end w:w="75" w:type="dxa"/>
            </w:tcMar>
          </w:tcPr>
          <w:p>
            <w:pPr>
              <w:spacing w:after="0" w:line="240" w:lineRule="auto"/>
            </w:pPr>
            <w:r/>
            <w:r>
              <w:rPr>
                <w:rFonts w:ascii="Aptos" w:hAnsi="Aptos"/>
                <w:b w:val="0"/>
                <w:color w:val="1F1F1F"/>
                <w:sz w:val="16"/>
              </w:rPr>
              <w:t>8</w:t>
            </w:r>
          </w:p>
        </w:tc>
        <w:tc>
          <w:tcPr>
            <w:tcW w:type="dxa" w:w="1728"/>
            <w:shd w:fill="F8FBFD"/>
            <w:vAlign w:val="top"/>
            <w:tcMar>
              <w:top w:w="60" w:type="dxa"/>
              <w:start w:w="75" w:type="dxa"/>
              <w:bottom w:w="60" w:type="dxa"/>
              <w:end w:w="75" w:type="dxa"/>
            </w:tcMar>
          </w:tcPr>
          <w:p>
            <w:pPr>
              <w:spacing w:after="0" w:line="240" w:lineRule="auto"/>
            </w:pPr>
            <w:r/>
            <w:r>
              <w:rPr>
                <w:rFonts w:ascii="Aptos" w:hAnsi="Aptos"/>
                <w:b w:val="0"/>
                <w:color w:val="1F1F1F"/>
                <w:sz w:val="16"/>
              </w:rPr>
              <w:t>1.5612x</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6"/>
              </w:rPr>
              <w:t>46.15%</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6"/>
              </w:rPr>
              <w:t>0.7371</w:t>
            </w:r>
          </w:p>
        </w:tc>
      </w:tr>
      <w:tr>
        <w:trPr>
          <w:cantSplit w:val="true"/>
        </w:trPr>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12</w:t>
            </w:r>
          </w:p>
        </w:tc>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1.7844x</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6"/>
              </w:rPr>
              <w:t>55.23%</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0.6607</w:t>
            </w:r>
          </w:p>
        </w:tc>
      </w:tr>
      <w:tr>
        <w:trPr>
          <w:cantSplit w:val="true"/>
        </w:trPr>
        <w:tc>
          <w:tcPr>
            <w:tcW w:type="dxa" w:w="1728"/>
            <w:shd w:fill="F8FBFD"/>
            <w:vAlign w:val="top"/>
            <w:tcMar>
              <w:top w:w="60" w:type="dxa"/>
              <w:start w:w="75" w:type="dxa"/>
              <w:bottom w:w="60" w:type="dxa"/>
              <w:end w:w="75" w:type="dxa"/>
            </w:tcMar>
          </w:tcPr>
          <w:p>
            <w:pPr>
              <w:spacing w:after="0" w:line="240" w:lineRule="auto"/>
            </w:pPr>
            <w:r/>
            <w:r>
              <w:rPr>
                <w:rFonts w:ascii="Aptos" w:hAnsi="Aptos"/>
                <w:b w:val="0"/>
                <w:color w:val="1F1F1F"/>
                <w:sz w:val="16"/>
              </w:rPr>
              <w:t>16</w:t>
            </w:r>
          </w:p>
        </w:tc>
        <w:tc>
          <w:tcPr>
            <w:tcW w:type="dxa" w:w="1728"/>
            <w:shd w:fill="F8FBFD"/>
            <w:vAlign w:val="top"/>
            <w:tcMar>
              <w:top w:w="60" w:type="dxa"/>
              <w:start w:w="75" w:type="dxa"/>
              <w:bottom w:w="60" w:type="dxa"/>
              <w:end w:w="75" w:type="dxa"/>
            </w:tcMar>
          </w:tcPr>
          <w:p>
            <w:pPr>
              <w:spacing w:after="0" w:line="240" w:lineRule="auto"/>
            </w:pPr>
            <w:r/>
            <w:r>
              <w:rPr>
                <w:rFonts w:ascii="Aptos" w:hAnsi="Aptos"/>
                <w:b w:val="0"/>
                <w:color w:val="1F1F1F"/>
                <w:sz w:val="16"/>
              </w:rPr>
              <w:t>2.0597x</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6"/>
              </w:rPr>
              <w:t>63.99%</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6"/>
              </w:rPr>
              <w:t>0.5870</w:t>
            </w:r>
          </w:p>
        </w:tc>
      </w:tr>
      <w:tr>
        <w:trPr>
          <w:cantSplit w:val="true"/>
        </w:trPr>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32</w:t>
            </w:r>
          </w:p>
        </w:tc>
        <w:tc>
          <w:tcPr>
            <w:tcW w:type="dxa" w:w="1728"/>
            <w:vAlign w:val="top"/>
            <w:tcMar>
              <w:top w:w="60" w:type="dxa"/>
              <w:start w:w="75" w:type="dxa"/>
              <w:bottom w:w="60" w:type="dxa"/>
              <w:end w:w="75" w:type="dxa"/>
            </w:tcMar>
          </w:tcPr>
          <w:p>
            <w:pPr>
              <w:spacing w:after="0" w:line="240" w:lineRule="auto"/>
            </w:pPr>
            <w:r/>
            <w:r>
              <w:rPr>
                <w:rFonts w:ascii="Aptos" w:hAnsi="Aptos"/>
                <w:b w:val="0"/>
                <w:color w:val="1F1F1F"/>
                <w:sz w:val="16"/>
              </w:rPr>
              <w:t>2.9565x</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6"/>
              </w:rPr>
              <w:t>81.39%</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0.4351</w:t>
            </w:r>
          </w:p>
        </w:tc>
      </w:tr>
    </w:tbl>
    <w:p>
      <w:pPr>
        <w:spacing w:after="20"/>
      </w:pPr>
    </w:p>
    <w:p>
      <w:pPr>
        <w:pStyle w:val="ListBullet"/>
        <w:spacing w:after="40"/>
      </w:pPr>
      <w:r>
        <w:t>A new target-free selector audit separated support discovery from signed amplitudes. Four weight/baseline-only selector families were frozen and graded with exact signed corrections on eight new width-256 networks under two complete-design rotations and high-precision independent references.</w:t>
      </w:r>
    </w:p>
    <w:p>
      <w:pPr>
        <w:pStyle w:val="ListBullet"/>
        <w:spacing w:after="40"/>
      </w:pPr>
      <w:r>
        <w:t>At K=32, Basis-PCA12 × downstream sensitivity captured 53.21% of the full oracle gap under rotation 3 but only 38.90% under rotation 19. Sparse-Hermite loading × sensitivity captured 51.08% and 36.50%. Both won 8/8 networks under both rotations, and the selected coordinate sets were stable (median overlaps 0.875 and 1.000), but neither met the preregistered requirement of at least 50% capture on every allowed rotation.</w:t>
      </w:r>
    </w:p>
    <w:p>
      <w:pPr>
        <w:pStyle w:val="ListBullet"/>
        <w:spacing w:after="40"/>
      </w:pPr>
      <w:r>
        <w:t>This closes the tested fixed-coordinate support program before amplitude estimation. The failure is not that the selectors choose random neurons; the same downstream-important coordinates carry materially different shares of the Kerdock defect under different rotations. Any future layer-31 estimator must use a rotation-aware subspace, basis-conditioned representation, or full-vector target rather than another scalar ranking of fixed coordinates.</w:t>
      </w:r>
    </w:p>
    <w:p>
      <w:pPr>
        <w:pStyle w:val="Heading2"/>
      </w:pPr>
      <w:r>
        <w:t>5.3 Sparse cubic controls and adjoint implementation</w:t>
      </w:r>
    </w:p>
    <w:p>
      <w:pPr>
        <w:pStyle w:val="ListBullet"/>
        <w:spacing w:after="40"/>
      </w:pPr>
      <w:r>
        <w:rPr>
          <w:rFonts w:ascii="Aptos" w:hAnsi="Aptos"/>
          <w:sz w:val="19"/>
        </w:rPr>
        <w:t>The exact sparse recentering identity is shared: all probe center errors can be written as Bδ + Q(δ²). This eliminates the idea of 128 independent mean anchors.</w:t>
      </w:r>
    </w:p>
    <w:p>
      <w:pPr>
        <w:pStyle w:val="ListBullet"/>
        <w:spacing w:after="40"/>
      </w:pPr>
      <w:r>
        <w:rPr>
          <w:rFonts w:ascii="Aptos" w:hAnsi="Aptos"/>
          <w:sz w:val="19"/>
        </w:rPr>
        <w:t>It does not prove a small target. The toy d=20 map had rank90=6, while a width-256 proxy terminal span had rank 128. The real frozen probe map must be measured.</w:t>
      </w:r>
    </w:p>
    <w:p>
      <w:pPr>
        <w:pStyle w:val="ListBullet"/>
        <w:spacing w:after="40"/>
      </w:pPr>
      <w:r>
        <w:rPr>
          <w:rFonts w:ascii="Aptos" w:hAnsi="Aptos"/>
          <w:sz w:val="19"/>
        </w:rPr>
        <w:t>The batched adjoint exactness tests pass to floating precision. Shared pullbacks are cheap; source generation and projection dominate.</w:t>
      </w:r>
    </w:p>
    <w:p>
      <w:pPr>
        <w:pStyle w:val="ListBullet"/>
        <w:spacing w:after="40"/>
      </w:pPr>
      <w:r>
        <w:t>The factorized checkpoint implementation is computationally efficient but solves an incomplete target. The complete recurrence test showed exact checkpoint + candidate sources at 0.526, while legal inherited and full-depth candidates were 1.014 and 1.001.</w:t>
      </w:r>
    </w:p>
    <w:p>
      <w:pPr>
        <w:pStyle w:val="ListBullet"/>
        <w:spacing w:after="40"/>
      </w:pPr>
      <w:r>
        <w:t>Source localization is now measured: last 8/16/24 transitions supply 23.55%/33.79%/82.49%, with about 19.22 effective layers. Short suffixes are not the deployment route, and full-depth candidate accuracy—not compute—is now the blocker.</w:t>
      </w: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D9EAF7"/>
            <w:tcMar>
              <w:top w:w="120" w:type="dxa"/>
              <w:start w:w="140" w:type="dxa"/>
              <w:bottom w:w="120" w:type="dxa"/>
              <w:end w:w="140" w:type="dxa"/>
            </w:tcMar>
          </w:tcPr>
          <w:p>
            <w:r>
              <w:t>Decision: archive the adjoint and joint-scalar interface as solved infrastructure. Both inherited-checkpoint and full-depth recurrence candidates have failed the legal composed-MSE gate. Validate the direct final-output sparse oracle separately; reopen the joint state only for a fundamentally more accurate absolute checkpoint/source, not another recurrence or suffix sweep.</w:t>
            </w:r>
          </w:p>
        </w:tc>
      </w:tr>
    </w:tbl>
    <w:p>
      <w:pPr>
        <w:spacing w:after="20"/>
      </w:pPr>
    </w:p>
    <w:p>
      <w:pPr>
        <w:pStyle w:val="Heading2"/>
      </w:pPr>
      <w:r>
        <w:t>5.4 Coresets and particle compression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3312"/>
            <w:shd w:fill="7030A0"/>
            <w:vAlign w:val="top"/>
            <w:tcMar>
              <w:top w:w="60" w:type="dxa"/>
              <w:start w:w="75" w:type="dxa"/>
              <w:bottom w:w="60" w:type="dxa"/>
              <w:end w:w="75" w:type="dxa"/>
            </w:tcMar>
          </w:tcPr>
          <w:p>
            <w:pPr>
              <w:spacing w:after="0" w:line="240" w:lineRule="auto"/>
              <w:jc w:val="center"/>
            </w:pPr>
            <w:r/>
            <w:r>
              <w:rPr>
                <w:rFonts w:ascii="Aptos" w:hAnsi="Aptos"/>
                <w:b/>
                <w:color w:val="FFFFFF"/>
                <w:sz w:val="16"/>
              </w:rPr>
              <w:t>Arm</w:t>
            </w:r>
          </w:p>
        </w:tc>
        <w:tc>
          <w:tcPr>
            <w:tcW w:type="dxa" w:w="2160"/>
            <w:shd w:fill="7030A0"/>
            <w:vAlign w:val="top"/>
            <w:tcMar>
              <w:top w:w="60" w:type="dxa"/>
              <w:start w:w="75" w:type="dxa"/>
              <w:bottom w:w="60" w:type="dxa"/>
              <w:end w:w="75" w:type="dxa"/>
            </w:tcMar>
          </w:tcPr>
          <w:p>
            <w:pPr>
              <w:spacing w:after="0" w:line="240" w:lineRule="auto"/>
              <w:jc w:val="center"/>
            </w:pPr>
            <w:r/>
            <w:r>
              <w:rPr>
                <w:rFonts w:ascii="Aptos" w:hAnsi="Aptos"/>
                <w:b/>
                <w:color w:val="FFFFFF"/>
                <w:sz w:val="16"/>
              </w:rPr>
              <w:t>Mean added MSE</w:t>
            </w:r>
          </w:p>
        </w:tc>
        <w:tc>
          <w:tcPr>
            <w:tcW w:type="dxa" w:w="2160"/>
            <w:shd w:fill="7030A0"/>
            <w:vAlign w:val="top"/>
            <w:tcMar>
              <w:top w:w="60" w:type="dxa"/>
              <w:start w:w="75" w:type="dxa"/>
              <w:bottom w:w="60" w:type="dxa"/>
              <w:end w:w="75" w:type="dxa"/>
            </w:tcMar>
          </w:tcPr>
          <w:p>
            <w:pPr>
              <w:spacing w:after="0" w:line="240" w:lineRule="auto"/>
              <w:jc w:val="center"/>
            </w:pPr>
            <w:r/>
            <w:r>
              <w:rPr>
                <w:rFonts w:ascii="Aptos" w:hAnsi="Aptos"/>
                <w:b/>
                <w:color w:val="FFFFFF"/>
                <w:sz w:val="16"/>
              </w:rPr>
              <w:t>Worst</w:t>
            </w:r>
          </w:p>
        </w:tc>
        <w:tc>
          <w:tcPr>
            <w:tcW w:type="dxa" w:w="2448"/>
            <w:shd w:fill="7030A0"/>
            <w:vAlign w:val="top"/>
            <w:tcMar>
              <w:top w:w="60" w:type="dxa"/>
              <w:start w:w="75" w:type="dxa"/>
              <w:bottom w:w="60" w:type="dxa"/>
              <w:end w:w="75" w:type="dxa"/>
            </w:tcMar>
          </w:tcPr>
          <w:p>
            <w:pPr>
              <w:spacing w:after="0" w:line="240" w:lineRule="auto"/>
              <w:jc w:val="center"/>
            </w:pPr>
            <w:r/>
            <w:r>
              <w:rPr>
                <w:rFonts w:ascii="Aptos" w:hAnsi="Aptos"/>
                <w:b/>
                <w:color w:val="FFFFFF"/>
                <w:sz w:val="16"/>
              </w:rPr>
              <w:t>Networks &lt;= 2.2e-8</w:t>
            </w:r>
          </w:p>
        </w:tc>
      </w:tr>
      <w:tr>
        <w:trPr>
          <w:cantSplit w:val="true"/>
        </w:trPr>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6"/>
              </w:rPr>
              <w:t>Random + anchor weights</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2.069e-7</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4.673e-7</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0/20</w:t>
            </w:r>
          </w:p>
        </w:tc>
      </w:tr>
      <w:tr>
        <w:trPr>
          <w:cantSplit w:val="true"/>
        </w:trPr>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6"/>
              </w:rPr>
              <w:t>Anchor-kernel coreset</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6"/>
              </w:rPr>
              <w:t>1.341e-7</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6"/>
              </w:rPr>
              <w:t>2.781e-7</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6"/>
              </w:rPr>
              <w:t>0/20</w:t>
            </w:r>
          </w:p>
        </w:tc>
      </w:tr>
      <w:tr>
        <w:trPr>
          <w:cantSplit w:val="true"/>
        </w:trPr>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6"/>
              </w:rPr>
              <w:t>Deployable suffix K2</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1.282e-7</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2.797e-7</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0/20</w:t>
            </w:r>
          </w:p>
        </w:tc>
      </w:tr>
      <w:tr>
        <w:trPr>
          <w:cantSplit w:val="true"/>
        </w:trPr>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6"/>
              </w:rPr>
              <w:t>K2 support + oracle weights</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6"/>
              </w:rPr>
              <w:t>2.941e-8</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6"/>
              </w:rPr>
              <w:t>1.646e-7</w:t>
            </w:r>
          </w:p>
        </w:tc>
        <w:tc>
          <w:tcPr>
            <w:tcW w:type="dxa" w:w="2448"/>
            <w:shd w:fill="F8FBFD"/>
            <w:vAlign w:val="top"/>
            <w:tcMar>
              <w:top w:w="60" w:type="dxa"/>
              <w:start w:w="75" w:type="dxa"/>
              <w:bottom w:w="60" w:type="dxa"/>
              <w:end w:w="75" w:type="dxa"/>
            </w:tcMar>
          </w:tcPr>
          <w:p>
            <w:pPr>
              <w:spacing w:after="0" w:line="240" w:lineRule="auto"/>
            </w:pPr>
            <w:r/>
            <w:r>
              <w:rPr>
                <w:rFonts w:ascii="Aptos" w:hAnsi="Aptos"/>
                <w:b w:val="0"/>
                <w:color w:val="1F1F1F"/>
                <w:sz w:val="16"/>
              </w:rPr>
              <w:t>16/20</w:t>
            </w:r>
          </w:p>
        </w:tc>
      </w:tr>
      <w:tr>
        <w:trPr>
          <w:cantSplit w:val="true"/>
        </w:trPr>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6"/>
              </w:rPr>
              <w:t>Oracle support + oracle weights</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2.391e-9</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6"/>
              </w:rPr>
              <w:t>1.496e-8</w:t>
            </w:r>
          </w:p>
        </w:tc>
        <w:tc>
          <w:tcPr>
            <w:tcW w:type="dxa" w:w="2448"/>
            <w:vAlign w:val="top"/>
            <w:tcMar>
              <w:top w:w="60" w:type="dxa"/>
              <w:start w:w="75" w:type="dxa"/>
              <w:bottom w:w="60" w:type="dxa"/>
              <w:end w:w="75" w:type="dxa"/>
            </w:tcMar>
          </w:tcPr>
          <w:p>
            <w:pPr>
              <w:spacing w:after="0" w:line="240" w:lineRule="auto"/>
            </w:pPr>
            <w:r/>
            <w:r>
              <w:rPr>
                <w:rFonts w:ascii="Aptos" w:hAnsi="Aptos"/>
                <w:b w:val="0"/>
                <w:color w:val="1F1F1F"/>
                <w:sz w:val="16"/>
              </w:rPr>
              <w:t>20/20</w:t>
            </w:r>
          </w:p>
        </w:tc>
      </w:tr>
    </w:tbl>
    <w:p>
      <w:pPr>
        <w:spacing w:after="20"/>
      </w:pPr>
    </w:p>
    <w:p>
      <w:pPr>
        <w:pStyle w:val="ListBullet"/>
        <w:spacing w:after="40"/>
      </w:pPr>
      <w:r>
        <w:t>K2, nonlinear per-row phase scores, and signed pairwise cancellation-edge scores all fail exact-geometry support gates. Oracle support proves compression exists, but independent row and edge summaries do not encode whole-set span and conditioning.</w:t>
      </w:r>
    </w:p>
    <w:p>
      <w:pPr>
        <w:pStyle w:val="ListBullet"/>
        <w:spacing w:after="40"/>
      </w:pPr>
      <w:r>
        <w:t>The only reopening test is a nearly free set-level scorer that directly predicts same-support oracle-weight error. It must pass the oracle-support gate before any coreset optimizer is run.</w:t>
      </w:r>
    </w:p>
    <w:p>
      <w:pPr>
        <w:pStyle w:val="ListBullet"/>
        <w:spacing w:after="40"/>
      </w:pPr>
      <w:r>
        <w:t>The evidence is synthetic exact geometry (K2 N=20, row score N=12, pairwise edge N=12), so mathematical existence is not closed; active coreset research is nevertheless dormant.</w:t>
      </w:r>
    </w:p>
    <w:p>
      <w:pPr>
        <w:pStyle w:val="Heading2"/>
      </w:pPr>
      <w:r>
        <w:t>5.5 Activation regions, phase statistics, and companion designs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240"/>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Experiment</w:t>
            </w:r>
          </w:p>
        </w:tc>
        <w:tc>
          <w:tcPr>
            <w:tcW w:type="dxa" w:w="3240"/>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Frozen result</w:t>
            </w:r>
          </w:p>
        </w:tc>
        <w:tc>
          <w:tcPr>
            <w:tcW w:type="dxa" w:w="4464"/>
            <w:shd w:fill="C65911"/>
            <w:vAlign w:val="top"/>
            <w:tcMar>
              <w:top w:w="60" w:type="dxa"/>
              <w:start w:w="75" w:type="dxa"/>
              <w:bottom w:w="60" w:type="dxa"/>
              <w:end w:w="75" w:type="dxa"/>
            </w:tcMar>
          </w:tcPr>
          <w:p>
            <w:pPr>
              <w:spacing w:after="0" w:line="240" w:lineRule="auto"/>
              <w:jc w:val="center"/>
            </w:pPr>
            <w:r/>
            <w:r>
              <w:rPr>
                <w:rFonts w:ascii="Aptos" w:hAnsi="Aptos"/>
                <w:b/>
                <w:color w:val="FFFFFF"/>
                <w:sz w:val="16"/>
              </w:rPr>
              <w:t>Conclusion</w:t>
            </w:r>
          </w:p>
        </w:tc>
      </w:tr>
      <w:tr>
        <w:trPr>
          <w:cantSplit w:val="true"/>
        </w:trPr>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Conditional-region residual CV</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Gain 0.9889; 8/24; worst candidate/base 1.195</w:t>
            </w:r>
          </w:p>
        </w:tc>
        <w:tc>
          <w:tcPr>
            <w:tcW w:type="dxa" w:w="4464"/>
            <w:vAlign w:val="top"/>
            <w:tcMar>
              <w:top w:w="60" w:type="dxa"/>
              <w:start w:w="75" w:type="dxa"/>
              <w:bottom w:w="60" w:type="dxa"/>
              <w:end w:w="75" w:type="dxa"/>
            </w:tcMar>
          </w:tcPr>
          <w:p>
            <w:pPr>
              <w:spacing w:after="0" w:line="240" w:lineRule="auto"/>
            </w:pPr>
            <w:r/>
            <w:r>
              <w:rPr>
                <w:rFonts w:ascii="Aptos" w:hAnsi="Aptos"/>
                <w:b w:val="0"/>
                <w:color w:val="1F1F1F"/>
                <w:sz w:val="15"/>
              </w:rPr>
              <w:t>Predicted correction is essentially orthogonal to true Kerdock defect</w:t>
            </w:r>
          </w:p>
        </w:tc>
      </w:tr>
      <w:tr>
        <w:trPr>
          <w:cantSplit w:val="true"/>
        </w:trPr>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Walsh/basis learning</w:t>
            </w:r>
          </w:p>
        </w:tc>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Best of 96 models 1.00056 optimistic</w:t>
            </w:r>
          </w:p>
        </w:tc>
        <w:tc>
          <w:tcPr>
            <w:tcW w:type="dxa" w:w="4464"/>
            <w:shd w:fill="F8FBFD"/>
            <w:vAlign w:val="top"/>
            <w:tcMar>
              <w:top w:w="60" w:type="dxa"/>
              <w:start w:w="75" w:type="dxa"/>
              <w:bottom w:w="60" w:type="dxa"/>
              <w:end w:w="75" w:type="dxa"/>
            </w:tcMar>
          </w:tcPr>
          <w:p>
            <w:pPr>
              <w:spacing w:after="0" w:line="240" w:lineRule="auto"/>
            </w:pPr>
            <w:r/>
            <w:r>
              <w:rPr>
                <w:rFonts w:ascii="Aptos" w:hAnsi="Aptos"/>
                <w:b w:val="0"/>
                <w:color w:val="1F1F1F"/>
                <w:sz w:val="15"/>
              </w:rPr>
              <w:t>Earlier ~4% point estimate was small-sample instability</w:t>
            </w:r>
          </w:p>
        </w:tc>
      </w:tr>
      <w:tr>
        <w:trPr>
          <w:cantSplit w:val="true"/>
        </w:trPr>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Invariant phase statistics</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Best 1.00092; worst 1.0266</w:t>
            </w:r>
          </w:p>
        </w:tc>
        <w:tc>
          <w:tcPr>
            <w:tcW w:type="dxa" w:w="4464"/>
            <w:vAlign w:val="top"/>
            <w:tcMar>
              <w:top w:w="60" w:type="dxa"/>
              <w:start w:w="75" w:type="dxa"/>
              <w:bottom w:w="60" w:type="dxa"/>
              <w:end w:w="75" w:type="dxa"/>
            </w:tcMar>
          </w:tcPr>
          <w:p>
            <w:pPr>
              <w:spacing w:after="0" w:line="240" w:lineRule="auto"/>
            </w:pPr>
            <w:r/>
            <w:r>
              <w:rPr>
                <w:rFonts w:ascii="Aptos" w:hAnsi="Aptos"/>
                <w:b w:val="0"/>
                <w:color w:val="1F1F1F"/>
                <w:sz w:val="15"/>
              </w:rPr>
              <w:t>No useful cubic/quintic/PCA-skew statistic in tested family</w:t>
            </w:r>
          </w:p>
        </w:tc>
      </w:tr>
      <w:tr>
        <w:trPr>
          <w:cantSplit w:val="true"/>
        </w:trPr>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Independent 1,032-point pilot</w:t>
            </w:r>
          </w:p>
        </w:tc>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Gain 0.9296; one network +81.1% MSE</w:t>
            </w:r>
          </w:p>
        </w:tc>
        <w:tc>
          <w:tcPr>
            <w:tcW w:type="dxa" w:w="4464"/>
            <w:shd w:fill="F8FBFD"/>
            <w:vAlign w:val="top"/>
            <w:tcMar>
              <w:top w:w="60" w:type="dxa"/>
              <w:start w:w="75" w:type="dxa"/>
              <w:bottom w:w="60" w:type="dxa"/>
              <w:end w:w="75" w:type="dxa"/>
            </w:tcMar>
          </w:tcPr>
          <w:p>
            <w:pPr>
              <w:spacing w:after="0" w:line="240" w:lineRule="auto"/>
            </w:pPr>
            <w:r/>
            <w:r>
              <w:rPr>
                <w:rFonts w:ascii="Aptos" w:hAnsi="Aptos"/>
                <w:b w:val="0"/>
                <w:color w:val="1F1F1F"/>
                <w:sz w:val="15"/>
              </w:rPr>
              <w:t>Unstable</w:t>
            </w:r>
          </w:p>
        </w:tc>
      </w:tr>
      <w:tr>
        <w:trPr>
          <w:cantSplit w:val="true"/>
        </w:trPr>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Independent 2,064-point pilot</w:t>
            </w:r>
          </w:p>
        </w:tc>
        <w:tc>
          <w:tcPr>
            <w:tcW w:type="dxa" w:w="3240"/>
            <w:vAlign w:val="top"/>
            <w:tcMar>
              <w:top w:w="60" w:type="dxa"/>
              <w:start w:w="75" w:type="dxa"/>
              <w:bottom w:w="60" w:type="dxa"/>
              <w:end w:w="75" w:type="dxa"/>
            </w:tcMar>
          </w:tcPr>
          <w:p>
            <w:pPr>
              <w:spacing w:after="0" w:line="240" w:lineRule="auto"/>
            </w:pPr>
            <w:r/>
            <w:r>
              <w:rPr>
                <w:rFonts w:ascii="Aptos" w:hAnsi="Aptos"/>
                <w:b w:val="0"/>
                <w:color w:val="1F1F1F"/>
                <w:sz w:val="15"/>
              </w:rPr>
              <w:t>Raw gain 1.0394; optimistic adjusted ~0.9912</w:t>
            </w:r>
          </w:p>
        </w:tc>
        <w:tc>
          <w:tcPr>
            <w:tcW w:type="dxa" w:w="4464"/>
            <w:vAlign w:val="top"/>
            <w:tcMar>
              <w:top w:w="60" w:type="dxa"/>
              <w:start w:w="75" w:type="dxa"/>
              <w:bottom w:w="60" w:type="dxa"/>
              <w:end w:w="75" w:type="dxa"/>
            </w:tcMar>
          </w:tcPr>
          <w:p>
            <w:pPr>
              <w:spacing w:after="0" w:line="240" w:lineRule="auto"/>
            </w:pPr>
            <w:r/>
            <w:r>
              <w:rPr>
                <w:rFonts w:ascii="Aptos" w:hAnsi="Aptos"/>
                <w:b w:val="0"/>
                <w:color w:val="1F1F1F"/>
                <w:sz w:val="15"/>
              </w:rPr>
              <w:t>Less than 1% headroom; no decisive interval</w:t>
            </w:r>
          </w:p>
        </w:tc>
      </w:tr>
      <w:tr>
        <w:trPr>
          <w:cantSplit w:val="true"/>
        </w:trPr>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Internal 516-row pilot</w:t>
            </w:r>
          </w:p>
        </w:tc>
        <w:tc>
          <w:tcPr>
            <w:tcW w:type="dxa" w:w="3240"/>
            <w:shd w:fill="F8FBFD"/>
            <w:vAlign w:val="top"/>
            <w:tcMar>
              <w:top w:w="60" w:type="dxa"/>
              <w:start w:w="75" w:type="dxa"/>
              <w:bottom w:w="60" w:type="dxa"/>
              <w:end w:w="75" w:type="dxa"/>
            </w:tcMar>
          </w:tcPr>
          <w:p>
            <w:pPr>
              <w:spacing w:after="0" w:line="240" w:lineRule="auto"/>
            </w:pPr>
            <w:r/>
            <w:r>
              <w:rPr>
                <w:rFonts w:ascii="Aptos" w:hAnsi="Aptos"/>
                <w:b w:val="0"/>
                <w:color w:val="1F1F1F"/>
                <w:sz w:val="15"/>
              </w:rPr>
              <w:t>Gain 0.9651; 7/24</w:t>
            </w:r>
          </w:p>
        </w:tc>
        <w:tc>
          <w:tcPr>
            <w:tcW w:type="dxa" w:w="4464"/>
            <w:shd w:fill="F8FBFD"/>
            <w:vAlign w:val="top"/>
            <w:tcMar>
              <w:top w:w="60" w:type="dxa"/>
              <w:start w:w="75" w:type="dxa"/>
              <w:bottom w:w="60" w:type="dxa"/>
              <w:end w:w="75" w:type="dxa"/>
            </w:tcMar>
          </w:tcPr>
          <w:p>
            <w:pPr>
              <w:spacing w:after="0" w:line="240" w:lineRule="auto"/>
            </w:pPr>
            <w:r/>
            <w:r>
              <w:rPr>
                <w:rFonts w:ascii="Aptos" w:hAnsi="Aptos"/>
                <w:b w:val="0"/>
                <w:color w:val="1F1F1F"/>
                <w:sz w:val="15"/>
              </w:rPr>
              <w:t>Same-cloud disagreement is not a phase estimate</w:t>
            </w:r>
          </w:p>
        </w:tc>
      </w:tr>
    </w:tbl>
    <w:p>
      <w:pPr>
        <w:spacing w:after="20"/>
      </w:pPr>
    </w:p>
    <w:tbl>
      <w:tblPr>
        <w:tblStyle w:val="TableGrid"/>
        <w:tblW w:type="auto" w:w="0"/>
        <w:jc w:val="center"/>
        <w:tblLook w:firstColumn="1" w:firstRow="1" w:lastColumn="0" w:lastRow="0" w:noHBand="0" w:noVBand="1" w:val="04A0"/>
      </w:tblPr>
      <w:tblGrid>
        <w:gridCol w:w="10224"/>
      </w:tblGrid>
      <w:tr>
        <w:trPr>
          <w:cantSplit w:val="true"/>
        </w:trPr>
        <w:tc>
          <w:tcPr>
            <w:tcW w:type="dxa" w:w="10224"/>
            <w:shd w:fill="FCE4D6"/>
            <w:tcMar>
              <w:top w:w="120" w:type="dxa"/>
              <w:start w:w="140" w:type="dxa"/>
              <w:bottom w:w="120" w:type="dxa"/>
              <w:end w:w="140" w:type="dxa"/>
            </w:tcMar>
          </w:tcPr>
          <w:p>
            <w:r>
              <w:t>Updated insight: independent samples prove that signed phase information exists, but ordinary trajectories are uneconomic and the frozen final-marginal Stein/H3 shared statistic was score-negative. Only a genuinely non-marginal cross-output or adjoint-weighted statistic already available from shared arithmetic remains conceivable, and it is dormant rather than an active program.</w:t>
            </w:r>
          </w:p>
        </w:tc>
      </w:tr>
    </w:tbl>
    <w:p>
      <w:pPr>
        <w:spacing w:after="20"/>
      </w:pPr>
    </w:p>
    <w:p>
      <w:pPr>
        <w:pStyle w:val="Heading2"/>
      </w:pPr>
      <w:r>
        <w:t>5.6 Equivariant learning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val="true"/>
        </w:trPr>
        <w:tc>
          <w:tcPr>
            <w:tcW w:type="dxa" w:w="3024"/>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Experiment</w:t>
            </w:r>
          </w:p>
        </w:tc>
        <w:tc>
          <w:tcPr>
            <w:tcW w:type="dxa" w:w="1440"/>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Validation scale</w:t>
            </w:r>
          </w:p>
        </w:tc>
        <w:tc>
          <w:tcPr>
            <w:tcW w:type="dxa" w:w="1584"/>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Replay gain</w:t>
            </w:r>
          </w:p>
        </w:tc>
        <w:tc>
          <w:tcPr>
            <w:tcW w:type="dxa" w:w="2304"/>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95% interval</w:t>
            </w:r>
          </w:p>
        </w:tc>
        <w:tc>
          <w:tcPr>
            <w:tcW w:type="dxa" w:w="2160"/>
            <w:shd w:fill="1F4E78"/>
            <w:vAlign w:val="top"/>
            <w:tcMar>
              <w:top w:w="60" w:type="dxa"/>
              <w:start w:w="75" w:type="dxa"/>
              <w:bottom w:w="60" w:type="dxa"/>
              <w:end w:w="75" w:type="dxa"/>
            </w:tcMar>
          </w:tcPr>
          <w:p>
            <w:pPr>
              <w:spacing w:after="0" w:line="240" w:lineRule="auto"/>
              <w:jc w:val="center"/>
            </w:pPr>
            <w:r/>
            <w:r>
              <w:rPr>
                <w:rFonts w:ascii="Aptos" w:hAnsi="Aptos"/>
                <w:b/>
                <w:color w:val="FFFFFF"/>
                <w:sz w:val="16"/>
              </w:rPr>
              <w:t>Worst candidate/base</w:t>
            </w:r>
          </w:p>
        </w:tc>
      </w:tr>
      <w:tr>
        <w:trPr>
          <w:cantSplit w:val="true"/>
        </w:trPr>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Forward target-31, width32</w:t>
            </w:r>
          </w:p>
        </w:tc>
        <w:tc>
          <w:tcPr>
            <w:tcW w:type="dxa" w:w="1440"/>
            <w:vAlign w:val="top"/>
            <w:tcMar>
              <w:top w:w="60" w:type="dxa"/>
              <w:start w:w="75" w:type="dxa"/>
              <w:bottom w:w="60" w:type="dxa"/>
              <w:end w:w="75" w:type="dxa"/>
            </w:tcMar>
          </w:tcPr>
          <w:p>
            <w:pPr>
              <w:spacing w:after="0" w:line="240" w:lineRule="auto"/>
            </w:pPr>
            <w:r/>
            <w:r>
              <w:rPr>
                <w:rFonts w:ascii="Aptos" w:hAnsi="Aptos"/>
                <w:b w:val="0"/>
                <w:color w:val="1F1F1F"/>
                <w:sz w:val="14"/>
              </w:rPr>
              <w:t>64</w:t>
            </w:r>
          </w:p>
        </w:tc>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4"/>
              </w:rPr>
              <w:t>1.00235</w:t>
            </w:r>
          </w:p>
        </w:tc>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4"/>
              </w:rPr>
              <w:t>0.99989–1.00493</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4"/>
              </w:rPr>
              <w:t>1.55</w:t>
            </w:r>
          </w:p>
        </w:tc>
      </w:tr>
      <w:tr>
        <w:trPr>
          <w:cantSplit w:val="true"/>
        </w:trPr>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Bidirectional, width32</w:t>
            </w:r>
          </w:p>
        </w:tc>
        <w:tc>
          <w:tcPr>
            <w:tcW w:type="dxa" w:w="1440"/>
            <w:shd w:fill="F8FBFD"/>
            <w:vAlign w:val="top"/>
            <w:tcMar>
              <w:top w:w="60" w:type="dxa"/>
              <w:start w:w="75" w:type="dxa"/>
              <w:bottom w:w="60" w:type="dxa"/>
              <w:end w:w="75" w:type="dxa"/>
            </w:tcMar>
          </w:tcPr>
          <w:p>
            <w:pPr>
              <w:spacing w:after="0" w:line="240" w:lineRule="auto"/>
            </w:pPr>
            <w:r/>
            <w:r>
              <w:rPr>
                <w:rFonts w:ascii="Aptos" w:hAnsi="Aptos"/>
                <w:b w:val="0"/>
                <w:color w:val="1F1F1F"/>
                <w:sz w:val="14"/>
              </w:rPr>
              <w:t>64</w:t>
            </w:r>
          </w:p>
        </w:tc>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4"/>
              </w:rPr>
              <w:t>1.00287</w:t>
            </w:r>
          </w:p>
        </w:tc>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4"/>
              </w:rPr>
              <w:t>0.99048–1.00896</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4"/>
              </w:rPr>
              <w:t>9.85</w:t>
            </w:r>
          </w:p>
        </w:tc>
      </w:tr>
      <w:tr>
        <w:trPr>
          <w:cantSplit w:val="true"/>
        </w:trPr>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Forward target-31, width64</w:t>
            </w:r>
          </w:p>
        </w:tc>
        <w:tc>
          <w:tcPr>
            <w:tcW w:type="dxa" w:w="1440"/>
            <w:vAlign w:val="top"/>
            <w:tcMar>
              <w:top w:w="60" w:type="dxa"/>
              <w:start w:w="75" w:type="dxa"/>
              <w:bottom w:w="60" w:type="dxa"/>
              <w:end w:w="75" w:type="dxa"/>
            </w:tcMar>
          </w:tcPr>
          <w:p>
            <w:pPr>
              <w:spacing w:after="0" w:line="240" w:lineRule="auto"/>
            </w:pPr>
            <w:r/>
            <w:r>
              <w:rPr>
                <w:rFonts w:ascii="Aptos" w:hAnsi="Aptos"/>
                <w:b w:val="0"/>
                <w:color w:val="1F1F1F"/>
                <w:sz w:val="14"/>
              </w:rPr>
              <w:t>32</w:t>
            </w:r>
          </w:p>
        </w:tc>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4"/>
              </w:rPr>
              <w:t>1.00300</w:t>
            </w:r>
          </w:p>
        </w:tc>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4"/>
              </w:rPr>
              <w:t>0.99166–1.01773</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4"/>
              </w:rPr>
              <w:t>1.08</w:t>
            </w:r>
          </w:p>
        </w:tc>
      </w:tr>
      <w:tr>
        <w:trPr>
          <w:cantSplit w:val="true"/>
        </w:trPr>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Bidirectional, width64</w:t>
            </w:r>
          </w:p>
        </w:tc>
        <w:tc>
          <w:tcPr>
            <w:tcW w:type="dxa" w:w="1440"/>
            <w:shd w:fill="F8FBFD"/>
            <w:vAlign w:val="top"/>
            <w:tcMar>
              <w:top w:w="60" w:type="dxa"/>
              <w:start w:w="75" w:type="dxa"/>
              <w:bottom w:w="60" w:type="dxa"/>
              <w:end w:w="75" w:type="dxa"/>
            </w:tcMar>
          </w:tcPr>
          <w:p>
            <w:pPr>
              <w:spacing w:after="0" w:line="240" w:lineRule="auto"/>
            </w:pPr>
            <w:r/>
            <w:r>
              <w:rPr>
                <w:rFonts w:ascii="Aptos" w:hAnsi="Aptos"/>
                <w:b w:val="0"/>
                <w:color w:val="1F1F1F"/>
                <w:sz w:val="14"/>
              </w:rPr>
              <w:t>32</w:t>
            </w:r>
          </w:p>
        </w:tc>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4"/>
              </w:rPr>
              <w:t>0.98933</w:t>
            </w:r>
          </w:p>
        </w:tc>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4"/>
              </w:rPr>
              <w:t>0.96033–1.03495</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4"/>
              </w:rPr>
              <w:t>1.23</w:t>
            </w:r>
          </w:p>
        </w:tc>
      </w:tr>
      <w:tr>
        <w:trPr>
          <w:cantSplit w:val="true"/>
        </w:trPr>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Large nonlinear basis probe</w:t>
            </w:r>
          </w:p>
        </w:tc>
        <w:tc>
          <w:tcPr>
            <w:tcW w:type="dxa" w:w="1440"/>
            <w:vAlign w:val="top"/>
            <w:tcMar>
              <w:top w:w="60" w:type="dxa"/>
              <w:start w:w="75" w:type="dxa"/>
              <w:bottom w:w="60" w:type="dxa"/>
              <w:end w:w="75" w:type="dxa"/>
            </w:tcMar>
          </w:tcPr>
          <w:p>
            <w:pPr>
              <w:spacing w:after="0" w:line="240" w:lineRule="auto"/>
            </w:pPr>
            <w:r/>
            <w:r>
              <w:rPr>
                <w:rFonts w:ascii="Aptos" w:hAnsi="Aptos"/>
                <w:b w:val="0"/>
                <w:color w:val="1F1F1F"/>
                <w:sz w:val="14"/>
              </w:rPr>
              <w:t>128</w:t>
            </w:r>
          </w:p>
        </w:tc>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4"/>
              </w:rPr>
              <w:t>1.00815</w:t>
            </w:r>
          </w:p>
        </w:tc>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4"/>
              </w:rPr>
              <w:t>0.94623–1.05560</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4"/>
              </w:rPr>
              <w:t>4.62</w:t>
            </w:r>
          </w:p>
        </w:tc>
      </w:tr>
      <w:tr>
        <w:trPr>
          <w:cantSplit w:val="true"/>
        </w:trPr>
        <w:tc>
          <w:tcPr>
            <w:tcW w:type="dxa" w:w="3024"/>
            <w:shd w:fill="F8FBFD"/>
            <w:vAlign w:val="top"/>
            <w:tcMar>
              <w:top w:w="60" w:type="dxa"/>
              <w:start w:w="75" w:type="dxa"/>
              <w:bottom w:w="60" w:type="dxa"/>
              <w:end w:w="75" w:type="dxa"/>
            </w:tcMar>
          </w:tcPr>
          <w:p>
            <w:pPr>
              <w:spacing w:after="0" w:line="240" w:lineRule="auto"/>
            </w:pPr>
            <w:r/>
            <w:r>
              <w:rPr>
                <w:rFonts w:ascii="Aptos" w:hAnsi="Aptos"/>
                <w:b w:val="0"/>
                <w:color w:val="1F1F1F"/>
                <w:sz w:val="14"/>
              </w:rPr>
              <w:t>Phase-augmented basis, sorted</w:t>
            </w:r>
          </w:p>
        </w:tc>
        <w:tc>
          <w:tcPr>
            <w:tcW w:type="dxa" w:w="1440"/>
            <w:shd w:fill="F8FBFD"/>
            <w:vAlign w:val="top"/>
            <w:tcMar>
              <w:top w:w="60" w:type="dxa"/>
              <w:start w:w="75" w:type="dxa"/>
              <w:bottom w:w="60" w:type="dxa"/>
              <w:end w:w="75" w:type="dxa"/>
            </w:tcMar>
          </w:tcPr>
          <w:p>
            <w:pPr>
              <w:spacing w:after="0" w:line="240" w:lineRule="auto"/>
            </w:pPr>
            <w:r/>
            <w:r>
              <w:rPr>
                <w:rFonts w:ascii="Aptos" w:hAnsi="Aptos"/>
                <w:b w:val="0"/>
                <w:color w:val="1F1F1F"/>
                <w:sz w:val="14"/>
              </w:rPr>
              <w:t>128</w:t>
            </w:r>
          </w:p>
        </w:tc>
        <w:tc>
          <w:tcPr>
            <w:tcW w:type="dxa" w:w="1584"/>
            <w:shd w:fill="F8FBFD"/>
            <w:vAlign w:val="top"/>
            <w:tcMar>
              <w:top w:w="60" w:type="dxa"/>
              <w:start w:w="75" w:type="dxa"/>
              <w:bottom w:w="60" w:type="dxa"/>
              <w:end w:w="75" w:type="dxa"/>
            </w:tcMar>
          </w:tcPr>
          <w:p>
            <w:pPr>
              <w:spacing w:after="0" w:line="240" w:lineRule="auto"/>
            </w:pPr>
            <w:r/>
            <w:r>
              <w:rPr>
                <w:rFonts w:ascii="Aptos" w:hAnsi="Aptos"/>
                <w:b w:val="0"/>
                <w:color w:val="1F1F1F"/>
                <w:sz w:val="14"/>
              </w:rPr>
              <w:t>0.96380</w:t>
            </w:r>
          </w:p>
        </w:tc>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4"/>
              </w:rPr>
              <w:t>0.82991–1.07185</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4"/>
              </w:rPr>
              <w:t>16.62</w:t>
            </w:r>
          </w:p>
        </w:tc>
      </w:tr>
      <w:tr>
        <w:trPr>
          <w:cantSplit w:val="true"/>
        </w:trPr>
        <w:tc>
          <w:tcPr>
            <w:tcW w:type="dxa" w:w="3024"/>
            <w:vAlign w:val="top"/>
            <w:tcMar>
              <w:top w:w="60" w:type="dxa"/>
              <w:start w:w="75" w:type="dxa"/>
              <w:bottom w:w="60" w:type="dxa"/>
              <w:end w:w="75" w:type="dxa"/>
            </w:tcMar>
          </w:tcPr>
          <w:p>
            <w:pPr>
              <w:spacing w:after="0" w:line="240" w:lineRule="auto"/>
            </w:pPr>
            <w:r/>
            <w:r>
              <w:rPr>
                <w:rFonts w:ascii="Aptos" w:hAnsi="Aptos"/>
                <w:b w:val="0"/>
                <w:color w:val="1F1F1F"/>
                <w:sz w:val="14"/>
              </w:rPr>
              <w:t>Phase-augmented weight encoder</w:t>
            </w:r>
          </w:p>
        </w:tc>
        <w:tc>
          <w:tcPr>
            <w:tcW w:type="dxa" w:w="1440"/>
            <w:vAlign w:val="top"/>
            <w:tcMar>
              <w:top w:w="60" w:type="dxa"/>
              <w:start w:w="75" w:type="dxa"/>
              <w:bottom w:w="60" w:type="dxa"/>
              <w:end w:w="75" w:type="dxa"/>
            </w:tcMar>
          </w:tcPr>
          <w:p>
            <w:pPr>
              <w:spacing w:after="0" w:line="240" w:lineRule="auto"/>
            </w:pPr>
            <w:r/>
            <w:r>
              <w:rPr>
                <w:rFonts w:ascii="Aptos" w:hAnsi="Aptos"/>
                <w:b w:val="0"/>
                <w:color w:val="1F1F1F"/>
                <w:sz w:val="14"/>
              </w:rPr>
              <w:t>128</w:t>
            </w:r>
          </w:p>
        </w:tc>
        <w:tc>
          <w:tcPr>
            <w:tcW w:type="dxa" w:w="1584"/>
            <w:vAlign w:val="top"/>
            <w:tcMar>
              <w:top w:w="60" w:type="dxa"/>
              <w:start w:w="75" w:type="dxa"/>
              <w:bottom w:w="60" w:type="dxa"/>
              <w:end w:w="75" w:type="dxa"/>
            </w:tcMar>
          </w:tcPr>
          <w:p>
            <w:pPr>
              <w:spacing w:after="0" w:line="240" w:lineRule="auto"/>
            </w:pPr>
            <w:r/>
            <w:r>
              <w:rPr>
                <w:rFonts w:ascii="Aptos" w:hAnsi="Aptos"/>
                <w:b w:val="0"/>
                <w:color w:val="1F1F1F"/>
                <w:sz w:val="14"/>
              </w:rPr>
              <w:t>1.01142</w:t>
            </w:r>
          </w:p>
        </w:tc>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4"/>
              </w:rPr>
              <w:t>0.98266–1.03259</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4"/>
              </w:rPr>
              <w:t>6.12</w:t>
            </w:r>
          </w:p>
        </w:tc>
      </w:tr>
    </w:tbl>
    <w:p>
      <w:pPr>
        <w:spacing w:after="20"/>
      </w:pPr>
    </w:p>
    <w:p>
      <w:pPr>
        <w:pStyle w:val="ListBullet"/>
        <w:spacing w:after="40"/>
      </w:pPr>
      <w:r>
        <w:rPr>
          <w:rFonts w:ascii="Aptos" w:hAnsi="Aptos"/>
          <w:sz w:val="19"/>
        </w:rPr>
        <w:t>One final replay increases effective compute by 3.125%, so a free model still needs at least 1.03125x raw gain to break even.</w:t>
      </w:r>
    </w:p>
    <w:p>
      <w:pPr>
        <w:pStyle w:val="ListBullet"/>
        <w:spacing w:after="40"/>
      </w:pPr>
      <w:r>
        <w:rPr>
          <w:rFonts w:ascii="Aptos" w:hAnsi="Aptos"/>
          <w:sz w:val="19"/>
        </w:rPr>
        <w:t>The reduced-width campaign tested target redesign, bidirectionality, larger corpora, full basis diagnostics, and exact phase augmentation. None cleared the gate.</w:t>
      </w:r>
    </w:p>
    <w:p>
      <w:pPr>
        <w:pStyle w:val="ListBullet"/>
        <w:spacing w:after="40"/>
      </w:pPr>
      <w:r>
        <w:t>The scientific status is narrowed, not closed. The only defensible continuation is one grouped width-256 edge-state Deep Weight Space experiment predicting a rotation-aware low-rank layer-31 defect or the direct final-output sparse anchor. Fixed sparse coordinate amplitudes are no longer an appropriate learning target.</w:t>
      </w:r>
    </w:p>
    <w:p>
      <w:pPr>
        <w:pStyle w:val="Heading1"/>
      </w:pPr>
      <w:r>
        <w:t>6. Opposite results that suggest better experiments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val="true"/>
        </w:trPr>
        <w:tc>
          <w:tcPr>
            <w:tcW w:type="dxa" w:w="2304"/>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Opposite results / tension</w:t>
            </w:r>
          </w:p>
        </w:tc>
        <w:tc>
          <w:tcPr>
            <w:tcW w:type="dxa" w:w="2880"/>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Synthesis</w:t>
            </w:r>
          </w:p>
        </w:tc>
        <w:tc>
          <w:tcPr>
            <w:tcW w:type="dxa" w:w="3312"/>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Best future experiment</w:t>
            </w:r>
          </w:p>
        </w:tc>
        <w:tc>
          <w:tcPr>
            <w:tcW w:type="dxa" w:w="2592"/>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Hard gate</w:t>
            </w:r>
          </w:p>
        </w:tc>
        <w:tc>
          <w:tcPr>
            <w:tcW w:type="dxa" w:w="2160"/>
            <w:shd w:fill="548235"/>
            <w:vAlign w:val="top"/>
            <w:tcMar>
              <w:top w:w="60" w:type="dxa"/>
              <w:start w:w="75" w:type="dxa"/>
              <w:bottom w:w="60" w:type="dxa"/>
              <w:end w:w="75" w:type="dxa"/>
            </w:tcMar>
          </w:tcPr>
          <w:p>
            <w:pPr>
              <w:spacing w:after="0" w:line="240" w:lineRule="auto"/>
              <w:jc w:val="center"/>
            </w:pPr>
            <w:r/>
            <w:r>
              <w:rPr>
                <w:rFonts w:ascii="Aptos" w:hAnsi="Aptos"/>
                <w:b/>
                <w:color w:val="FFFFFF"/>
                <w:sz w:val="16"/>
              </w:rPr>
              <w:t>Evidence caution</w:t>
            </w:r>
          </w:p>
        </w:tc>
      </w:tr>
      <w:tr>
        <w:trPr>
          <w:cantSplit w:val="true"/>
        </w:trPr>
        <w:tc>
          <w:tcPr>
            <w:tcW w:type="dxa" w:w="2304"/>
            <w:vAlign w:val="top"/>
            <w:tcMar>
              <w:top w:w="60" w:type="dxa"/>
              <w:start w:w="75" w:type="dxa"/>
              <w:bottom w:w="60" w:type="dxa"/>
              <w:end w:w="75" w:type="dxa"/>
            </w:tcMar>
          </w:tcPr>
          <w:p>
            <w:r>
              <w:t>Oracle support nearly exact vs K2/row/edge supports fail</w:t>
            </w:r>
          </w:p>
        </w:tc>
        <w:tc>
          <w:tcPr>
            <w:tcW w:type="dxa" w:w="2880"/>
            <w:vAlign w:val="top"/>
            <w:tcMar>
              <w:top w:w="60" w:type="dxa"/>
              <w:start w:w="75" w:type="dxa"/>
              <w:bottom w:w="60" w:type="dxa"/>
              <w:end w:w="75" w:type="dxa"/>
            </w:tcMar>
          </w:tcPr>
          <w:p>
            <w:r>
              <w:t>Coreset existence is not the issue; whole-set signed span and conditioning are not captured by tested node or edge summaries.</w:t>
            </w:r>
          </w:p>
        </w:tc>
        <w:tc>
          <w:tcPr>
            <w:tcW w:type="dxa" w:w="3312"/>
            <w:vAlign w:val="top"/>
            <w:tcMar>
              <w:top w:w="60" w:type="dxa"/>
              <w:start w:w="75" w:type="dxa"/>
              <w:bottom w:w="60" w:type="dxa"/>
              <w:end w:w="75" w:type="dxa"/>
            </w:tcMar>
          </w:tcPr>
          <w:p>
            <w:r>
              <w:t>No optimizer. Test only a nearly free set-level scorer that predicts same-support oracle error directly.</w:t>
            </w:r>
          </w:p>
        </w:tc>
        <w:tc>
          <w:tcPr>
            <w:tcW w:type="dxa" w:w="2592"/>
            <w:vAlign w:val="top"/>
            <w:tcMar>
              <w:top w:w="60" w:type="dxa"/>
              <w:start w:w="75" w:type="dxa"/>
              <w:bottom w:w="60" w:type="dxa"/>
              <w:end w:w="75" w:type="dxa"/>
            </w:tcMar>
          </w:tcPr>
          <w:p>
            <w:r>
              <w:t>Same-support oracle added MSE &lt;=1.1e-8 with safe tails before optimization.</w:t>
            </w:r>
          </w:p>
        </w:tc>
        <w:tc>
          <w:tcPr>
            <w:tcW w:type="dxa" w:w="2160"/>
            <w:vAlign w:val="top"/>
            <w:tcMar>
              <w:top w:w="60" w:type="dxa"/>
              <w:start w:w="75" w:type="dxa"/>
              <w:bottom w:w="60" w:type="dxa"/>
              <w:end w:w="75" w:type="dxa"/>
            </w:tcMar>
          </w:tcPr>
          <w:p>
            <w:r>
              <w:t>Exact geometry synthetic N=20+12+12; active forms closed, mathematical existence dormant.</w:t>
            </w:r>
          </w:p>
        </w:tc>
      </w:tr>
      <w:tr>
        <w:trPr>
          <w:cantSplit w:val="true"/>
        </w:trPr>
        <w:tc>
          <w:tcPr>
            <w:tcW w:type="dxa" w:w="2304"/>
            <w:shd w:fill="F8FBFD"/>
            <w:vAlign w:val="top"/>
            <w:tcMar>
              <w:top w:w="60" w:type="dxa"/>
              <w:start w:w="75" w:type="dxa"/>
              <w:bottom w:w="60" w:type="dxa"/>
              <w:end w:w="75" w:type="dxa"/>
            </w:tcMar>
          </w:tcPr>
          <w:p>
            <w:r>
              <w:t>Layer31 oracle huge vs every deployable signed estimator fails</w:t>
            </w:r>
          </w:p>
        </w:tc>
        <w:tc>
          <w:tcPr>
            <w:tcW w:type="dxa" w:w="2880"/>
            <w:shd w:fill="F8FBFD"/>
            <w:vAlign w:val="top"/>
            <w:tcMar>
              <w:top w:w="60" w:type="dxa"/>
              <w:start w:w="75" w:type="dxa"/>
              <w:bottom w:w="60" w:type="dxa"/>
              <w:end w:w="75" w:type="dxa"/>
            </w:tcMar>
          </w:tcPr>
          <w:p>
            <w:r>
              <w:t>Coordinates and downstream sensitivity are accessible; the absolute signed defect remains unobservable with tested analytic, pilot and residual constructions.</w:t>
            </w:r>
          </w:p>
        </w:tc>
        <w:tc>
          <w:tcPr>
            <w:tcW w:type="dxa" w:w="3312"/>
            <w:shd w:fill="F8FBFD"/>
            <w:vAlign w:val="top"/>
            <w:tcMar>
              <w:top w:w="60" w:type="dxa"/>
              <w:start w:w="75" w:type="dxa"/>
              <w:bottom w:w="60" w:type="dxa"/>
              <w:end w:w="75" w:type="dxa"/>
            </w:tcMar>
          </w:tcPr>
          <w:p>
            <w:r>
              <w:t>Freeze sparse support/probes as labels and run one bounded width-256 learned-anchor experiment.</w:t>
            </w:r>
          </w:p>
        </w:tc>
        <w:tc>
          <w:tcPr>
            <w:tcW w:type="dxa" w:w="2592"/>
            <w:shd w:fill="F8FBFD"/>
            <w:vAlign w:val="top"/>
            <w:tcMar>
              <w:top w:w="60" w:type="dxa"/>
              <w:start w:w="75" w:type="dxa"/>
              <w:bottom w:w="60" w:type="dxa"/>
              <w:end w:w="75" w:type="dxa"/>
            </w:tcMar>
          </w:tcPr>
          <w:p>
            <w:r>
              <w:t>Grouped replay gain &gt;=1.10, lower CI &gt;=1.05, worst &lt;=1.25, adjusted positive.</w:t>
            </w:r>
          </w:p>
        </w:tc>
        <w:tc>
          <w:tcPr>
            <w:tcW w:type="dxa" w:w="2160"/>
            <w:shd w:fill="F8FBFD"/>
            <w:vAlign w:val="top"/>
            <w:tcMar>
              <w:top w:w="60" w:type="dxa"/>
              <w:start w:w="75" w:type="dxa"/>
              <w:bottom w:w="60" w:type="dxa"/>
              <w:end w:w="75" w:type="dxa"/>
            </w:tcMar>
          </w:tcPr>
          <w:p>
            <w:r>
              <w:t>Do not confuse oracle concentration with a deployable estimator.</w:t>
            </w:r>
          </w:p>
        </w:tc>
      </w:tr>
      <w:tr>
        <w:trPr>
          <w:cantSplit w:val="true"/>
        </w:trPr>
        <w:tc>
          <w:tcPr>
            <w:tcW w:type="dxa" w:w="2304"/>
            <w:vAlign w:val="top"/>
            <w:tcMar>
              <w:top w:w="60" w:type="dxa"/>
              <w:start w:w="75" w:type="dxa"/>
              <w:bottom w:w="60" w:type="dxa"/>
              <w:end w:w="75" w:type="dxa"/>
            </w:tcMar>
          </w:tcPr>
          <w:p>
            <w:r>
              <w:t>Partial-MUB sign improves with sample size vs FGSF adjusted score loses</w:t>
            </w:r>
          </w:p>
        </w:tc>
        <w:tc>
          <w:tcPr>
            <w:tcW w:type="dxa" w:w="2880"/>
            <w:vAlign w:val="top"/>
            <w:tcMar>
              <w:top w:w="60" w:type="dxa"/>
              <w:start w:w="75" w:type="dxa"/>
              <w:bottom w:w="60" w:type="dxa"/>
              <w:end w:w="75" w:type="dxa"/>
            </w:tcMar>
          </w:tcPr>
          <w:p>
            <w:r>
              <w:t>Phase information exists, but ordinary samples cost too much and a cheap marginal statistic is too weak.</w:t>
            </w:r>
          </w:p>
        </w:tc>
        <w:tc>
          <w:tcPr>
            <w:tcW w:type="dxa" w:w="3312"/>
            <w:vAlign w:val="top"/>
            <w:tcMar>
              <w:top w:w="60" w:type="dxa"/>
              <w:start w:w="75" w:type="dxa"/>
              <w:bottom w:w="60" w:type="dxa"/>
              <w:end w:w="75" w:type="dxa"/>
            </w:tcMar>
          </w:tcPr>
          <w:p>
            <w:r>
              <w:t>Only test a prederived non-marginal cross-output or adjoint-weighted shared statistic.</w:t>
            </w:r>
          </w:p>
        </w:tc>
        <w:tc>
          <w:tcPr>
            <w:tcW w:type="dxa" w:w="2592"/>
            <w:vAlign w:val="top"/>
            <w:tcMar>
              <w:top w:w="60" w:type="dxa"/>
              <w:start w:w="75" w:type="dxa"/>
              <w:bottom w:w="60" w:type="dxa"/>
              <w:end w:w="75" w:type="dxa"/>
            </w:tcMar>
          </w:tcPr>
          <w:p>
            <w:r>
              <w:t>True incremental compute &lt;=1%; adjusted upper CI &lt;1 on &gt;=50 fresh networks.</w:t>
            </w:r>
          </w:p>
        </w:tc>
        <w:tc>
          <w:tcPr>
            <w:tcW w:type="dxa" w:w="2160"/>
            <w:vAlign w:val="top"/>
            <w:tcMar>
              <w:top w:w="60" w:type="dxa"/>
              <w:start w:w="75" w:type="dxa"/>
              <w:bottom w:w="60" w:type="dxa"/>
              <w:end w:w="75" w:type="dxa"/>
            </w:tcMar>
          </w:tcPr>
          <w:p>
            <w:r>
              <w:t>FGSF strongly closes the marginal Stein/H3 family, not every possible shared statistic.</w:t>
            </w:r>
          </w:p>
        </w:tc>
      </w:tr>
      <w:tr>
        <w:trPr>
          <w:cantSplit w:val="true"/>
        </w:trPr>
        <w:tc>
          <w:tcPr>
            <w:tcW w:type="dxa" w:w="2304"/>
            <w:shd w:fill="F8FBFD"/>
            <w:vAlign w:val="top"/>
            <w:tcMar>
              <w:top w:w="60" w:type="dxa"/>
              <w:start w:w="75" w:type="dxa"/>
              <w:bottom w:w="60" w:type="dxa"/>
              <w:end w:w="75" w:type="dxa"/>
            </w:tcMar>
          </w:tcPr>
          <w:p>
            <w:r>
              <w:t>Oracle rank4/direct sparse controls work vs legal joint anchors fail</w:t>
            </w:r>
          </w:p>
        </w:tc>
        <w:tc>
          <w:tcPr>
            <w:tcW w:type="dxa" w:w="2880"/>
            <w:shd w:fill="F8FBFD"/>
            <w:vAlign w:val="top"/>
            <w:tcMar>
              <w:top w:w="60" w:type="dxa"/>
              <w:start w:w="75" w:type="dxa"/>
              <w:bottom w:w="60" w:type="dxa"/>
              <w:end w:w="75" w:type="dxa"/>
            </w:tcMar>
          </w:tcPr>
          <w:p>
            <w:r>
              <w:t>Control features are useful, but complete absolute anchoring and cancellation precision are the bottleneck.</w:t>
            </w:r>
          </w:p>
        </w:tc>
        <w:tc>
          <w:tcPr>
            <w:tcW w:type="dxa" w:w="3312"/>
            <w:shd w:fill="F8FBFD"/>
            <w:vAlign w:val="top"/>
            <w:tcMar>
              <w:top w:w="60" w:type="dxa"/>
              <w:start w:w="75" w:type="dxa"/>
              <w:bottom w:w="60" w:type="dxa"/>
              <w:end w:w="75" w:type="dxa"/>
            </w:tcMar>
          </w:tcPr>
          <w:p>
            <w:r>
              <w:t>Validate direct final-output sparse oracle; treat the required joint state as a supervised or analytic checkpoint target.</w:t>
            </w:r>
          </w:p>
        </w:tc>
        <w:tc>
          <w:tcPr>
            <w:tcW w:type="dxa" w:w="2592"/>
            <w:shd w:fill="F8FBFD"/>
            <w:vAlign w:val="top"/>
            <w:tcMar>
              <w:top w:w="60" w:type="dxa"/>
              <w:start w:w="75" w:type="dxa"/>
              <w:bottom w:w="60" w:type="dxa"/>
              <w:end w:w="75" w:type="dxa"/>
            </w:tcMar>
          </w:tcPr>
          <w:p>
            <w:r>
              <w:t>Fresh direct oracle &lt;=0.50; any checkpoint method must project complete &lt;=0.4568 below14B.</w:t>
            </w:r>
          </w:p>
        </w:tc>
        <w:tc>
          <w:tcPr>
            <w:tcW w:type="dxa" w:w="2160"/>
            <w:shd w:fill="F8FBFD"/>
            <w:vAlign w:val="top"/>
            <w:tcMar>
              <w:top w:w="60" w:type="dxa"/>
              <w:start w:w="75" w:type="dxa"/>
              <w:bottom w:w="60" w:type="dxa"/>
              <w:end w:w="75" w:type="dxa"/>
            </w:tcMar>
          </w:tcPr>
          <w:p>
            <w:r>
              <w:t>Do not reopen coefficient, pullback or ordinary source sweeps.</w:t>
            </w:r>
          </w:p>
        </w:tc>
      </w:tr>
      <w:tr>
        <w:trPr>
          <w:cantSplit w:val="true"/>
        </w:trPr>
        <w:tc>
          <w:tcPr>
            <w:tcW w:type="dxa" w:w="2304"/>
            <w:vAlign w:val="top"/>
            <w:tcMar>
              <w:top w:w="60" w:type="dxa"/>
              <w:start w:w="75" w:type="dxa"/>
              <w:bottom w:w="60" w:type="dxa"/>
              <w:end w:w="75" w:type="dxa"/>
            </w:tcMar>
          </w:tcPr>
          <w:p>
            <w:r>
              <w:t>Exact checkpoint + candidate sources 0.526 vs legal recurrence ~1.00</w:t>
            </w:r>
          </w:p>
        </w:tc>
        <w:tc>
          <w:tcPr>
            <w:tcW w:type="dxa" w:w="2880"/>
            <w:vAlign w:val="top"/>
            <w:tcMar>
              <w:top w:w="60" w:type="dxa"/>
              <w:start w:w="75" w:type="dxa"/>
              <w:bottom w:w="60" w:type="dxa"/>
              <w:end w:w="75" w:type="dxa"/>
            </w:tcMar>
          </w:tcPr>
          <w:p>
            <w:r>
              <w:t>The source recurrence contains useful signal when the absolute checkpoint is exact; candidate checkpoint error destroys the composed cancellation.</w:t>
            </w:r>
          </w:p>
        </w:tc>
        <w:tc>
          <w:tcPr>
            <w:tcW w:type="dxa" w:w="3312"/>
            <w:vAlign w:val="top"/>
            <w:tcMar>
              <w:top w:w="60" w:type="dxa"/>
              <w:start w:w="75" w:type="dxa"/>
              <w:bottom w:w="60" w:type="dxa"/>
              <w:end w:w="75" w:type="dxa"/>
            </w:tcMar>
          </w:tcPr>
          <w:p>
            <w:r>
              <w:t>Predict or derive a much more accurate absolute joint checkpoint and judge componentwise signed cancellation error.</w:t>
            </w:r>
          </w:p>
        </w:tc>
        <w:tc>
          <w:tcPr>
            <w:tcW w:type="dxa" w:w="2592"/>
            <w:vAlign w:val="top"/>
            <w:tcMar>
              <w:top w:w="60" w:type="dxa"/>
              <w:start w:w="75" w:type="dxa"/>
              <w:bottom w:w="60" w:type="dxa"/>
              <w:end w:w="75" w:type="dxa"/>
            </w:tcMar>
          </w:tcPr>
          <w:p>
            <w:r>
              <w:t>Pre-run projection &lt;=0.4568 below14B; checkpoint error far below the tested ~2.11% median.</w:t>
            </w:r>
          </w:p>
        </w:tc>
        <w:tc>
          <w:tcPr>
            <w:tcW w:type="dxa" w:w="2160"/>
            <w:vAlign w:val="top"/>
            <w:tcMar>
              <w:top w:w="60" w:type="dxa"/>
              <w:start w:w="75" w:type="dxa"/>
              <w:bottom w:w="60" w:type="dxa"/>
              <w:end w:w="75" w:type="dxa"/>
            </w:tcMar>
          </w:tcPr>
          <w:p>
            <w:r>
              <w:t>0.526 is oracle-checkpoint evidence on exposed N=8, not a deployable near-win.</w:t>
            </w:r>
          </w:p>
        </w:tc>
      </w:tr>
      <w:tr>
        <w:trPr>
          <w:cantSplit w:val="true"/>
        </w:trPr>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3"/>
              </w:rPr>
              <w:t>Shared center map toy rank6 vs width256 proxy rank128</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3"/>
              </w:rPr>
              <w:t>Shared does not imply compressible; real rank may be high.</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Recover frozen probes and compute real B singular spectrum, downstream weighting and layer31 overlap.</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3"/>
              </w:rPr>
              <w:t>Proceed to rank&lt;=16 predictor only if &gt;=90% relevant energy retained.</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3"/>
              </w:rPr>
              <w:t>Toy algebra is not empirical ARC evidence.</w:t>
            </w:r>
          </w:p>
        </w:tc>
      </w:tr>
      <w:tr>
        <w:trPr>
          <w:cantSplit w:val="true"/>
        </w:trPr>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3"/>
              </w:rPr>
              <w:t>Stable-gate surrogate correlation0.99944 vs MLMC 26.5% worse</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3"/>
              </w:rPr>
              <w:t>Pointwise/R² and i.i.d. block variance ignore deterministic global Kerdock cancellation.</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Any multilevel estimator must preserve complete designs as units or use algebraically zero-mean corrections.</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3"/>
              </w:rPr>
              <w:t>No arbitrary partial-basis allocation; full coupled MSE must improve after cost.</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3"/>
              </w:rPr>
              <w:t>High correlation is a misleading surrogate metric.</w:t>
            </w:r>
          </w:p>
        </w:tc>
      </w:tr>
      <w:tr>
        <w:trPr>
          <w:cantSplit w:val="true"/>
        </w:trPr>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3"/>
              </w:rPr>
              <w:t>Degree6 is first live harmonic vs harmonic controls fail</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3"/>
              </w:rPr>
              <w:t>First live does not mean dominant or observable; ensemble degree6 ceiling only~13.9%.</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Use degree6 only as an exact-zero-mean internal feature for an independently anchored late control.</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3"/>
              </w:rPr>
              <w:t>No standalone revival without &gt;=5% adjusted frozen gain and safe tails.</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3"/>
              </w:rPr>
              <w:t>Two separate frozen failures exist.</w:t>
            </w:r>
          </w:p>
        </w:tc>
      </w:tr>
      <w:tr>
        <w:trPr>
          <w:cantSplit w:val="true"/>
        </w:trPr>
        <w:tc>
          <w:tcPr>
            <w:tcW w:type="dxa" w:w="2304"/>
            <w:vAlign w:val="top"/>
            <w:tcMar>
              <w:top w:w="60" w:type="dxa"/>
              <w:start w:w="75" w:type="dxa"/>
              <w:bottom w:w="60" w:type="dxa"/>
              <w:end w:w="75" w:type="dxa"/>
            </w:tcMar>
          </w:tcPr>
          <w:p>
            <w:r>
              <w:t>Mean-field bias learnable vs Kerdock phase not learnable</w:t>
            </w:r>
          </w:p>
        </w:tc>
        <w:tc>
          <w:tcPr>
            <w:tcW w:type="dxa" w:w="2880"/>
            <w:vAlign w:val="top"/>
            <w:tcMar>
              <w:top w:w="60" w:type="dxa"/>
              <w:start w:w="75" w:type="dxa"/>
              <w:bottom w:w="60" w:type="dxa"/>
              <w:end w:w="75" w:type="dxa"/>
            </w:tcMar>
          </w:tcPr>
          <w:p>
            <w:r>
              <w:t>Smooth closure error is predictable; orientation-sensitive phase and absolute joint state are not with tested features.</w:t>
            </w:r>
          </w:p>
        </w:tc>
        <w:tc>
          <w:tcPr>
            <w:tcW w:type="dxa" w:w="3312"/>
            <w:vAlign w:val="top"/>
            <w:tcMar>
              <w:top w:w="60" w:type="dxa"/>
              <w:start w:w="75" w:type="dxa"/>
              <w:bottom w:w="60" w:type="dxa"/>
              <w:end w:w="75" w:type="dxa"/>
            </w:tcMar>
          </w:tcPr>
          <w:p>
            <w:r>
              <w:t>Use frozen direct sparse probes or sparse layer-31 coordinates as low-dimensional labels for one width-256 edge-state model.</w:t>
            </w:r>
          </w:p>
        </w:tc>
        <w:tc>
          <w:tcPr>
            <w:tcW w:type="dxa" w:w="2592"/>
            <w:vAlign w:val="top"/>
            <w:tcMar>
              <w:top w:w="60" w:type="dxa"/>
              <w:start w:w="75" w:type="dxa"/>
              <w:bottom w:w="60" w:type="dxa"/>
              <w:end w:w="75" w:type="dxa"/>
            </w:tcMar>
          </w:tcPr>
          <w:p>
            <w:r>
              <w:t>Grouped CV replay gain &gt;=1.10, lower CI &gt;=1.05, tails controlled.</w:t>
            </w:r>
          </w:p>
        </w:tc>
        <w:tc>
          <w:tcPr>
            <w:tcW w:type="dxa" w:w="2160"/>
            <w:vAlign w:val="top"/>
            <w:tcMar>
              <w:top w:w="60" w:type="dxa"/>
              <w:start w:w="75" w:type="dxa"/>
              <w:bottom w:w="60" w:type="dxa"/>
              <w:end w:w="75" w:type="dxa"/>
            </w:tcMar>
          </w:tcPr>
          <w:p>
            <w:r>
              <w:t>Reduced-width negatives narrow but do not universally close a properly targeted width-256 DWS.</w:t>
            </w:r>
          </w:p>
        </w:tc>
      </w:tr>
      <w:tr>
        <w:trPr>
          <w:cantSplit w:val="true"/>
        </w:trPr>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3"/>
              </w:rPr>
              <w:t>Oracle x1/x1a recursive gains vs PSD clipping destroys them</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3"/>
              </w:rPr>
              <w:t>The useful correction may live in contracted outputs even when no coherent full covariance state exists.</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Propagate only adjoint-weighted contractions or learn a valid factorized state intrinsically; avoid post-hoc clipping.</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3"/>
              </w:rPr>
              <w:t>Complete estimator must retain gain without repeated repairs.</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3"/>
              </w:rPr>
              <w:t>Oracle features and invalid state are mechanism evidence only.</w:t>
            </w:r>
          </w:p>
        </w:tc>
      </w:tr>
      <w:tr>
        <w:trPr>
          <w:cantSplit w:val="true"/>
        </w:trPr>
        <w:tc>
          <w:tcPr>
            <w:tcW w:type="dxa" w:w="2304"/>
            <w:vAlign w:val="top"/>
            <w:tcMar>
              <w:top w:w="60" w:type="dxa"/>
              <w:start w:w="75" w:type="dxa"/>
              <w:bottom w:w="60" w:type="dxa"/>
              <w:end w:w="75" w:type="dxa"/>
            </w:tcMar>
          </w:tcPr>
          <w:p>
            <w:pPr>
              <w:spacing w:after="0" w:line="240" w:lineRule="auto"/>
            </w:pPr>
            <w:r/>
            <w:r>
              <w:rPr>
                <w:rFonts w:ascii="Aptos" w:hAnsi="Aptos"/>
                <w:b w:val="0"/>
                <w:color w:val="1F1F1F"/>
                <w:sz w:val="13"/>
              </w:rPr>
              <w:t>Same-cloud Edgeworth expected near-neutral vs observed12.996</w:t>
            </w:r>
          </w:p>
        </w:tc>
        <w:tc>
          <w:tcPr>
            <w:tcW w:type="dxa" w:w="2880"/>
            <w:vAlign w:val="top"/>
            <w:tcMar>
              <w:top w:w="60" w:type="dxa"/>
              <w:start w:w="75" w:type="dxa"/>
              <w:bottom w:w="60" w:type="dxa"/>
              <w:end w:w="75" w:type="dxa"/>
            </w:tcMar>
          </w:tcPr>
          <w:p>
            <w:pPr>
              <w:spacing w:after="0" w:line="240" w:lineRule="auto"/>
            </w:pPr>
            <w:r/>
            <w:r>
              <w:rPr>
                <w:rFonts w:ascii="Aptos" w:hAnsi="Aptos"/>
                <w:b w:val="0"/>
                <w:color w:val="1F1F1F"/>
                <w:sz w:val="13"/>
              </w:rPr>
              <w:t>Same-cloud corrections can actively corrupt the binding mean, not just telescope.</w:t>
            </w:r>
          </w:p>
        </w:tc>
        <w:tc>
          <w:tcPr>
            <w:tcW w:type="dxa" w:w="3312"/>
            <w:vAlign w:val="top"/>
            <w:tcMar>
              <w:top w:w="60" w:type="dxa"/>
              <w:start w:w="75" w:type="dxa"/>
              <w:bottom w:w="60" w:type="dxa"/>
              <w:end w:w="75" w:type="dxa"/>
            </w:tcMar>
          </w:tcPr>
          <w:p>
            <w:pPr>
              <w:spacing w:after="0" w:line="240" w:lineRule="auto"/>
            </w:pPr>
            <w:r/>
            <w:r>
              <w:rPr>
                <w:rFonts w:ascii="Aptos" w:hAnsi="Aptos"/>
                <w:b w:val="0"/>
                <w:color w:val="1F1F1F"/>
                <w:sz w:val="13"/>
              </w:rPr>
              <w:t>Use external absolute center and test mean-only ablation before any cubic correction.</w:t>
            </w:r>
          </w:p>
        </w:tc>
        <w:tc>
          <w:tcPr>
            <w:tcW w:type="dxa" w:w="2592"/>
            <w:vAlign w:val="top"/>
            <w:tcMar>
              <w:top w:w="60" w:type="dxa"/>
              <w:start w:w="75" w:type="dxa"/>
              <w:bottom w:w="60" w:type="dxa"/>
              <w:end w:w="75" w:type="dxa"/>
            </w:tcMar>
          </w:tcPr>
          <w:p>
            <w:pPr>
              <w:spacing w:after="0" w:line="240" w:lineRule="auto"/>
            </w:pPr>
            <w:r/>
            <w:r>
              <w:rPr>
                <w:rFonts w:ascii="Aptos" w:hAnsi="Aptos"/>
                <w:b w:val="0"/>
                <w:color w:val="1F1F1F"/>
                <w:sz w:val="13"/>
              </w:rPr>
              <w:t>Mean error&lt;0.3%, break-even&lt;0.45%, complete-control tail safe.</w:t>
            </w:r>
          </w:p>
        </w:tc>
        <w:tc>
          <w:tcPr>
            <w:tcW w:type="dxa" w:w="2160"/>
            <w:vAlign w:val="top"/>
            <w:tcMar>
              <w:top w:w="60" w:type="dxa"/>
              <w:start w:w="75" w:type="dxa"/>
              <w:bottom w:w="60" w:type="dxa"/>
              <w:end w:w="75" w:type="dxa"/>
            </w:tcMar>
          </w:tcPr>
          <w:p>
            <w:pPr>
              <w:spacing w:after="0" w:line="240" w:lineRule="auto"/>
            </w:pPr>
            <w:r/>
            <w:r>
              <w:rPr>
                <w:rFonts w:ascii="Aptos" w:hAnsi="Aptos"/>
                <w:b w:val="0"/>
                <w:color w:val="1F1F1F"/>
                <w:sz w:val="13"/>
              </w:rPr>
              <w:t>Predictions from tensor accuracy were wrong; rely on measured final MSE.</w:t>
            </w:r>
          </w:p>
        </w:tc>
      </w:tr>
      <w:tr>
        <w:trPr>
          <w:cantSplit w:val="true"/>
        </w:trPr>
        <w:tc>
          <w:tcPr>
            <w:tcW w:type="dxa" w:w="2304"/>
            <w:shd w:fill="F8FBFD"/>
            <w:vAlign w:val="top"/>
            <w:tcMar>
              <w:top w:w="60" w:type="dxa"/>
              <w:start w:w="75" w:type="dxa"/>
              <w:bottom w:w="60" w:type="dxa"/>
              <w:end w:w="75" w:type="dxa"/>
            </w:tcMar>
          </w:tcPr>
          <w:p>
            <w:pPr>
              <w:spacing w:after="0" w:line="240" w:lineRule="auto"/>
            </w:pPr>
            <w:r/>
            <w:r>
              <w:rPr>
                <w:rFonts w:ascii="Aptos" w:hAnsi="Aptos"/>
                <w:b w:val="0"/>
                <w:color w:val="1F1F1F"/>
                <w:sz w:val="13"/>
              </w:rPr>
              <w:t>Small screens produce large leads vs frozen reversals</w:t>
            </w:r>
          </w:p>
        </w:tc>
        <w:tc>
          <w:tcPr>
            <w:tcW w:type="dxa" w:w="2880"/>
            <w:shd w:fill="F8FBFD"/>
            <w:vAlign w:val="top"/>
            <w:tcMar>
              <w:top w:w="60" w:type="dxa"/>
              <w:start w:w="75" w:type="dxa"/>
              <w:bottom w:w="60" w:type="dxa"/>
              <w:end w:w="75" w:type="dxa"/>
            </w:tcMar>
          </w:tcPr>
          <w:p>
            <w:pPr>
              <w:spacing w:after="0" w:line="240" w:lineRule="auto"/>
            </w:pPr>
            <w:r/>
            <w:r>
              <w:rPr>
                <w:rFonts w:ascii="Aptos" w:hAnsi="Aptos"/>
                <w:b w:val="0"/>
                <w:color w:val="1F1F1F"/>
                <w:sz w:val="13"/>
              </w:rPr>
              <w:t>Network heterogeneity and target noise dominate many sub-5% effects.</w:t>
            </w:r>
          </w:p>
        </w:tc>
        <w:tc>
          <w:tcPr>
            <w:tcW w:type="dxa" w:w="3312"/>
            <w:shd w:fill="F8FBFD"/>
            <w:vAlign w:val="top"/>
            <w:tcMar>
              <w:top w:w="60" w:type="dxa"/>
              <w:start w:w="75" w:type="dxa"/>
              <w:bottom w:w="60" w:type="dxa"/>
              <w:end w:w="75" w:type="dxa"/>
            </w:tcMar>
          </w:tcPr>
          <w:p>
            <w:pPr>
              <w:spacing w:after="0" w:line="240" w:lineRule="auto"/>
            </w:pPr>
            <w:r/>
            <w:r>
              <w:rPr>
                <w:rFonts w:ascii="Aptos" w:hAnsi="Aptos"/>
                <w:b w:val="0"/>
                <w:color w:val="1F1F1F"/>
                <w:sz w:val="13"/>
              </w:rPr>
              <w:t>Immutable 8/24/64+ stages, network bootstrap, reference-noise correction and no holdout reuse.</w:t>
            </w:r>
          </w:p>
        </w:tc>
        <w:tc>
          <w:tcPr>
            <w:tcW w:type="dxa" w:w="2592"/>
            <w:shd w:fill="F8FBFD"/>
            <w:vAlign w:val="top"/>
            <w:tcMar>
              <w:top w:w="60" w:type="dxa"/>
              <w:start w:w="75" w:type="dxa"/>
              <w:bottom w:w="60" w:type="dxa"/>
              <w:end w:w="75" w:type="dxa"/>
            </w:tcMar>
          </w:tcPr>
          <w:p>
            <w:pPr>
              <w:spacing w:after="0" w:line="240" w:lineRule="auto"/>
            </w:pPr>
            <w:r/>
            <w:r>
              <w:rPr>
                <w:rFonts w:ascii="Aptos" w:hAnsi="Aptos"/>
                <w:b w:val="0"/>
                <w:color w:val="1F1F1F"/>
                <w:sz w:val="13"/>
              </w:rPr>
              <w:t>Major path&gt;=1.3x screen; cheap additive&gt;=5% adjusted with CI and tail gates.</w:t>
            </w:r>
          </w:p>
        </w:tc>
        <w:tc>
          <w:tcPr>
            <w:tcW w:type="dxa" w:w="2160"/>
            <w:shd w:fill="F8FBFD"/>
            <w:vAlign w:val="top"/>
            <w:tcMar>
              <w:top w:w="60" w:type="dxa"/>
              <w:start w:w="75" w:type="dxa"/>
              <w:bottom w:w="60" w:type="dxa"/>
              <w:end w:w="75" w:type="dxa"/>
            </w:tcMar>
          </w:tcPr>
          <w:p>
            <w:pPr>
              <w:spacing w:after="0" w:line="240" w:lineRule="auto"/>
            </w:pPr>
            <w:r/>
            <w:r>
              <w:rPr>
                <w:rFonts w:ascii="Aptos" w:hAnsi="Aptos"/>
                <w:b w:val="0"/>
                <w:color w:val="1F1F1F"/>
                <w:sz w:val="13"/>
              </w:rPr>
              <w:t>Small synthetic evidence can kill exact code paths but should not close broad classes.</w:t>
            </w:r>
          </w:p>
        </w:tc>
      </w:tr>
      <w:tr>
        <w:tc>
          <w:tcPr>
            <w:tcW w:type="dxa" w:w="2045"/>
          </w:tcPr>
          <w:p>
            <w:r>
              <w:t>Coordinate support stable across rotations vs captured benefit changes by 14–15 points</w:t>
            </w:r>
          </w:p>
        </w:tc>
        <w:tc>
          <w:tcPr>
            <w:tcW w:type="dxa" w:w="2045"/>
          </w:tcPr>
          <w:p>
            <w:r>
              <w:t>The neurons are downstream-important, but a fixed coordinate set is not a rotation-invariant representation of the cubature defect.</w:t>
            </w:r>
          </w:p>
        </w:tc>
        <w:tc>
          <w:tcPr>
            <w:tcW w:type="dxa" w:w="2045"/>
          </w:tcPr>
          <w:p>
            <w:r>
              <w:t>Test only rotation-aware low-rank modes, basis-conditioned coefficients, or a direct-output target.</w:t>
            </w:r>
          </w:p>
        </w:tc>
        <w:tc>
          <w:tcPr>
            <w:tcW w:type="dxa" w:w="2045"/>
          </w:tcPr>
          <w:p>
            <w:r>
              <w:t>Exact-amplitude oracle must capture &gt;=50% on every allowed rotation before amplitude work.</w:t>
            </w:r>
          </w:p>
        </w:tc>
        <w:tc>
          <w:tcPr>
            <w:tcW w:type="dxa" w:w="2045"/>
          </w:tcPr>
          <w:p>
            <w:r>
              <w:t>N=8 closes the four tested selectors, not every possible rotation-aware layer-31 model.</w:t>
            </w:r>
          </w:p>
        </w:tc>
      </w:tr>
    </w:tbl>
    <w:p>
      <w:pPr>
        <w:spacing w:after="20"/>
      </w:pPr>
    </w:p>
    <w:p>
      <w:pPr>
        <w:pStyle w:val="Heading1"/>
      </w:pPr>
      <w:r>
        <w:t>7. Canonical next experiments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936"/>
            <w:shd w:fill="17365D"/>
            <w:vAlign w:val="top"/>
            <w:tcMar>
              <w:top w:w="60" w:type="dxa"/>
              <w:start w:w="75" w:type="dxa"/>
              <w:bottom w:w="60" w:type="dxa"/>
              <w:end w:w="75" w:type="dxa"/>
            </w:tcMar>
          </w:tcPr>
          <w:p>
            <w:r>
              <w:t>Priority</w:t>
            </w:r>
          </w:p>
        </w:tc>
        <w:tc>
          <w:tcPr>
            <w:tcW w:type="dxa" w:w="3240"/>
            <w:shd w:fill="17365D"/>
            <w:vAlign w:val="top"/>
            <w:tcMar>
              <w:top w:w="60" w:type="dxa"/>
              <w:start w:w="75" w:type="dxa"/>
              <w:bottom w:w="60" w:type="dxa"/>
              <w:end w:w="75" w:type="dxa"/>
            </w:tcMar>
          </w:tcPr>
          <w:p>
            <w:r>
              <w:t>Experiment</w:t>
            </w:r>
          </w:p>
        </w:tc>
        <w:tc>
          <w:tcPr>
            <w:tcW w:type="dxa" w:w="4032"/>
            <w:shd w:fill="17365D"/>
            <w:vAlign w:val="top"/>
            <w:tcMar>
              <w:top w:w="60" w:type="dxa"/>
              <w:start w:w="75" w:type="dxa"/>
              <w:bottom w:w="60" w:type="dxa"/>
              <w:end w:w="75" w:type="dxa"/>
            </w:tcMar>
          </w:tcPr>
          <w:p>
            <w:r>
              <w:t>Precondition</w:t>
            </w:r>
          </w:p>
        </w:tc>
        <w:tc>
          <w:tcPr>
            <w:tcW w:type="dxa" w:w="3888"/>
            <w:shd w:fill="17365D"/>
            <w:vAlign w:val="top"/>
            <w:tcMar>
              <w:top w:w="60" w:type="dxa"/>
              <w:start w:w="75" w:type="dxa"/>
              <w:bottom w:w="60" w:type="dxa"/>
              <w:end w:w="75" w:type="dxa"/>
            </w:tcMar>
          </w:tcPr>
          <w:p>
            <w:r>
              <w:t>Gate</w:t>
            </w:r>
          </w:p>
        </w:tc>
      </w:tr>
      <w:tr>
        <w:trPr>
          <w:cantSplit w:val="true"/>
        </w:trPr>
        <w:tc>
          <w:tcPr>
            <w:tcW w:type="dxa" w:w="936"/>
            <w:vAlign w:val="top"/>
            <w:tcMar>
              <w:top w:w="60" w:type="dxa"/>
              <w:start w:w="75" w:type="dxa"/>
              <w:bottom w:w="60" w:type="dxa"/>
              <w:end w:w="75" w:type="dxa"/>
            </w:tcMar>
          </w:tcPr>
          <w:p>
            <w:r>
              <w:t>1</w:t>
            </w:r>
          </w:p>
        </w:tc>
        <w:tc>
          <w:tcPr>
            <w:tcW w:type="dxa" w:w="3240"/>
            <w:vAlign w:val="top"/>
            <w:tcMar>
              <w:top w:w="60" w:type="dxa"/>
              <w:start w:w="75" w:type="dxa"/>
              <w:bottom w:w="60" w:type="dxa"/>
              <w:end w:w="75" w:type="dxa"/>
            </w:tcMar>
          </w:tcPr>
          <w:p>
            <w:r>
              <w:t>Integrated compiler measurement</w:t>
            </w:r>
          </w:p>
        </w:tc>
        <w:tc>
          <w:tcPr>
            <w:tcW w:type="dxa" w:w="4032"/>
            <w:vAlign w:val="top"/>
            <w:tcMar>
              <w:top w:w="60" w:type="dxa"/>
              <w:start w:w="75" w:type="dxa"/>
              <w:bottom w:w="60" w:type="dxa"/>
              <w:end w:w="75" w:type="dxa"/>
            </w:tcMar>
          </w:tcPr>
          <w:p>
            <w:r>
              <w:t>Current partial-tree baseline and exact fixed3/adaptive implementations</w:t>
            </w:r>
          </w:p>
        </w:tc>
        <w:tc>
          <w:tcPr>
            <w:tcW w:type="dxa" w:w="3888"/>
            <w:vAlign w:val="top"/>
            <w:tcMar>
              <w:top w:w="60" w:type="dxa"/>
              <w:start w:w="75" w:type="dxa"/>
              <w:bottom w:w="60" w:type="dxa"/>
              <w:end w:w="75" w:type="dxa"/>
            </w:tcMar>
          </w:tcPr>
          <w:p>
            <w:r>
              <w:t>Measured adjusted improvement; no runtime or prediction regression</w:t>
            </w:r>
          </w:p>
        </w:tc>
      </w:tr>
      <w:tr>
        <w:trPr>
          <w:cantSplit w:val="true"/>
        </w:trPr>
        <w:tc>
          <w:tcPr>
            <w:tcW w:type="dxa" w:w="936"/>
            <w:shd w:fill="F8FBFD"/>
            <w:vAlign w:val="top"/>
            <w:tcMar>
              <w:top w:w="60" w:type="dxa"/>
              <w:start w:w="75" w:type="dxa"/>
              <w:bottom w:w="60" w:type="dxa"/>
              <w:end w:w="75" w:type="dxa"/>
            </w:tcMar>
          </w:tcPr>
          <w:p>
            <w:r>
              <w:t>2</w:t>
            </w:r>
          </w:p>
        </w:tc>
        <w:tc>
          <w:tcPr>
            <w:tcW w:type="dxa" w:w="3240"/>
            <w:shd w:fill="F8FBFD"/>
            <w:vAlign w:val="top"/>
            <w:tcMar>
              <w:top w:w="60" w:type="dxa"/>
              <w:start w:w="75" w:type="dxa"/>
              <w:bottom w:w="60" w:type="dxa"/>
              <w:end w:w="75" w:type="dxa"/>
            </w:tcMar>
          </w:tcPr>
          <w:p>
            <w:r>
              <w:t>Frozen direct-output sparse exact-anchor validation</w:t>
            </w:r>
          </w:p>
        </w:tc>
        <w:tc>
          <w:tcPr>
            <w:tcW w:type="dxa" w:w="4032"/>
            <w:shd w:fill="F8FBFD"/>
            <w:vAlign w:val="top"/>
            <w:tcMar>
              <w:top w:w="60" w:type="dxa"/>
              <w:start w:w="75" w:type="dxa"/>
              <w:bottom w:w="60" w:type="dxa"/>
              <w:end w:w="75" w:type="dxa"/>
            </w:tcMar>
          </w:tcPr>
          <w:p>
            <w:r>
              <w:t>Recover and hash layer, probes, folds, regularization and shrinkage; new immutable network block</w:t>
            </w:r>
          </w:p>
        </w:tc>
        <w:tc>
          <w:tcPr>
            <w:tcW w:type="dxa" w:w="3888"/>
            <w:shd w:fill="F8FBFD"/>
            <w:vAlign w:val="top"/>
            <w:tcMar>
              <w:top w:w="60" w:type="dxa"/>
              <w:start w:w="75" w:type="dxa"/>
              <w:bottom w:w="60" w:type="dxa"/>
              <w:end w:w="75" w:type="dxa"/>
            </w:tcMar>
          </w:tcPr>
          <w:p>
            <w:r>
              <w:t>Candidate/base &lt;=0.50, preferred &lt;=0.30; CI, wins, worst and reference-noise audit</w:t>
            </w:r>
          </w:p>
        </w:tc>
      </w:tr>
      <w:tr>
        <w:trPr>
          <w:cantSplit w:val="true"/>
        </w:trPr>
        <w:tc>
          <w:tcPr>
            <w:tcW w:type="dxa" w:w="936"/>
            <w:vAlign w:val="top"/>
            <w:tcMar>
              <w:top w:w="60" w:type="dxa"/>
              <w:start w:w="75" w:type="dxa"/>
              <w:bottom w:w="60" w:type="dxa"/>
              <w:end w:w="75" w:type="dxa"/>
            </w:tcMar>
          </w:tcPr>
          <w:p>
            <w:r>
              <w:t>3</w:t>
            </w:r>
          </w:p>
        </w:tc>
        <w:tc>
          <w:tcPr>
            <w:tcW w:type="dxa" w:w="3240"/>
            <w:vAlign w:val="top"/>
            <w:tcMar>
              <w:top w:w="60" w:type="dxa"/>
              <w:start w:w="75" w:type="dxa"/>
              <w:bottom w:w="60" w:type="dxa"/>
              <w:end w:w="75" w:type="dxa"/>
            </w:tcMar>
          </w:tcPr>
          <w:p>
            <w:r>
              <w:t>Archive target-free fixed-coordinate layer-31 support</w:t>
            </w:r>
          </w:p>
        </w:tc>
        <w:tc>
          <w:tcPr>
            <w:tcW w:type="dxa" w:w="4032"/>
            <w:vAlign w:val="top"/>
            <w:tcMar>
              <w:top w:w="60" w:type="dxa"/>
              <w:start w:w="75" w:type="dxa"/>
              <w:bottom w:w="60" w:type="dxa"/>
              <w:end w:w="75" w:type="dxa"/>
            </w:tcMar>
          </w:tcPr>
          <w:p>
            <w:r>
              <w:t>Two-rotation exact-amplitude audit completed; Stage B correctly skipped</w:t>
            </w:r>
          </w:p>
        </w:tc>
        <w:tc>
          <w:tcPr>
            <w:tcW w:type="dxa" w:w="3888"/>
            <w:vAlign w:val="top"/>
            <w:tcMar>
              <w:top w:w="60" w:type="dxa"/>
              <w:start w:w="75" w:type="dxa"/>
              <w:bottom w:w="60" w:type="dxa"/>
              <w:end w:w="75" w:type="dxa"/>
            </w:tcMar>
          </w:tcPr>
          <w:p>
            <w:r>
              <w:t>Reopen only for a rotation-aware rank&lt;=16 or K&lt;=32 representation capturing &gt;=50% on every rotation</w:t>
            </w:r>
          </w:p>
        </w:tc>
      </w:tr>
      <w:tr>
        <w:trPr>
          <w:cantSplit w:val="true"/>
        </w:trPr>
        <w:tc>
          <w:tcPr>
            <w:tcW w:type="dxa" w:w="936"/>
            <w:shd w:fill="F8FBFD"/>
            <w:vAlign w:val="top"/>
            <w:tcMar>
              <w:top w:w="60" w:type="dxa"/>
              <w:start w:w="75" w:type="dxa"/>
              <w:bottom w:w="60" w:type="dxa"/>
              <w:end w:w="75" w:type="dxa"/>
            </w:tcMar>
          </w:tcPr>
          <w:p>
            <w:r>
              <w:t>4</w:t>
            </w:r>
          </w:p>
        </w:tc>
        <w:tc>
          <w:tcPr>
            <w:tcW w:type="dxa" w:w="3240"/>
            <w:shd w:fill="F8FBFD"/>
            <w:vAlign w:val="top"/>
            <w:tcMar>
              <w:top w:w="60" w:type="dxa"/>
              <w:start w:w="75" w:type="dxa"/>
              <w:bottom w:w="60" w:type="dxa"/>
              <w:end w:w="75" w:type="dxa"/>
            </w:tcMar>
          </w:tcPr>
          <w:p>
            <w:r>
              <w:t>Bounded width-256 rotation-aware learned anchor</w:t>
            </w:r>
          </w:p>
        </w:tc>
        <w:tc>
          <w:tcPr>
            <w:tcW w:type="dxa" w:w="4032"/>
            <w:shd w:fill="F8FBFD"/>
            <w:vAlign w:val="top"/>
            <w:tcMar>
              <w:top w:w="60" w:type="dxa"/>
              <w:start w:w="75" w:type="dxa"/>
              <w:bottom w:w="60" w:type="dxa"/>
              <w:end w:w="75" w:type="dxa"/>
            </w:tcMar>
          </w:tcPr>
          <w:p>
            <w:r>
              <w:t>Direct sparse probes frozen; grouped network splits; no fixed-coordinate target</w:t>
            </w:r>
          </w:p>
        </w:tc>
        <w:tc>
          <w:tcPr>
            <w:tcW w:type="dxa" w:w="3888"/>
            <w:shd w:fill="F8FBFD"/>
            <w:vAlign w:val="top"/>
            <w:tcMar>
              <w:top w:w="60" w:type="dxa"/>
              <w:start w:w="75" w:type="dxa"/>
              <w:bottom w:w="60" w:type="dxa"/>
              <w:end w:w="75" w:type="dxa"/>
            </w:tcMar>
          </w:tcPr>
          <w:p>
            <w:r>
              <w:t>Replay gain &gt;=1.10; lower CI &gt;=1.05; worst &lt;=1.25; adjusted score positive</w:t>
            </w:r>
          </w:p>
        </w:tc>
      </w:tr>
      <w:tr>
        <w:trPr>
          <w:cantSplit w:val="true"/>
        </w:trPr>
        <w:tc>
          <w:tcPr>
            <w:tcW w:type="dxa" w:w="936"/>
            <w:vAlign w:val="top"/>
            <w:tcMar>
              <w:top w:w="60" w:type="dxa"/>
              <w:start w:w="75" w:type="dxa"/>
              <w:bottom w:w="60" w:type="dxa"/>
              <w:end w:w="75" w:type="dxa"/>
            </w:tcMar>
          </w:tcPr>
          <w:p>
            <w:r>
              <w:t>5</w:t>
            </w:r>
          </w:p>
        </w:tc>
        <w:tc>
          <w:tcPr>
            <w:tcW w:type="dxa" w:w="3240"/>
            <w:vAlign w:val="top"/>
            <w:tcMar>
              <w:top w:w="60" w:type="dxa"/>
              <w:start w:w="75" w:type="dxa"/>
              <w:bottom w:w="60" w:type="dxa"/>
              <w:end w:w="75" w:type="dxa"/>
            </w:tcMar>
          </w:tcPr>
          <w:p>
            <w:r>
              <w:t>Fundamentally new absolute joint checkpoint</w:t>
            </w:r>
          </w:p>
        </w:tc>
        <w:tc>
          <w:tcPr>
            <w:tcW w:type="dxa" w:w="4032"/>
            <w:vAlign w:val="top"/>
            <w:tcMar>
              <w:top w:w="60" w:type="dxa"/>
              <w:start w:w="75" w:type="dxa"/>
              <w:bottom w:w="60" w:type="dxa"/>
              <w:end w:w="75" w:type="dxa"/>
            </w:tcMar>
          </w:tcPr>
          <w:p>
            <w:r>
              <w:t>A new analytic or learned state estimator with a pre-run cancellation-error argument</w:t>
            </w:r>
          </w:p>
        </w:tc>
        <w:tc>
          <w:tcPr>
            <w:tcW w:type="dxa" w:w="3888"/>
            <w:vAlign w:val="top"/>
            <w:tcMar>
              <w:top w:w="60" w:type="dxa"/>
              <w:start w:w="75" w:type="dxa"/>
              <w:bottom w:w="60" w:type="dxa"/>
              <w:end w:w="75" w:type="dxa"/>
            </w:tcMar>
          </w:tcPr>
          <w:p>
            <w:r>
              <w:t>Projected complete candidate/base &lt;=0.4568 below 14B before implementation</w:t>
            </w:r>
          </w:p>
        </w:tc>
      </w:tr>
      <w:tr>
        <w:trPr>
          <w:cantSplit w:val="true"/>
        </w:trPr>
        <w:tc>
          <w:tcPr>
            <w:tcW w:type="dxa" w:w="936"/>
            <w:shd w:fill="F8FBFD"/>
            <w:vAlign w:val="top"/>
            <w:tcMar>
              <w:top w:w="60" w:type="dxa"/>
              <w:start w:w="75" w:type="dxa"/>
              <w:bottom w:w="60" w:type="dxa"/>
              <w:end w:w="75" w:type="dxa"/>
            </w:tcMar>
          </w:tcPr>
          <w:p>
            <w:r>
              <w:t>6</w:t>
            </w:r>
          </w:p>
        </w:tc>
        <w:tc>
          <w:tcPr>
            <w:tcW w:type="dxa" w:w="3240"/>
            <w:shd w:fill="F8FBFD"/>
            <w:vAlign w:val="top"/>
            <w:tcMar>
              <w:top w:w="60" w:type="dxa"/>
              <w:start w:w="75" w:type="dxa"/>
              <w:bottom w:w="60" w:type="dxa"/>
              <w:end w:w="75" w:type="dxa"/>
            </w:tcMar>
          </w:tcPr>
          <w:p>
            <w:r>
              <w:t>Non-marginal shared-arithmetic phase statistic</w:t>
            </w:r>
          </w:p>
        </w:tc>
        <w:tc>
          <w:tcPr>
            <w:tcW w:type="dxa" w:w="4032"/>
            <w:shd w:fill="F8FBFD"/>
            <w:vAlign w:val="top"/>
            <w:tcMar>
              <w:top w:w="60" w:type="dxa"/>
              <w:start w:w="75" w:type="dxa"/>
              <w:bottom w:w="60" w:type="dxa"/>
              <w:end w:w="75" w:type="dxa"/>
            </w:tcMar>
          </w:tcPr>
          <w:p>
            <w:r>
              <w:t>Already available from existing cross-output or adjoint-weighted intermediates</w:t>
            </w:r>
          </w:p>
        </w:tc>
        <w:tc>
          <w:tcPr>
            <w:tcW w:type="dxa" w:w="3888"/>
            <w:shd w:fill="F8FBFD"/>
            <w:vAlign w:val="top"/>
            <w:tcMar>
              <w:top w:w="60" w:type="dxa"/>
              <w:start w:w="75" w:type="dxa"/>
              <w:bottom w:w="60" w:type="dxa"/>
              <w:end w:w="75" w:type="dxa"/>
            </w:tcMar>
          </w:tcPr>
          <w:p>
            <w:r>
              <w:t>True incremental compute &lt;=1%; N&gt;=50; adjusted upper CI &lt;1; worst &lt;=1.10</w:t>
            </w:r>
          </w:p>
        </w:tc>
      </w:tr>
      <w:tr>
        <w:trPr>
          <w:cantSplit w:val="true"/>
        </w:trPr>
        <w:tc>
          <w:tcPr>
            <w:tcW w:type="dxa" w:w="936"/>
            <w:vAlign w:val="top"/>
            <w:tcMar>
              <w:top w:w="60" w:type="dxa"/>
              <w:start w:w="75" w:type="dxa"/>
              <w:bottom w:w="60" w:type="dxa"/>
              <w:end w:w="75" w:type="dxa"/>
            </w:tcMar>
          </w:tcPr>
          <w:p>
            <w:r>
              <w:t>7</w:t>
            </w:r>
          </w:p>
        </w:tc>
        <w:tc>
          <w:tcPr>
            <w:tcW w:type="dxa" w:w="3240"/>
            <w:vAlign w:val="top"/>
            <w:tcMar>
              <w:top w:w="60" w:type="dxa"/>
              <w:start w:w="75" w:type="dxa"/>
              <w:bottom w:w="60" w:type="dxa"/>
              <w:end w:w="75" w:type="dxa"/>
            </w:tcMar>
          </w:tcPr>
          <w:p>
            <w:r>
              <w:t>New immutable validation and holdout blocks</w:t>
            </w:r>
          </w:p>
        </w:tc>
        <w:tc>
          <w:tcPr>
            <w:tcW w:type="dxa" w:w="4032"/>
            <w:vAlign w:val="top"/>
            <w:tcMar>
              <w:top w:w="60" w:type="dxa"/>
              <w:start w:w="75" w:type="dxa"/>
              <w:bottom w:w="60" w:type="dxa"/>
              <w:end w:w="75" w:type="dxa"/>
            </w:tcMar>
          </w:tcPr>
          <w:p>
            <w:r>
              <w:t>No use of IDs 0–199; machine-checkable manifests</w:t>
            </w:r>
          </w:p>
        </w:tc>
        <w:tc>
          <w:tcPr>
            <w:tcW w:type="dxa" w:w="3888"/>
            <w:vAlign w:val="top"/>
            <w:tcMar>
              <w:top w:w="60" w:type="dxa"/>
              <w:start w:w="75" w:type="dxa"/>
              <w:bottom w:w="60" w:type="dxa"/>
              <w:end w:w="75" w:type="dxa"/>
            </w:tcMar>
          </w:tcPr>
          <w:p>
            <w:r>
              <w:t>Every future claim records environment, width, geometry, N, IDs, target quality and ratio convention</w:t>
            </w:r>
          </w:p>
        </w:tc>
      </w:tr>
      <w:tr>
        <w:trPr>
          <w:cantSplit w:val="true"/>
        </w:trPr>
        <w:tc>
          <w:tcPr>
            <w:tcW w:type="dxa" w:w="936"/>
            <w:shd w:fill="F8FBFD"/>
            <w:vAlign w:val="top"/>
            <w:tcMar>
              <w:top w:w="60" w:type="dxa"/>
              <w:start w:w="75" w:type="dxa"/>
              <w:bottom w:w="60" w:type="dxa"/>
              <w:end w:w="75" w:type="dxa"/>
            </w:tcMar>
          </w:tcPr>
          <w:p>
            <w:r>
              <w:t>8</w:t>
            </w:r>
          </w:p>
        </w:tc>
        <w:tc>
          <w:tcPr>
            <w:tcW w:type="dxa" w:w="3240"/>
            <w:shd w:fill="F8FBFD"/>
            <w:vAlign w:val="top"/>
            <w:tcMar>
              <w:top w:w="60" w:type="dxa"/>
              <w:start w:w="75" w:type="dxa"/>
              <w:bottom w:w="60" w:type="dxa"/>
              <w:end w:w="75" w:type="dxa"/>
            </w:tcMar>
          </w:tcPr>
          <w:p>
            <w:r>
              <w:t>Network-specific coreset</w:t>
            </w:r>
          </w:p>
        </w:tc>
        <w:tc>
          <w:tcPr>
            <w:tcW w:type="dxa" w:w="4032"/>
            <w:shd w:fill="F8FBFD"/>
            <w:vAlign w:val="top"/>
            <w:tcMar>
              <w:top w:w="60" w:type="dxa"/>
              <w:start w:w="75" w:type="dxa"/>
              <w:bottom w:w="60" w:type="dxa"/>
              <w:end w:w="75" w:type="dxa"/>
            </w:tcMar>
          </w:tcPr>
          <w:p>
            <w:r>
              <w:t>Dormant unless a set-level scorer arises naturally from another branch</w:t>
            </w:r>
          </w:p>
        </w:tc>
        <w:tc>
          <w:tcPr>
            <w:tcW w:type="dxa" w:w="3888"/>
            <w:shd w:fill="F8FBFD"/>
            <w:vAlign w:val="top"/>
            <w:tcMar>
              <w:top w:w="60" w:type="dxa"/>
              <w:start w:w="75" w:type="dxa"/>
              <w:bottom w:w="60" w:type="dxa"/>
              <w:end w:w="75" w:type="dxa"/>
            </w:tcMar>
          </w:tcPr>
          <w:p>
            <w:r>
              <w:t>Same-support oracle added MSE &lt;=1.1e-8 before any optimizer</w:t>
            </w:r>
          </w:p>
        </w:tc>
      </w:tr>
      <w:tr>
        <w:trPr>
          <w:cantSplit w:val="true"/>
        </w:trPr>
        <w:tc>
          <w:tcPr>
            <w:tcW w:type="dxa" w:w="936"/>
            <w:vAlign w:val="top"/>
            <w:tcMar>
              <w:top w:w="60" w:type="dxa"/>
              <w:start w:w="75" w:type="dxa"/>
              <w:bottom w:w="60" w:type="dxa"/>
              <w:end w:w="75" w:type="dxa"/>
            </w:tcMar>
          </w:tcPr>
          <w:p>
            <w:r>
              <w:t>9</w:t>
            </w:r>
          </w:p>
        </w:tc>
        <w:tc>
          <w:tcPr>
            <w:tcW w:type="dxa" w:w="3240"/>
            <w:vAlign w:val="top"/>
            <w:tcMar>
              <w:top w:w="60" w:type="dxa"/>
              <w:start w:w="75" w:type="dxa"/>
              <w:bottom w:w="60" w:type="dxa"/>
              <w:end w:w="75" w:type="dxa"/>
            </w:tcMar>
          </w:tcPr>
          <w:p>
            <w:r>
              <w:t>No additional recurrence, marginal-flux, pilot or layer-31 radial-Hermite tuning</w:t>
            </w:r>
          </w:p>
        </w:tc>
        <w:tc>
          <w:tcPr>
            <w:tcW w:type="dxa" w:w="4032"/>
            <w:vAlign w:val="top"/>
            <w:tcMar>
              <w:top w:w="60" w:type="dxa"/>
              <w:start w:w="75" w:type="dxa"/>
              <w:bottom w:w="60" w:type="dxa"/>
              <w:end w:w="75" w:type="dxa"/>
            </w:tcMar>
          </w:tcPr>
          <w:p>
            <w:r>
              <w:t>Current exact forms have completed frozen gates</w:t>
            </w:r>
          </w:p>
        </w:tc>
        <w:tc>
          <w:tcPr>
            <w:tcW w:type="dxa" w:w="3888"/>
            <w:vAlign w:val="top"/>
            <w:tcMar>
              <w:top w:w="60" w:type="dxa"/>
              <w:start w:w="75" w:type="dxa"/>
              <w:bottom w:w="60" w:type="dxa"/>
              <w:end w:w="75" w:type="dxa"/>
            </w:tcMar>
          </w:tcPr>
          <w:p>
            <w:r>
              <w:t>Reopen only on a qualitatively different mechanism, not a new parameter sweep</w:t>
            </w:r>
          </w:p>
        </w:tc>
      </w:tr>
    </w:tbl>
    <w:p>
      <w:pPr>
        <w:spacing w:after="20"/>
      </w:pPr>
    </w:p>
    <w:p>
      <w:pPr>
        <w:pStyle w:val="Heading2"/>
      </w:pPr>
      <w:r>
        <w:t>What not to spend time on</w:t>
      </w:r>
    </w:p>
    <w:p>
      <w:pPr>
        <w:pStyle w:val="ListBullet"/>
        <w:spacing w:after="40"/>
      </w:pPr>
      <w:r>
        <w:rPr>
          <w:rFonts w:ascii="Aptos" w:hAnsi="Aptos"/>
          <w:sz w:val="19"/>
        </w:rPr>
        <w:t>Larger orthant solvers, more explicit uncertain gates, or deeper activation-region enumeration.</w:t>
      </w:r>
    </w:p>
    <w:p>
      <w:pPr>
        <w:pStyle w:val="ListBullet"/>
        <w:spacing w:after="40"/>
      </w:pPr>
      <w:r>
        <w:rPr>
          <w:rFonts w:ascii="Aptos" w:hAnsi="Aptos"/>
          <w:sz w:val="19"/>
        </w:rPr>
        <w:t>More stable-gate MLMC allocation over partial Kerdock bases.</w:t>
      </w:r>
    </w:p>
    <w:p>
      <w:pPr>
        <w:pStyle w:val="ListBullet"/>
        <w:spacing w:after="40"/>
      </w:pPr>
      <w:r>
        <w:rPr>
          <w:rFonts w:ascii="Aptos" w:hAnsi="Aptos"/>
          <w:sz w:val="19"/>
        </w:rPr>
        <w:t>More q sweeps, exchange rounds, signed-weight sweeps, or pilot output metrics for the tested K2 coreset.</w:t>
      </w:r>
    </w:p>
    <w:p>
      <w:pPr>
        <w:pStyle w:val="ListBullet"/>
        <w:spacing w:after="40"/>
      </w:pPr>
      <w:r>
        <w:rPr>
          <w:rFonts w:ascii="Aptos" w:hAnsi="Aptos"/>
          <w:sz w:val="19"/>
        </w:rPr>
        <w:t>More same-cloud Edgeworth, delete-fold, or internal-subdesign anchors.</w:t>
      </w:r>
    </w:p>
    <w:p>
      <w:pPr>
        <w:pStyle w:val="ListBullet"/>
        <w:spacing w:after="40"/>
      </w:pPr>
      <w:r>
        <w:rPr>
          <w:rFonts w:ascii="Aptos" w:hAnsi="Aptos"/>
          <w:sz w:val="19"/>
        </w:rPr>
        <w:t>More ordinary independent trajectories for layer-31 sign estimation unless arithmetic is shared.</w:t>
      </w:r>
    </w:p>
    <w:p>
      <w:pPr>
        <w:pStyle w:val="ListBullet"/>
        <w:spacing w:after="40"/>
      </w:pPr>
      <w:r>
        <w:rPr>
          <w:rFonts w:ascii="Aptos" w:hAnsi="Aptos"/>
          <w:sz w:val="19"/>
        </w:rPr>
        <w:t>Standalone degree-6/harmonic regressions or broad reduced-width weight models.</w:t>
      </w:r>
    </w:p>
    <w:p>
      <w:pPr>
        <w:pStyle w:val="ListBullet"/>
        <w:spacing w:after="40"/>
      </w:pPr>
      <w:r>
        <w:rPr>
          <w:rFonts w:ascii="Aptos" w:hAnsi="Aptos"/>
          <w:sz w:val="19"/>
        </w:rPr>
        <w:t>Any new statistical claim using IDs 0–199 or a previously opened branch holdout.</w:t>
      </w:r>
    </w:p>
    <w:p>
      <w:pPr>
        <w:pStyle w:val="Heading1"/>
      </w:pPr>
      <w:r>
        <w:t>8. Post-reconciliation closures and where they leave the program</w:t>
      </w:r>
    </w:p>
    <w:p>
      <w:r>
        <w:t>The newest gate closes the target-free sparse-coordinate lane. Basis-PCA and sparse-Hermite selectors selected nearly the same coordinates across two complete-design rotations, but their captured oracle benefit dropped by roughly 14–15 percentage points and failed the 50%-on-every-rotation gate. Stage B amplitude sources were correctly not run.</w:t>
      </w:r>
    </w:p>
    <w:p>
      <w:r>
        <w:t>This changes the interpretation of layer-31 sparsity. Sparse coordinates prove concentration in a chosen phase, but they are not a rotation-invariant sufficient representation of the deterministic cubature defect. The layer-31 oracle remains winning-scale mechanism evidence; fixed-coordinate deployment is now closed for the tested selector families.</w:t>
      </w:r>
    </w:p>
    <w:p>
      <w:r>
        <w:t>The active portfolio now contains one shipping task and two bounded scientific decisions: measure the compiler, validate the direct final-output sparse exact-anchor construction on fresh networks, and then run at most one width-256 rotation-aware learned-anchor experiment. Everything else is dormant or archived unless a fundamentally new exact identity or absolute state estimator appears.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pPr>
              <w:spacing w:after="40"/>
            </w:pPr>
            <w:r>
              <w:rPr>
                <w:b/>
                <w:sz w:val="17"/>
                <w:color w:val="FFFFFF"/>
              </w:rPr>
              <w:t>New result</w:t>
            </w:r>
          </w:p>
        </w:tc>
        <w:tc>
          <w:tcPr>
            <w:tcW w:type="dxa" w:w="2556"/>
            <w:vAlign w:val="center"/>
            <w:shd w:fill="1F4E78"/>
          </w:tcPr>
          <w:p>
            <w:pPr>
              <w:spacing w:after="40"/>
            </w:pPr>
            <w:r>
              <w:rPr>
                <w:b/>
                <w:sz w:val="17"/>
                <w:color w:val="FFFFFF"/>
              </w:rPr>
              <w:t>Frozen evidence</w:t>
            </w:r>
          </w:p>
        </w:tc>
        <w:tc>
          <w:tcPr>
            <w:tcW w:type="dxa" w:w="2556"/>
            <w:vAlign w:val="center"/>
            <w:shd w:fill="1F4E78"/>
          </w:tcPr>
          <w:p>
            <w:pPr>
              <w:spacing w:after="40"/>
            </w:pPr>
            <w:r>
              <w:rPr>
                <w:b/>
                <w:sz w:val="17"/>
                <w:color w:val="FFFFFF"/>
              </w:rPr>
              <w:t>Canonical status</w:t>
            </w:r>
          </w:p>
        </w:tc>
        <w:tc>
          <w:tcPr>
            <w:tcW w:type="dxa" w:w="2556"/>
            <w:vAlign w:val="center"/>
            <w:shd w:fill="1F4E78"/>
          </w:tcPr>
          <w:p>
            <w:pPr>
              <w:spacing w:after="40"/>
            </w:pPr>
            <w:r>
              <w:rPr>
                <w:b/>
                <w:sz w:val="17"/>
                <w:color w:val="FFFFFF"/>
              </w:rPr>
              <w:t>Strategic implication</w:t>
            </w:r>
          </w:p>
        </w:tc>
      </w:tr>
      <w:tr>
        <w:tc>
          <w:tcPr>
            <w:tcW w:type="dxa" w:w="2556"/>
            <w:vAlign w:val="center"/>
          </w:tcPr>
          <w:p>
            <w:pPr>
              <w:spacing w:after="40"/>
            </w:pPr>
            <w:r>
              <w:rPr>
                <w:sz w:val="17"/>
              </w:rPr>
              <w:t>Final-gate Stein flux</w:t>
            </w:r>
          </w:p>
        </w:tc>
        <w:tc>
          <w:tcPr>
            <w:tcW w:type="dxa" w:w="2556"/>
            <w:vAlign w:val="center"/>
          </w:tcPr>
          <w:p>
            <w:pPr>
              <w:spacing w:after="40"/>
            </w:pPr>
            <w:r>
              <w:rPr>
                <w:sz w:val="17"/>
              </w:rPr>
              <w:t>N=50; raw gain 1.002085x, adjusted gain 0.986599x; corr 0.0586; 29/50</w:t>
            </w:r>
          </w:p>
        </w:tc>
        <w:tc>
          <w:tcPr>
            <w:tcW w:type="dxa" w:w="2556"/>
            <w:vAlign w:val="center"/>
          </w:tcPr>
          <w:p>
            <w:pPr>
              <w:spacing w:after="40"/>
            </w:pPr>
            <w:r>
              <w:rPr>
                <w:sz w:val="17"/>
              </w:rPr>
              <w:t>Closed tested marginal phase statistic</w:t>
            </w:r>
          </w:p>
        </w:tc>
        <w:tc>
          <w:tcPr>
            <w:tcW w:type="dxa" w:w="2556"/>
            <w:vAlign w:val="center"/>
          </w:tcPr>
          <w:p>
            <w:pPr>
              <w:spacing w:after="40"/>
            </w:pPr>
            <w:r>
              <w:rPr>
                <w:sz w:val="17"/>
              </w:rPr>
              <w:t>Weak suppression is not enough; only genuinely non-marginal shared phase remains conceivable</w:t>
            </w:r>
          </w:p>
        </w:tc>
      </w:tr>
      <w:tr>
        <w:tc>
          <w:tcPr>
            <w:tcW w:type="dxa" w:w="2556"/>
            <w:vAlign w:val="center"/>
          </w:tcPr>
          <w:p>
            <w:pPr>
              <w:spacing w:after="40"/>
            </w:pPr>
            <w:r>
              <w:rPr>
                <w:sz w:val="17"/>
              </w:rPr>
              <w:t>Inherited joint scalar</w:t>
            </w:r>
          </w:p>
        </w:tc>
        <w:tc>
          <w:tcPr>
            <w:tcW w:type="dxa" w:w="2556"/>
            <w:vAlign w:val="center"/>
          </w:tcPr>
          <w:p>
            <w:pPr>
              <w:spacing w:after="40"/>
            </w:pPr>
            <w:r>
              <w:rPr>
                <w:sz w:val="17"/>
              </w:rPr>
              <w:t>Exact checkpoint + candidate source 0.526; legal candidate 1.014; 6.744B</w:t>
            </w:r>
          </w:p>
        </w:tc>
        <w:tc>
          <w:tcPr>
            <w:tcW w:type="dxa" w:w="2556"/>
            <w:vAlign w:val="center"/>
          </w:tcPr>
          <w:p>
            <w:pPr>
              <w:spacing w:after="40"/>
            </w:pPr>
            <w:r>
              <w:rPr>
                <w:sz w:val="17"/>
              </w:rPr>
              <w:t>Closed tested inherited implementation</w:t>
            </w:r>
          </w:p>
        </w:tc>
        <w:tc>
          <w:tcPr>
            <w:tcW w:type="dxa" w:w="2556"/>
            <w:vAlign w:val="center"/>
          </w:tcPr>
          <w:p>
            <w:pPr>
              <w:spacing w:after="40"/>
            </w:pPr>
            <w:r>
              <w:rPr>
                <w:sz w:val="17"/>
              </w:rPr>
              <w:t>Absolute checkpoint precision is the dominant enabling quantity</w:t>
            </w:r>
          </w:p>
        </w:tc>
      </w:tr>
      <w:tr>
        <w:tc>
          <w:tcPr>
            <w:tcW w:type="dxa" w:w="2556"/>
            <w:vAlign w:val="center"/>
          </w:tcPr>
          <w:p>
            <w:pPr>
              <w:spacing w:after="40"/>
            </w:pPr>
            <w:r>
              <w:rPr>
                <w:sz w:val="17"/>
              </w:rPr>
              <w:t>Full-depth joint scalar</w:t>
            </w:r>
          </w:p>
        </w:tc>
        <w:tc>
          <w:tcPr>
            <w:tcW w:type="dxa" w:w="2556"/>
            <w:vAlign w:val="center"/>
          </w:tcPr>
          <w:p>
            <w:pPr>
              <w:spacing w:after="40"/>
            </w:pPr>
            <w:r>
              <w:rPr>
                <w:sz w:val="17"/>
              </w:rPr>
              <w:t>Legal candidate 1.000775 at 10.310B</w:t>
            </w:r>
          </w:p>
        </w:tc>
        <w:tc>
          <w:tcPr>
            <w:tcW w:type="dxa" w:w="2556"/>
            <w:vAlign w:val="center"/>
          </w:tcPr>
          <w:p>
            <w:pPr>
              <w:spacing w:after="40"/>
            </w:pPr>
            <w:r>
              <w:rPr>
                <w:sz w:val="17"/>
              </w:rPr>
              <w:t>Closed tested full-depth implementation</w:t>
            </w:r>
          </w:p>
        </w:tc>
        <w:tc>
          <w:tcPr>
            <w:tcW w:type="dxa" w:w="2556"/>
            <w:vAlign w:val="center"/>
          </w:tcPr>
          <w:p>
            <w:pPr>
              <w:spacing w:after="40"/>
            </w:pPr>
            <w:r>
              <w:rPr>
                <w:sz w:val="17"/>
              </w:rPr>
              <w:t>Compute is no longer the blocker; source/state accuracy is</w:t>
            </w:r>
          </w:p>
        </w:tc>
      </w:tr>
      <w:tr>
        <w:tc>
          <w:tcPr>
            <w:tcW w:type="dxa" w:w="2556"/>
            <w:vAlign w:val="center"/>
          </w:tcPr>
          <w:p>
            <w:pPr>
              <w:spacing w:after="40"/>
            </w:pPr>
            <w:r>
              <w:rPr>
                <w:sz w:val="17"/>
              </w:rPr>
              <w:t>Current deployable research</w:t>
            </w:r>
          </w:p>
        </w:tc>
        <w:tc>
          <w:tcPr>
            <w:tcW w:type="dxa" w:w="2556"/>
            <w:vAlign w:val="center"/>
          </w:tcPr>
          <w:p>
            <w:pPr>
              <w:spacing w:after="40"/>
            </w:pPr>
            <w:r>
              <w:rPr>
                <w:sz w:val="17"/>
              </w:rPr>
              <w:t>No statistical correction passed a fresh score-positive gate</w:t>
            </w:r>
          </w:p>
        </w:tc>
        <w:tc>
          <w:tcPr>
            <w:tcW w:type="dxa" w:w="2556"/>
            <w:vAlign w:val="center"/>
          </w:tcPr>
          <w:p>
            <w:pPr>
              <w:spacing w:after="40"/>
            </w:pPr>
            <w:r>
              <w:rPr>
                <w:sz w:val="17"/>
              </w:rPr>
              <w:t>Only compiler is near shipping</w:t>
            </w:r>
          </w:p>
        </w:tc>
        <w:tc>
          <w:tcPr>
            <w:tcW w:type="dxa" w:w="2556"/>
            <w:vAlign w:val="center"/>
          </w:tcPr>
          <w:p>
            <w:pPr>
              <w:spacing w:after="40"/>
            </w:pPr>
            <w:r>
              <w:rPr>
                <w:sz w:val="17"/>
              </w:rPr>
              <w:t>Focus scientific budget on frozen oracle decisions and one bounded learned anchor</w:t>
            </w:r>
          </w:p>
        </w:tc>
      </w:tr>
      <w:tr>
        <w:tc>
          <w:tcPr>
            <w:tcW w:type="dxa" w:w="2556"/>
          </w:tcPr>
          <w:p>
            <w:r>
              <w:t>Target-free layer-31 support</w:t>
            </w:r>
          </w:p>
        </w:tc>
        <w:tc>
          <w:tcPr>
            <w:tcW w:type="dxa" w:w="2556"/>
          </w:tcPr>
          <w:p>
            <w:r>
              <w:t>N=8, rotations 3/19: best K32 capture 53.21% -&gt; 38.90%; support overlap 0.875–1.000</w:t>
            </w:r>
          </w:p>
        </w:tc>
        <w:tc>
          <w:tcPr>
            <w:tcW w:type="dxa" w:w="2556"/>
          </w:tcPr>
          <w:p>
            <w:r>
              <w:t>Closed four tested fixed-coordinate selectors</w:t>
            </w:r>
          </w:p>
        </w:tc>
        <w:tc>
          <w:tcPr>
            <w:tcW w:type="dxa" w:w="2556"/>
          </w:tcPr>
          <w:p>
            <w:r>
              <w:t>Layer-31 remains an oracle/learning target, but not a fixed sparse-coordinate deployment lane</w:t>
            </w:r>
          </w:p>
        </w:tc>
      </w:tr>
    </w:tbl>
    <w:p>
      <w:pPr>
        <w:pStyle w:val="ListBullet"/>
      </w:pPr>
      <w:r>
        <w:t>Another inherited-checkpoint or full-depth joint-scalar recurrence using the current candidate state/source approximations.</w:t>
      </w:r>
    </w:p>
    <w:p>
      <w:pPr>
        <w:pStyle w:val="ListBullet"/>
      </w:pPr>
      <w:r>
        <w:t>Retuning final-gate Stein flux, marginal H3 phase gates, V80 amplitude, thresholds, shrinkage, or agreement rules.</w:t>
      </w:r>
    </w:p>
    <w:p>
      <w:pPr>
        <w:pStyle w:val="ListBullet"/>
      </w:pPr>
      <w:r>
        <w:t>More sparse radial-Hermite layer-31 residual regression, probe-count, or high-sample-anchor sweeps.</w:t>
      </w:r>
    </w:p>
    <w:p>
      <w:pPr>
        <w:pStyle w:val="Heading1"/>
      </w:pPr>
      <w:r>
        <w:t>Appendix A. Key source artifacts reviewed</w:t>
      </w:r>
    </w:p>
    <w:p>
      <w:pPr>
        <w:pStyle w:val="ListBullet"/>
        <w:spacing w:after="40"/>
      </w:pPr>
      <w:r>
        <w:rPr>
          <w:rFonts w:ascii="Aptos" w:hAnsi="Aptos"/>
          <w:sz w:val="19"/>
        </w:rPr>
        <w:t>WHestBench research catalogs and experiment ledgers (multiple July 29 versions)</w:t>
      </w:r>
    </w:p>
    <w:p>
      <w:pPr>
        <w:pStyle w:val="ListBullet"/>
        <w:spacing w:after="40"/>
      </w:pPr>
      <w:r>
        <w:rPr>
          <w:rFonts w:ascii="Aptos" w:hAnsi="Aptos"/>
          <w:sz w:val="19"/>
        </w:rPr>
        <w:t>arc_code.zip and arc_code_deep_audit_20260729.md</w:t>
      </w:r>
    </w:p>
    <w:p>
      <w:pPr>
        <w:pStyle w:val="ListBullet"/>
        <w:spacing w:after="40"/>
      </w:pPr>
      <w:r>
        <w:rPr>
          <w:rFonts w:ascii="Aptos" w:hAnsi="Aptos"/>
          <w:sz w:val="19"/>
        </w:rPr>
        <w:t>NONK3_CONTINUATION_REPORT.md and compiler implementation handoffs</w:t>
      </w:r>
    </w:p>
    <w:p>
      <w:pPr>
        <w:pStyle w:val="ListBullet"/>
        <w:spacing w:after="40"/>
      </w:pPr>
      <w:r>
        <w:rPr>
          <w:rFonts w:ascii="Aptos" w:hAnsi="Aptos"/>
          <w:sz w:val="19"/>
        </w:rPr>
        <w:t>ARC_ACTIVATION_REGION_CONTINUATION_REPORT.md</w:t>
      </w:r>
    </w:p>
    <w:p>
      <w:pPr>
        <w:pStyle w:val="ListBullet"/>
        <w:spacing w:after="40"/>
      </w:pPr>
      <w:r>
        <w:rPr>
          <w:rFonts w:ascii="Aptos" w:hAnsi="Aptos"/>
          <w:sz w:val="19"/>
        </w:rPr>
        <w:t>FULL_MULTILEVEL_PREFIX_SUFFIX_REPORT.md</w:t>
      </w:r>
    </w:p>
    <w:p>
      <w:pPr>
        <w:pStyle w:val="ListBullet"/>
        <w:spacing w:after="40"/>
      </w:pPr>
      <w:r>
        <w:rPr>
          <w:rFonts w:ascii="Aptos" w:hAnsi="Aptos"/>
          <w:sz w:val="19"/>
        </w:rPr>
        <w:t>NETWORK_SPECIFIC_KERNEL_CORESET_EXACT_KERDOCK_REPORT.md</w:t>
      </w:r>
    </w:p>
    <w:p>
      <w:pPr>
        <w:pStyle w:val="ListBullet"/>
        <w:spacing w:after="40"/>
      </w:pPr>
      <w:r>
        <w:rPr>
          <w:rFonts w:ascii="Aptos" w:hAnsi="Aptos"/>
          <w:sz w:val="19"/>
        </w:rPr>
        <w:t>EQUIVARIANT_WEIGHT_MODEL_RESEARCH_20260729.md</w:t>
      </w:r>
    </w:p>
    <w:p>
      <w:pPr>
        <w:pStyle w:val="ListBullet"/>
        <w:spacing w:after="40"/>
      </w:pPr>
      <w:r>
        <w:rPr>
          <w:rFonts w:ascii="Aptos" w:hAnsi="Aptos"/>
          <w:sz w:val="19"/>
        </w:rPr>
        <w:t>Independent Short-Suffix Micro-Cubature for Sparse Late-Layer Anchors</w:t>
      </w:r>
    </w:p>
    <w:p>
      <w:pPr>
        <w:pStyle w:val="ListBullet"/>
        <w:spacing w:after="40"/>
      </w:pPr>
      <w:r>
        <w:rPr>
          <w:rFonts w:ascii="Aptos" w:hAnsi="Aptos"/>
          <w:sz w:val="19"/>
        </w:rPr>
        <w:t>AGENT2_EXACT_SPARSE_ADJOINT_REPORT.md and agent2_sparse_adjoint_results.json</w:t>
      </w:r>
    </w:p>
    <w:p>
      <w:pPr>
        <w:pStyle w:val="ListBullet"/>
        <w:spacing w:after="40"/>
      </w:pPr>
      <w:r>
        <w:rPr>
          <w:rFonts w:ascii="Aptos" w:hAnsi="Aptos"/>
          <w:sz w:val="19"/>
        </w:rPr>
        <w:t>sparse_cubic_center_and_channel_report.md and agent2_agent1_terminal_test.json</w:t>
      </w:r>
    </w:p>
    <w:p>
      <w:pPr>
        <w:pStyle w:val="ListBullet"/>
        <w:spacing w:after="40"/>
      </w:pPr>
      <w:r>
        <w:rPr>
          <w:rFonts w:ascii="Aptos" w:hAnsi="Aptos"/>
          <w:sz w:val="19"/>
        </w:rPr>
        <w:t>FRESH_SCREEN_SUMMARY.json and AGENT1_CONTINUATION_SUMMARY.json</w:t>
      </w:r>
    </w:p>
    <w:p>
      <w:pPr>
        <w:pStyle w:val="ListBullet"/>
        <w:spacing w:after="40"/>
      </w:pPr>
      <w:r>
        <w:rPr>
          <w:rFonts w:ascii="Aptos" w:hAnsi="Aptos"/>
          <w:sz w:val="19"/>
        </w:rPr>
        <w:t>adjoint_k3_full_holdout8.json and M85/connected-cubic result JSONs</w:t>
      </w:r>
    </w:p>
    <w:p>
      <w:pPr>
        <w:pStyle w:val="ListBullet"/>
        <w:spacing w:after="40"/>
      </w:pPr>
      <w:r>
        <w:rPr>
          <w:rFonts w:ascii="Aptos" w:hAnsi="Aptos"/>
          <w:sz w:val="19"/>
        </w:rPr>
        <w:t>ARC_HARMONIC_CV_EXPERIMENT_20260729.md</w:t>
      </w:r>
    </w:p>
    <w:p>
      <w:pPr>
        <w:pStyle w:val="ListBullet"/>
        <w:spacing w:after="40"/>
      </w:pPr>
      <w:r>
        <w:rPr>
          <w:rFonts w:ascii="Aptos" w:hAnsi="Aptos"/>
          <w:sz w:val="19"/>
        </w:rPr>
        <w:t>Agent 7 audit and split-contamination report</w:t>
      </w:r>
    </w:p>
    <w:p>
      <w:pPr>
        <w:pStyle w:val="ListBullet"/>
      </w:pPr>
      <w:r>
        <w:t>SHARED_ARITHMETIC_EXTERNAL_PHASE_REPORT.md and SHARED_ARITHMETIC_EXTERNAL_PHASE_RESULTS.json</w:t>
      </w:r>
    </w:p>
    <w:p>
      <w:pPr>
        <w:pStyle w:val="ListBullet"/>
      </w:pPr>
      <w:r>
        <w:t>JOINT_SCALAR_RECURRENCE_REPORT.md and joint_scalar_recurrence_screen8.json</w:t>
      </w:r>
    </w:p>
    <w:p>
      <w:pPr>
        <w:pStyle w:val="ListBullet"/>
      </w:pPr>
      <w:r>
        <w:t>SPARSE_RADIAL_HERMITE_LAYER31_FACTORIAL_REPORT.md, TARGET_FREE_LAYER31_SUPPORT_REPORT.md, and their high-reference result bundles</w:t>
      </w:r>
    </w:p>
    <w:p>
      <w:pPr>
        <w:pStyle w:val="Heading1"/>
      </w:pPr>
      <w:r>
        <w:t>Appendix B. Ratio convention</w:t>
      </w:r>
    </w:p>
    <w:p>
      <w:r>
        <w:rPr>
          <w:rFonts w:ascii="Aptos" w:hAnsi="Aptos"/>
          <w:b/>
          <w:color w:val="17365D"/>
          <w:sz w:val="19"/>
        </w:rPr>
        <w:t xml:space="preserve">Canonical workbook convention: </w:t>
      </w:r>
      <w:r>
        <w:rPr>
          <w:rFonts w:ascii="Aptos" w:hAnsi="Aptos"/>
          <w:sz w:val="19"/>
        </w:rPr>
        <w:t xml:space="preserve">candidate MSE / baseline MSE, so lower is better. </w:t>
      </w:r>
      <w:r>
        <w:rPr>
          <w:rFonts w:ascii="Aptos" w:hAnsi="Aptos"/>
          <w:sz w:val="19"/>
        </w:rPr>
        <w:t>When a source reports a gain as baseline/candidate, the document labels it explicitly as a gain or converts it before comparison.</w:t>
      </w:r>
    </w:p>
    <w:p>
      <w:pPr>
        <w:pStyle w:val="Heading1"/>
      </w:pPr>
      <w:r>
        <w:t>Appendix C. Scope of canonicality</w:t>
      </w:r>
    </w:p>
    <w:p>
      <w:r>
        <w:rPr>
          <w:rFonts w:ascii="Aptos" w:hAnsi="Aptos"/>
          <w:sz w:val="19"/>
        </w:rPr>
        <w:t>The companion workbook is the exhaustive experiment tracker. This narrative document is the canonical decision summary. The source library still contains raw scripts, archives, and result files that may not be reproducible in a sandbox because official data, high-precision moment corpora, or frozen arrays are absent. Absence from a code archive is not evidence that an experiment was never run.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Reconciled evidence cutoff: July 29, 2026, 2:28 p.m. 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color w:val="666666"/>
        <w:sz w:val="16"/>
      </w:rPr>
      <w:t>WHestBench canonical research 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C659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pPr>
      <w:spacing w:before="120" w:after="120"/>
      <w:ind w:left="216" w:right="216"/>
    </w:pPr>
    <w:rPr>
      <w:rFonts w:ascii="Aptos" w:hAnsi="Aptos"/>
      <w:b/>
      <w:color w:val="17365D"/>
      <w:sz w:val="22"/>
    </w:rPr>
  </w:style>
  <w:style w:type="paragraph" w:customStyle="1" w:styleId="SmallNote">
    <w:name w:val="Small Note"/>
    <w:pPr>
      <w:spacing w:after="40"/>
    </w:pPr>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