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Limits</w:t>
      </w:r>
      <w:r>
        <w:t xml:space="preserve"> </w:t>
      </w:r>
      <w:r>
        <w:t xml:space="preserve">of</w:t>
      </w:r>
      <w:r>
        <w:t xml:space="preserve"> </w:t>
      </w:r>
      <w:r>
        <w:t xml:space="preserve">Static</w:t>
      </w:r>
      <w:r>
        <w:t xml:space="preserve"> </w:t>
      </w:r>
      <w:r>
        <w:t xml:space="preserve">Cubature</w:t>
      </w:r>
      <w:r>
        <w:t xml:space="preserve"> </w:t>
      </w:r>
      <w:r>
        <w:t xml:space="preserve">for</w:t>
      </w:r>
      <w:r>
        <w:t xml:space="preserve"> </w:t>
      </w:r>
      <w:r>
        <w:t xml:space="preserve">Deep</w:t>
      </w:r>
      <w:r>
        <w:t xml:space="preserve"> </w:t>
      </w:r>
      <w:r>
        <w:t xml:space="preserve">ReLU</w:t>
      </w:r>
      <w:r>
        <w:t xml:space="preserve"> </w:t>
      </w:r>
      <w:r>
        <w:t xml:space="preserve">Gaussian</w:t>
      </w:r>
      <w:r>
        <w:t xml:space="preserve"> </w:t>
      </w:r>
      <w:r>
        <w:t xml:space="preserve">Expectations</w:t>
      </w:r>
    </w:p>
    <w:p>
      <w:pPr>
        <w:pStyle w:val="Author"/>
      </w:pPr>
      <w:r>
        <w:t xml:space="preserve">Skye</w:t>
      </w:r>
      <w:r>
        <w:t xml:space="preserve"> </w:t>
      </w:r>
      <w:r>
        <w:t xml:space="preserve">Nygaard</w:t>
      </w:r>
    </w:p>
    <w:p>
      <w:pPr>
        <w:pStyle w:val="AbstractTitle"/>
      </w:pPr>
      <w:r>
        <w:t xml:space="preserve">Abstract</w:t>
      </w:r>
    </w:p>
    <w:p>
      <w:pPr>
        <w:pStyle w:val="Abstract"/>
      </w:pPr>
      <w:r>
        <w:t xml:space="preserve">Gaussian</w:t>
      </w:r>
      <w:r>
        <w:t xml:space="preserve"> </w:t>
      </w:r>
      <w:r>
        <w:t xml:space="preserve">expectations</w:t>
      </w:r>
      <w:r>
        <w:t xml:space="preserve"> </w:t>
      </w:r>
      <w:r>
        <w:t xml:space="preserve">of</w:t>
      </w:r>
      <w:r>
        <w:t xml:space="preserve"> </w:t>
      </w:r>
      <w:r>
        <w:t xml:space="preserve">neural</w:t>
      </w:r>
      <w:r>
        <w:t xml:space="preserve"> </w:t>
      </w:r>
      <w:r>
        <w:t xml:space="preserve">networks</w:t>
      </w:r>
      <w:r>
        <w:t xml:space="preserve"> </w:t>
      </w:r>
      <w:r>
        <w:t xml:space="preserve">appear</w:t>
      </w:r>
      <w:r>
        <w:t xml:space="preserve"> </w:t>
      </w:r>
      <w:r>
        <w:t xml:space="preserve">in</w:t>
      </w:r>
      <w:r>
        <w:t xml:space="preserve"> </w:t>
      </w:r>
      <w:r>
        <w:t xml:space="preserve">uncertainty</w:t>
      </w:r>
      <w:r>
        <w:t xml:space="preserve"> </w:t>
      </w:r>
      <w:r>
        <w:t xml:space="preserve">propagation,</w:t>
      </w:r>
      <w:r>
        <w:t xml:space="preserve"> </w:t>
      </w:r>
      <w:r>
        <w:t xml:space="preserve">model</w:t>
      </w:r>
      <w:r>
        <w:t xml:space="preserve"> </w:t>
      </w:r>
      <w:r>
        <w:t xml:space="preserve">analysis,</w:t>
      </w:r>
      <w:r>
        <w:t xml:space="preserve"> </w:t>
      </w:r>
      <w:r>
        <w:t xml:space="preserve">and</w:t>
      </w:r>
      <w:r>
        <w:t xml:space="preserve"> </w:t>
      </w:r>
      <w:r>
        <w:t xml:space="preserve">deterministic</w:t>
      </w:r>
      <w:r>
        <w:t xml:space="preserve"> </w:t>
      </w:r>
      <w:r>
        <w:t xml:space="preserve">inference.</w:t>
      </w:r>
      <w:r>
        <w:t xml:space="preserve"> </w:t>
      </w:r>
      <w:r>
        <w:t xml:space="preserve">When</w:t>
      </w:r>
      <w:r>
        <w:t xml:space="preserve"> </w:t>
      </w:r>
      <w:r>
        <w:t xml:space="preserve">each</w:t>
      </w:r>
      <w:r>
        <w:t xml:space="preserve"> </w:t>
      </w:r>
      <w:r>
        <w:t xml:space="preserve">network</w:t>
      </w:r>
      <w:r>
        <w:t xml:space="preserve"> </w:t>
      </w:r>
      <w:r>
        <w:t xml:space="preserve">evaluation</w:t>
      </w:r>
      <w:r>
        <w:t xml:space="preserve"> </w:t>
      </w:r>
      <w:r>
        <w:t xml:space="preserve">is</w:t>
      </w:r>
      <w:r>
        <w:t xml:space="preserve"> </w:t>
      </w:r>
      <w:r>
        <w:t xml:space="preserve">expensive,</w:t>
      </w:r>
      <w:r>
        <w:t xml:space="preserve"> </w:t>
      </w:r>
      <w:r>
        <w:t xml:space="preserve">a</w:t>
      </w:r>
      <w:r>
        <w:t xml:space="preserve"> </w:t>
      </w:r>
      <w:r>
        <w:t xml:space="preserve">natural</w:t>
      </w:r>
      <w:r>
        <w:t xml:space="preserve"> </w:t>
      </w:r>
      <w:r>
        <w:t xml:space="preserve">approach</w:t>
      </w:r>
      <w:r>
        <w:t xml:space="preserve"> </w:t>
      </w:r>
      <w:r>
        <w:t xml:space="preserve">is</w:t>
      </w:r>
      <w:r>
        <w:t xml:space="preserve"> </w:t>
      </w:r>
      <w:r>
        <w:t xml:space="preserve">to</w:t>
      </w:r>
      <w:r>
        <w:t xml:space="preserve"> </w:t>
      </w:r>
      <w:r>
        <w:t xml:space="preserve">replace</w:t>
      </w:r>
      <w:r>
        <w:t xml:space="preserve"> </w:t>
      </w:r>
      <w:r>
        <w:t xml:space="preserve">Monte</w:t>
      </w:r>
      <w:r>
        <w:t xml:space="preserve"> </w:t>
      </w:r>
      <w:r>
        <w:t xml:space="preserve">Carlo</w:t>
      </w:r>
      <w:r>
        <w:t xml:space="preserve"> </w:t>
      </w:r>
      <w:r>
        <w:t xml:space="preserve">samples</w:t>
      </w:r>
      <w:r>
        <w:t xml:space="preserve"> </w:t>
      </w:r>
      <w:r>
        <w:t xml:space="preserve">with</w:t>
      </w:r>
      <w:r>
        <w:t xml:space="preserve"> </w:t>
      </w:r>
      <w:r>
        <w:t xml:space="preserve">a</w:t>
      </w:r>
      <w:r>
        <w:t xml:space="preserve"> </w:t>
      </w:r>
      <w:r>
        <w:t xml:space="preserve">fixed</w:t>
      </w:r>
      <w:r>
        <w:t xml:space="preserve"> </w:t>
      </w:r>
      <w:r>
        <w:t xml:space="preserve">weighted</w:t>
      </w:r>
      <w:r>
        <w:t xml:space="preserve"> </w:t>
      </w:r>
      <w:r>
        <w:t xml:space="preserve">rule.</w:t>
      </w:r>
      <w:r>
        <w:t xml:space="preserve"> </w:t>
      </w:r>
      <w:r>
        <w:t xml:space="preserve">This</w:t>
      </w:r>
      <w:r>
        <w:t xml:space="preserve"> </w:t>
      </w:r>
      <w:r>
        <w:t xml:space="preserve">paper</w:t>
      </w:r>
      <w:r>
        <w:t xml:space="preserve"> </w:t>
      </w:r>
      <w:r>
        <w:t xml:space="preserve">studies</w:t>
      </w:r>
      <w:r>
        <w:t xml:space="preserve"> </w:t>
      </w:r>
      <w:r>
        <w:t xml:space="preserve">the</w:t>
      </w:r>
      <w:r>
        <w:t xml:space="preserve"> </w:t>
      </w:r>
      <w:r>
        <w:t xml:space="preserve">best</w:t>
      </w:r>
      <w:r>
        <w:t xml:space="preserve"> </w:t>
      </w:r>
      <w:r>
        <w:t xml:space="preserve">possible</w:t>
      </w:r>
      <w:r>
        <w:t xml:space="preserve"> </w:t>
      </w:r>
      <w:r>
        <w:t xml:space="preserve">performance</w:t>
      </w:r>
      <w:r>
        <w:t xml:space="preserve"> </w:t>
      </w:r>
      <w:r>
        <w:t xml:space="preserve">of</w:t>
      </w:r>
      <w:r>
        <w:t xml:space="preserve"> </w:t>
      </w:r>
      <w:r>
        <w:t xml:space="preserve">such</w:t>
      </w:r>
      <w:r>
        <w:t xml:space="preserve"> </w:t>
      </w:r>
      <w:r>
        <w:t xml:space="preserve">rules</w:t>
      </w:r>
      <w:r>
        <w:t xml:space="preserve"> </w:t>
      </w:r>
      <w:r>
        <w:t xml:space="preserve">for</w:t>
      </w:r>
      <w:r>
        <w:t xml:space="preserve"> </w:t>
      </w:r>
      <w:r>
        <w:t xml:space="preserve">the</w:t>
      </w:r>
      <w:r>
        <w:t xml:space="preserve"> </w:t>
      </w:r>
      <w:r>
        <w:t xml:space="preserve">infinite-width</w:t>
      </w:r>
      <w:r>
        <w:t xml:space="preserve"> </w:t>
      </w:r>
      <w:r>
        <w:t xml:space="preserve">kernel</w:t>
      </w:r>
      <w:r>
        <w:t xml:space="preserve"> </w:t>
      </w:r>
      <w:r>
        <w:t xml:space="preserve">of</w:t>
      </w:r>
      <w:r>
        <w:t xml:space="preserve"> </w:t>
      </w:r>
      <w:r>
        <w:t xml:space="preserve">a</w:t>
      </w:r>
      <w:r>
        <w:t xml:space="preserve"> </w:t>
      </w:r>
      <w:r>
        <w:t xml:space="preserve">dimension-256,</w:t>
      </w:r>
      <w:r>
        <w:t xml:space="preserve"> </w:t>
      </w:r>
      <w:r>
        <w:t xml:space="preserve">depth-32</w:t>
      </w:r>
      <w:r>
        <w:t xml:space="preserve"> </w:t>
      </w:r>
      <w:r>
        <w:t xml:space="preserve">bias-free</w:t>
      </w:r>
      <w:r>
        <w:t xml:space="preserve"> </w:t>
      </w:r>
      <w:r>
        <w:t xml:space="preserve">ReLU</w:t>
      </w:r>
      <w:r>
        <w:t xml:space="preserve"> </w:t>
      </w:r>
      <w:r>
        <w:t xml:space="preserve">network.</w:t>
      </w:r>
    </w:p>
    <w:p>
      <w:pPr>
        <w:pStyle w:val="Abstract"/>
      </w:pPr>
      <w:r>
        <w:t xml:space="preserve">Positive</w:t>
      </w:r>
      <w:r>
        <w:t xml:space="preserve"> </w:t>
      </w:r>
      <w:r>
        <w:t xml:space="preserve">homogeneity</w:t>
      </w:r>
      <w:r>
        <w:t xml:space="preserve"> </w:t>
      </w:r>
      <w:r>
        <w:t xml:space="preserve">reduces</w:t>
      </w:r>
      <w:r>
        <w:t xml:space="preserve"> </w:t>
      </w:r>
      <w:r>
        <w:t xml:space="preserve">the</w:t>
      </w:r>
      <w:r>
        <w:t xml:space="preserve"> </w:t>
      </w:r>
      <w:r>
        <w:t xml:space="preserve">Gaussian</w:t>
      </w:r>
      <w:r>
        <w:t xml:space="preserve"> </w:t>
      </w:r>
      <w:r>
        <w:t xml:space="preserve">expectation</w:t>
      </w:r>
      <w:r>
        <w:t xml:space="preserve"> </w:t>
      </w:r>
      <w:r>
        <w:t xml:space="preserve">to</w:t>
      </w:r>
      <w:r>
        <w:t xml:space="preserve"> </w:t>
      </w:r>
      <w:r>
        <w:t xml:space="preserve">integration</w:t>
      </w:r>
      <w:r>
        <w:t xml:space="preserve"> </w:t>
      </w:r>
      <w:r>
        <w:t xml:space="preserve">on</w:t>
      </w:r>
      <w:r>
        <w:t xml:space="preserve"> </w:t>
      </w:r>
      <w:r>
        <w:t xml:space="preserve">the</w:t>
      </w:r>
      <w:r>
        <w:t xml:space="preserve"> </w:t>
      </w:r>
      <w:r>
        <w:t xml:space="preserve">unit</w:t>
      </w:r>
      <w:r>
        <w:t xml:space="preserve"> </w:t>
      </w:r>
      <w:r>
        <w:t xml:space="preserve">sphere.</w:t>
      </w:r>
      <w:r>
        <w:t xml:space="preserve"> </w:t>
      </w:r>
      <w:r>
        <w:t xml:space="preserve">A</w:t>
      </w:r>
      <w:r>
        <w:t xml:space="preserve"> </w:t>
      </w:r>
      <w:r>
        <w:t xml:space="preserve">complete</w:t>
      </w:r>
      <w:r>
        <w:t xml:space="preserve"> </w:t>
      </w:r>
      <w:r>
        <w:t xml:space="preserve">system</w:t>
      </w:r>
      <w:r>
        <w:t xml:space="preserve"> </w:t>
      </w:r>
      <w:r>
        <w:t xml:space="preserve">of</w:t>
      </w:r>
      <w:r>
        <w:t xml:space="preserve"> </w:t>
      </w:r>
      <w:r>
        <w:t xml:space="preserve">129</w:t>
      </w:r>
      <w:r>
        <w:t xml:space="preserve"> </w:t>
      </w:r>
      <w:r>
        <w:t xml:space="preserve">real</w:t>
      </w:r>
      <w:r>
        <w:t xml:space="preserve"> </w:t>
      </w:r>
      <w:r>
        <w:t xml:space="preserve">mutually</w:t>
      </w:r>
      <w:r>
        <w:t xml:space="preserve"> </w:t>
      </w:r>
      <w:r>
        <w:t xml:space="preserve">unbiased</w:t>
      </w:r>
      <w:r>
        <w:t xml:space="preserve"> </w:t>
      </w:r>
      <w:r>
        <w:t xml:space="preserve">bases,</w:t>
      </w:r>
      <w:r>
        <w:t xml:space="preserve"> </w:t>
      </w:r>
      <w:r>
        <w:t xml:space="preserve">generated</w:t>
      </w:r>
      <w:r>
        <w:t xml:space="preserve"> </w:t>
      </w:r>
      <w:r>
        <w:t xml:space="preserve">by</w:t>
      </w:r>
      <w:r>
        <w:t xml:space="preserve"> </w:t>
      </w:r>
      <w:r>
        <w:t xml:space="preserve">Kerdock</w:t>
      </w:r>
      <w:r>
        <w:t xml:space="preserve"> </w:t>
      </w:r>
      <w:r>
        <w:t xml:space="preserve">structure</w:t>
      </w:r>
      <w:r>
        <w:t xml:space="preserve"> </w:t>
      </w:r>
      <w:r>
        <w:t xml:space="preserve">and</w:t>
      </w:r>
      <w:r>
        <w:t xml:space="preserve"> </w:t>
      </w:r>
      <w:r>
        <w:t xml:space="preserve">evaluated</w:t>
      </w:r>
      <w:r>
        <w:t xml:space="preserve"> </w:t>
      </w:r>
      <w:r>
        <w:t xml:space="preserve">antipodally,</w:t>
      </w:r>
      <w:r>
        <w:t xml:space="preserve"> </w:t>
      </w:r>
      <w:r>
        <w:t xml:space="preserve">gives</w:t>
      </w:r>
      <w:r>
        <w:t xml:space="preserve"> </w:t>
      </w:r>
      <w:r>
        <w:t xml:space="preserve">a</w:t>
      </w:r>
      <w:r>
        <w:t xml:space="preserve"> </w:t>
      </w:r>
      <w:r>
        <w:t xml:space="preserve">rule</w:t>
      </w:r>
      <w:r>
        <w:t xml:space="preserve"> </w:t>
      </w:r>
      <w:r>
        <w:t xml:space="preserve">with</w:t>
      </w:r>
      <w:r>
        <w:t xml:space="preserve"> </w:t>
      </w:r>
      <w:r>
        <w:t xml:space="preserve">66,048</w:t>
      </w:r>
      <w:r>
        <w:t xml:space="preserve"> </w:t>
      </w:r>
      <w:r>
        <w:t xml:space="preserve">nodes.</w:t>
      </w:r>
      <w:r>
        <w:t xml:space="preserve"> </w:t>
      </w:r>
      <w:r>
        <w:t xml:space="preserve">We</w:t>
      </w:r>
      <w:r>
        <w:t xml:space="preserve"> </w:t>
      </w:r>
      <w:r>
        <w:t xml:space="preserve">prove</w:t>
      </w:r>
      <w:r>
        <w:t xml:space="preserve"> </w:t>
      </w:r>
      <w:r>
        <w:t xml:space="preserve">that</w:t>
      </w:r>
      <w:r>
        <w:t xml:space="preserve"> </w:t>
      </w:r>
      <w:r>
        <w:t xml:space="preserve">this</w:t>
      </w:r>
      <w:r>
        <w:t xml:space="preserve"> </w:t>
      </w:r>
      <w:r>
        <w:t xml:space="preserve">rule</w:t>
      </w:r>
      <w:r>
        <w:t xml:space="preserve"> </w:t>
      </w:r>
      <w:r>
        <w:t xml:space="preserve">is</w:t>
      </w:r>
      <w:r>
        <w:t xml:space="preserve"> </w:t>
      </w:r>
      <w:r>
        <w:t xml:space="preserve">at</w:t>
      </w:r>
      <w:r>
        <w:t xml:space="preserve"> </w:t>
      </w:r>
      <w:r>
        <w:t xml:space="preserve">most</w:t>
      </w:r>
      <w:r>
        <w:t xml:space="preserve"> </w:t>
      </w:r>
      <w:r>
        <w:t xml:space="preserve">0.0233242%</w:t>
      </w:r>
      <w:r>
        <w:t xml:space="preserve"> </w:t>
      </w:r>
      <w:r>
        <w:t xml:space="preserve">above</w:t>
      </w:r>
      <w:r>
        <w:t xml:space="preserve"> </w:t>
      </w:r>
      <w:r>
        <w:t xml:space="preserve">the</w:t>
      </w:r>
      <w:r>
        <w:t xml:space="preserve"> </w:t>
      </w:r>
      <w:r>
        <w:t xml:space="preserve">optimum</w:t>
      </w:r>
      <w:r>
        <w:t xml:space="preserve"> </w:t>
      </w:r>
      <w:r>
        <w:t xml:space="preserve">among</w:t>
      </w:r>
      <w:r>
        <w:t xml:space="preserve"> </w:t>
      </w:r>
      <w:r>
        <w:t xml:space="preserve">all</w:t>
      </w:r>
      <w:r>
        <w:t xml:space="preserve"> </w:t>
      </w:r>
      <w:r>
        <w:t xml:space="preserve">nonnegative</w:t>
      </w:r>
      <w:r>
        <w:t xml:space="preserve"> </w:t>
      </w:r>
      <w:r>
        <w:t xml:space="preserve">mass-one</w:t>
      </w:r>
      <w:r>
        <w:t xml:space="preserve"> </w:t>
      </w:r>
      <w:r>
        <w:t xml:space="preserve">rules</w:t>
      </w:r>
      <w:r>
        <w:t xml:space="preserve"> </w:t>
      </w:r>
      <w:r>
        <w:t xml:space="preserve">with</w:t>
      </w:r>
      <w:r>
        <w:t xml:space="preserve"> </w:t>
      </w:r>
      <w:r>
        <w:t xml:space="preserve">the</w:t>
      </w:r>
      <w:r>
        <w:t xml:space="preserve"> </w:t>
      </w:r>
      <w:r>
        <w:t xml:space="preserve">same</w:t>
      </w:r>
      <w:r>
        <w:t xml:space="preserve"> </w:t>
      </w:r>
      <w:r>
        <w:t xml:space="preserve">node</w:t>
      </w:r>
      <w:r>
        <w:t xml:space="preserve"> </w:t>
      </w:r>
      <w:r>
        <w:t xml:space="preserve">budget.</w:t>
      </w:r>
      <w:r>
        <w:t xml:space="preserve"> </w:t>
      </w:r>
      <w:r>
        <w:t xml:space="preserve">We</w:t>
      </w:r>
      <w:r>
        <w:t xml:space="preserve"> </w:t>
      </w:r>
      <w:r>
        <w:t xml:space="preserve">also</w:t>
      </w:r>
      <w:r>
        <w:t xml:space="preserve"> </w:t>
      </w:r>
      <w:r>
        <w:t xml:space="preserve">prove</w:t>
      </w:r>
      <w:r>
        <w:t xml:space="preserve"> </w:t>
      </w:r>
      <w:r>
        <w:t xml:space="preserve">that</w:t>
      </w:r>
      <w:r>
        <w:t xml:space="preserve"> </w:t>
      </w:r>
      <w:r>
        <w:t xml:space="preserve">arbitrary</w:t>
      </w:r>
      <w:r>
        <w:t xml:space="preserve"> </w:t>
      </w:r>
      <w:r>
        <w:t xml:space="preserve">signed</w:t>
      </w:r>
      <w:r>
        <w:t xml:space="preserve"> </w:t>
      </w:r>
      <w:r>
        <w:t xml:space="preserve">mass-one</w:t>
      </w:r>
      <w:r>
        <w:t xml:space="preserve"> </w:t>
      </w:r>
      <w:r>
        <w:t xml:space="preserve">rules</w:t>
      </w:r>
      <w:r>
        <w:t xml:space="preserve"> </w:t>
      </w:r>
      <w:r>
        <w:t xml:space="preserve">can</w:t>
      </w:r>
      <w:r>
        <w:t xml:space="preserve"> </w:t>
      </w:r>
      <w:r>
        <w:t xml:space="preserve">reduce</w:t>
      </w:r>
      <w:r>
        <w:t xml:space="preserve"> </w:t>
      </w:r>
      <w:r>
        <w:t xml:space="preserve">its</w:t>
      </w:r>
      <w:r>
        <w:t xml:space="preserve"> </w:t>
      </w:r>
      <w:r>
        <w:t xml:space="preserve">kernel</w:t>
      </w:r>
      <w:r>
        <w:t xml:space="preserve"> </w:t>
      </w:r>
      <w:r>
        <w:t xml:space="preserve">risk</w:t>
      </w:r>
      <w:r>
        <w:t xml:space="preserve"> </w:t>
      </w:r>
      <w:r>
        <w:t xml:space="preserve">by</w:t>
      </w:r>
      <w:r>
        <w:t xml:space="preserve"> </w:t>
      </w:r>
      <w:r>
        <w:t xml:space="preserve">at</w:t>
      </w:r>
      <w:r>
        <w:t xml:space="preserve"> </w:t>
      </w:r>
      <w:r>
        <w:t xml:space="preserve">most</w:t>
      </w:r>
      <w:r>
        <w:t xml:space="preserve"> </w:t>
      </w:r>
      <w:r>
        <w:t xml:space="preserve">6.2940%.</w:t>
      </w:r>
      <w:r>
        <w:t xml:space="preserve"> </w:t>
      </w:r>
      <w:r>
        <w:t xml:space="preserve">The</w:t>
      </w:r>
      <w:r>
        <w:t xml:space="preserve"> </w:t>
      </w:r>
      <w:r>
        <w:t xml:space="preserve">first</w:t>
      </w:r>
      <w:r>
        <w:t xml:space="preserve"> </w:t>
      </w:r>
      <w:r>
        <w:t xml:space="preserve">bound</w:t>
      </w:r>
      <w:r>
        <w:t xml:space="preserve"> </w:t>
      </w:r>
      <w:r>
        <w:t xml:space="preserve">follows</w:t>
      </w:r>
      <w:r>
        <w:t xml:space="preserve"> </w:t>
      </w:r>
      <w:r>
        <w:t xml:space="preserve">from</w:t>
      </w:r>
      <w:r>
        <w:t xml:space="preserve"> </w:t>
      </w:r>
      <w:r>
        <w:t xml:space="preserve">an</w:t>
      </w:r>
      <w:r>
        <w:t xml:space="preserve"> </w:t>
      </w:r>
      <w:r>
        <w:t xml:space="preserve">all-degree</w:t>
      </w:r>
      <w:r>
        <w:t xml:space="preserve"> </w:t>
      </w:r>
      <w:r>
        <w:t xml:space="preserve">Delsarte</w:t>
      </w:r>
      <w:r>
        <w:t xml:space="preserve"> </w:t>
      </w:r>
      <w:r>
        <w:t xml:space="preserve">certificate</w:t>
      </w:r>
      <w:r>
        <w:t xml:space="preserve"> </w:t>
      </w:r>
      <w:r>
        <w:t xml:space="preserve">with</w:t>
      </w:r>
      <w:r>
        <w:t xml:space="preserve"> </w:t>
      </w:r>
      <w:r>
        <w:t xml:space="preserve">a</w:t>
      </w:r>
      <w:r>
        <w:t xml:space="preserve"> </w:t>
      </w:r>
      <w:r>
        <w:t xml:space="preserve">unique</w:t>
      </w:r>
      <w:r>
        <w:t xml:space="preserve"> </w:t>
      </w:r>
      <w:r>
        <w:t xml:space="preserve">degree-five</w:t>
      </w:r>
      <w:r>
        <w:t xml:space="preserve"> </w:t>
      </w:r>
      <w:r>
        <w:t xml:space="preserve">Hermite</w:t>
      </w:r>
      <w:r>
        <w:t xml:space="preserve"> </w:t>
      </w:r>
      <w:r>
        <w:t xml:space="preserve">optimizer.</w:t>
      </w:r>
      <w:r>
        <w:t xml:space="preserve"> </w:t>
      </w:r>
      <w:r>
        <w:t xml:space="preserve">The</w:t>
      </w:r>
      <w:r>
        <w:t xml:space="preserve"> </w:t>
      </w:r>
      <w:r>
        <w:t xml:space="preserve">second</w:t>
      </w:r>
      <w:r>
        <w:t xml:space="preserve"> </w:t>
      </w:r>
      <w:r>
        <w:t xml:space="preserve">uses</w:t>
      </w:r>
      <w:r>
        <w:t xml:space="preserve"> </w:t>
      </w:r>
      <w:r>
        <w:t xml:space="preserve">harmonic</w:t>
      </w:r>
      <w:r>
        <w:t xml:space="preserve"> </w:t>
      </w:r>
      <w:r>
        <w:t xml:space="preserve">moment</w:t>
      </w:r>
      <w:r>
        <w:t xml:space="preserve"> </w:t>
      </w:r>
      <w:r>
        <w:t xml:space="preserve">constraints,</w:t>
      </w:r>
      <w:r>
        <w:t xml:space="preserve"> </w:t>
      </w:r>
      <w:r>
        <w:t xml:space="preserve">matrix</w:t>
      </w:r>
      <w:r>
        <w:t xml:space="preserve"> </w:t>
      </w:r>
      <w:r>
        <w:t xml:space="preserve">inertia,</w:t>
      </w:r>
      <w:r>
        <w:t xml:space="preserve"> </w:t>
      </w:r>
      <w:r>
        <w:t xml:space="preserve">and</w:t>
      </w:r>
      <w:r>
        <w:t xml:space="preserve"> </w:t>
      </w:r>
      <w:r>
        <w:t xml:space="preserve">an</w:t>
      </w:r>
      <w:r>
        <w:t xml:space="preserve"> </w:t>
      </w:r>
      <w:r>
        <w:t xml:space="preserve">exact-rational</w:t>
      </w:r>
      <w:r>
        <w:t xml:space="preserve"> </w:t>
      </w:r>
      <w:r>
        <w:t xml:space="preserve">witness.</w:t>
      </w:r>
      <w:r>
        <w:t xml:space="preserve"> </w:t>
      </w:r>
      <w:r>
        <w:t xml:space="preserve">Together,</w:t>
      </w:r>
      <w:r>
        <w:t xml:space="preserve"> </w:t>
      </w:r>
      <w:r>
        <w:t xml:space="preserve">the</w:t>
      </w:r>
      <w:r>
        <w:t xml:space="preserve"> </w:t>
      </w:r>
      <w:r>
        <w:t xml:space="preserve">results</w:t>
      </w:r>
      <w:r>
        <w:t xml:space="preserve"> </w:t>
      </w:r>
      <w:r>
        <w:t xml:space="preserve">show</w:t>
      </w:r>
      <w:r>
        <w:t xml:space="preserve"> </w:t>
      </w:r>
      <w:r>
        <w:t xml:space="preserve">that</w:t>
      </w:r>
      <w:r>
        <w:t xml:space="preserve"> </w:t>
      </w:r>
      <w:r>
        <w:t xml:space="preserve">fixed</w:t>
      </w:r>
      <w:r>
        <w:t xml:space="preserve"> </w:t>
      </w:r>
      <w:r>
        <w:t xml:space="preserve">network-independent</w:t>
      </w:r>
      <w:r>
        <w:t xml:space="preserve"> </w:t>
      </w:r>
      <w:r>
        <w:t xml:space="preserve">linear</w:t>
      </w:r>
      <w:r>
        <w:t xml:space="preserve"> </w:t>
      </w:r>
      <w:r>
        <w:t xml:space="preserve">cubature</w:t>
      </w:r>
      <w:r>
        <w:t xml:space="preserve"> </w:t>
      </w:r>
      <w:r>
        <w:t xml:space="preserve">is</w:t>
      </w:r>
      <w:r>
        <w:t xml:space="preserve"> </w:t>
      </w:r>
      <w:r>
        <w:t xml:space="preserve">nearly</w:t>
      </w:r>
      <w:r>
        <w:t xml:space="preserve"> </w:t>
      </w:r>
      <w:r>
        <w:t xml:space="preserve">exhausted</w:t>
      </w:r>
      <w:r>
        <w:t xml:space="preserve"> </w:t>
      </w:r>
      <w:r>
        <w:t xml:space="preserve">for</w:t>
      </w:r>
      <w:r>
        <w:t xml:space="preserve"> </w:t>
      </w:r>
      <w:r>
        <w:t xml:space="preserve">this</w:t>
      </w:r>
      <w:r>
        <w:t xml:space="preserve"> </w:t>
      </w:r>
      <w:r>
        <w:t xml:space="preserve">kernel</w:t>
      </w:r>
      <w:r>
        <w:t xml:space="preserve"> </w:t>
      </w:r>
      <w:r>
        <w:t xml:space="preserve">and</w:t>
      </w:r>
      <w:r>
        <w:t xml:space="preserve"> </w:t>
      </w:r>
      <w:r>
        <w:t xml:space="preserve">budget.</w:t>
      </w:r>
    </w:p>
    <w:bookmarkStart w:id="20" w:name="introduction"/>
    <w:p>
      <w:pPr>
        <w:pStyle w:val="Heading1"/>
      </w:pPr>
      <w:r>
        <w:t xml:space="preserve">Introduction</w:t>
      </w:r>
    </w:p>
    <w:p>
      <w:pPr>
        <w:pStyle w:val="FirstParagraph"/>
      </w:pPr>
      <w:r>
        <w:t xml:space="preserve">Many machine-learning calculations require an expectation of the form</w:t>
      </w:r>
    </w:p>
    <w:p>
      <w:pPr>
        <w:pStyle w:val="BodyText"/>
      </w:pPr>
      <m:oMathPara>
        <m:oMathParaPr>
          <m:jc m:val="center"/>
        </m:oMathParaPr>
        <m:oMath>
          <m:r>
            <m:t>μ</m:t>
          </m:r>
          <m:d>
            <m:dPr>
              <m:begChr m:val="("/>
              <m:endChr m:val=")"/>
              <m:sepChr m:val=""/>
              <m:grow/>
            </m:dPr>
            <m:e>
              <m:r>
                <m:t>f</m:t>
              </m:r>
            </m:e>
          </m:d>
          <m:r>
            <m:rPr>
              <m:sty m:val="p"/>
            </m:rPr>
            <m:t>=</m:t>
          </m:r>
          <m:sSub>
            <m:e>
              <m:r>
                <m:rPr>
                  <m:sty m:val="p"/>
                  <m:scr m:val="double-struck"/>
                </m:rPr>
                <m:t>E</m:t>
              </m:r>
            </m:e>
            <m:sub>
              <m:r>
                <m:t>X</m:t>
              </m:r>
              <m:r>
                <m:rPr>
                  <m:sty m:val="p"/>
                </m:rPr>
                <m:t>∼</m:t>
              </m:r>
              <m:r>
                <m:rPr>
                  <m:sty m:val="p"/>
                  <m:scr m:val="script"/>
                </m:rPr>
                <m:t>N</m:t>
              </m:r>
              <m:d>
                <m:dPr>
                  <m:begChr m:val="("/>
                  <m:endChr m:val=")"/>
                  <m:sepChr m:val=""/>
                  <m:grow/>
                </m:dPr>
                <m:e>
                  <m:r>
                    <m:t>0</m:t>
                  </m:r>
                  <m:r>
                    <m:rPr>
                      <m:sty m:val="p"/>
                    </m:rPr>
                    <m:t>,</m:t>
                  </m:r>
                  <m:sSub>
                    <m:e>
                      <m:r>
                        <m:t>I</m:t>
                      </m:r>
                    </m:e>
                    <m:sub>
                      <m:r>
                        <m:t>d</m:t>
                      </m:r>
                    </m:sub>
                  </m:sSub>
                </m:e>
              </m:d>
            </m:sub>
          </m:sSub>
          <m:d>
            <m:dPr>
              <m:begChr m:val="["/>
              <m:endChr m:val="]"/>
              <m:sepChr m:val=""/>
              <m:grow/>
            </m:dPr>
            <m:e>
              <m:r>
                <m:t>f</m:t>
              </m:r>
              <m:d>
                <m:dPr>
                  <m:begChr m:val="("/>
                  <m:endChr m:val=")"/>
                  <m:sepChr m:val=""/>
                  <m:grow/>
                </m:dPr>
                <m:e>
                  <m:r>
                    <m:t>X</m:t>
                  </m:r>
                </m:e>
              </m:d>
            </m:e>
          </m:d>
        </m:oMath>
      </m:oMathPara>
    </w:p>
    <w:p>
      <w:pPr>
        <w:pStyle w:val="FirstParagraph"/>
      </w:pPr>
      <w:r>
        <w:t xml:space="preserve">The function</w:t>
      </w:r>
      <w:r>
        <w:t xml:space="preserve"> </w:t>
      </w:r>
      <m:oMath>
        <m:r>
          <m:t>f</m:t>
        </m:r>
      </m:oMath>
      <w:r>
        <w:t xml:space="preserve"> </w:t>
      </w:r>
      <w:r>
        <w:t xml:space="preserve">may be a deep neural network, so each evaluation can be expensive. Monte Carlo is general, but its convergence can be slow. Deterministic cubature instead chooses a fixed set of inputs and returns a weighted average of the outputs.</w:t>
      </w:r>
    </w:p>
    <w:p>
      <w:pPr>
        <w:pStyle w:val="BodyText"/>
      </w:pPr>
      <w:r>
        <w:t xml:space="preserve">This paper studies a basic limit of that strategy. The nodes and weights are fixed before the network is realized. The estimator is linear in the observed outputs. The total number of network evaluations is fixed. Within this class, how much can any rule improve on a strong structured design?</w:t>
      </w:r>
    </w:p>
    <w:p>
      <w:pPr>
        <w:pStyle w:val="BodyText"/>
      </w:pPr>
      <w:r>
        <w:t xml:space="preserve">The design considered here comes from real mutually unbiased bases. In dimension 256, a complete system contains 129 orthonormal bases. Evaluating every basis vector and its antipode gives 66,048 points on the sphere. The construction has a small algebraic set of pairwise inner products. This makes its error both low and exactly analyzable.</w:t>
      </w:r>
    </w:p>
    <w:p>
      <w:pPr>
        <w:pStyle w:val="BodyText"/>
      </w:pPr>
      <w:r>
        <w:t xml:space="preserve">Our main result is a sharp class-level bound. Among all nonnegative mass-one rules with at most 66,048 nodes, the complete Kerdock rule is at most 0.0233242% above the optimum. Allowing signed weights enlarges the class, but the largest possible reduction in Kerdock risk is still at most 6.2940%.</w:t>
      </w:r>
    </w:p>
    <w:p>
      <w:pPr>
        <w:pStyle w:val="BodyText"/>
      </w:pPr>
      <w:r>
        <w:t xml:space="preserve">The contribution is not a new search heuristic. It is a boundary on an entire estimator family. The proof connects neural-network Gaussian-process kernels, spherical harmonic energy, Delsarte linear programming, and inertia bounds for signed atomic measures.</w:t>
      </w:r>
    </w:p>
    <w:p>
      <w:pPr>
        <w:pStyle w:val="BodyText"/>
      </w:pPr>
      <w:r>
        <w:t xml:space="preserve">The paper has three parts.</w:t>
      </w:r>
    </w:p>
    <w:p>
      <w:pPr>
        <w:pStyle w:val="Compact"/>
        <w:numPr>
          <w:ilvl w:val="0"/>
          <w:numId w:val="1001"/>
        </w:numPr>
      </w:pPr>
      <w:r>
        <w:t xml:space="preserve">We express ensemble integration error as a spherical kernel discrepancy.</w:t>
      </w:r>
    </w:p>
    <w:p>
      <w:pPr>
        <w:pStyle w:val="Compact"/>
        <w:numPr>
          <w:ilvl w:val="0"/>
          <w:numId w:val="1001"/>
        </w:numPr>
      </w:pPr>
      <w:r>
        <w:t xml:space="preserve">We prove near-optimality for nonnegative rules and a constant-factor bound for signed rules.</w:t>
      </w:r>
    </w:p>
    <w:p>
      <w:pPr>
        <w:pStyle w:val="Compact"/>
        <w:numPr>
          <w:ilvl w:val="0"/>
          <w:numId w:val="1001"/>
        </w:numPr>
      </w:pPr>
      <w:r>
        <w:t xml:space="preserve">We give replayable exact and interval certificates for both results.</w:t>
      </w:r>
    </w:p>
    <w:bookmarkEnd w:id="20"/>
    <w:bookmarkStart w:id="26" w:name="problem-setting"/>
    <w:p>
      <w:pPr>
        <w:pStyle w:val="Heading1"/>
      </w:pPr>
      <w:r>
        <w:t xml:space="preserve">Problem setting</w:t>
      </w:r>
    </w:p>
    <w:bookmarkStart w:id="21" w:name="X528612faef519771e107a3df49dbc609ff948bc"/>
    <w:p>
      <w:pPr>
        <w:pStyle w:val="Heading2"/>
      </w:pPr>
      <w:r>
        <w:t xml:space="preserve">From Gaussian input to spherical integration</w:t>
      </w:r>
    </w:p>
    <w:p>
      <w:pPr>
        <w:pStyle w:val="FirstParagraph"/>
      </w:pPr>
      <w:r>
        <w:t xml:space="preserve">Let</w:t>
      </w:r>
      <w:r>
        <w:t xml:space="preserve"> </w:t>
      </w:r>
      <m:oMath>
        <m:r>
          <m:t>f</m:t>
        </m:r>
        <m:r>
          <m:rPr>
            <m:sty m:val="p"/>
          </m:rPr>
          <m:t>:</m:t>
        </m:r>
        <m:sSup>
          <m:e>
            <m:r>
              <m:rPr>
                <m:sty m:val="p"/>
                <m:scr m:val="double-struck"/>
              </m:rPr>
              <m:t>R</m:t>
            </m:r>
          </m:e>
          <m:sup>
            <m:r>
              <m:t>d</m:t>
            </m:r>
          </m:sup>
        </m:sSup>
        <m:r>
          <m:rPr>
            <m:sty m:val="p"/>
          </m:rPr>
          <m:t>→</m:t>
        </m:r>
        <m:r>
          <m:rPr>
            <m:sty m:val="p"/>
            <m:scr m:val="double-struck"/>
          </m:rPr>
          <m:t>R</m:t>
        </m:r>
      </m:oMath>
      <w:r>
        <w:t xml:space="preserve"> </w:t>
      </w:r>
      <w:r>
        <w:t xml:space="preserve">be positively homogeneous of degree one:</w:t>
      </w:r>
    </w:p>
    <w:p>
      <w:pPr>
        <w:pStyle w:val="BodyText"/>
      </w:pPr>
      <m:oMathPara>
        <m:oMathParaPr>
          <m:jc m:val="center"/>
        </m:oMathParaPr>
        <m:oMath>
          <m:r>
            <m:t>f</m:t>
          </m:r>
          <m:d>
            <m:dPr>
              <m:begChr m:val="("/>
              <m:endChr m:val=")"/>
              <m:sepChr m:val=""/>
              <m:grow/>
            </m:dPr>
            <m:e>
              <m:r>
                <m:t>r</m:t>
              </m:r>
              <m:r>
                <m:t>x</m:t>
              </m:r>
            </m:e>
          </m:d>
          <m:r>
            <m:rPr>
              <m:sty m:val="p"/>
            </m:rPr>
            <m:t>=</m:t>
          </m:r>
          <m:r>
            <m:t>r</m:t>
          </m:r>
          <m:r>
            <m:t>f</m:t>
          </m:r>
          <m:d>
            <m:dPr>
              <m:begChr m:val="("/>
              <m:endChr m:val=")"/>
              <m:sepChr m:val=""/>
              <m:grow/>
            </m:dPr>
            <m:e>
              <m:r>
                <m:t>x</m:t>
              </m:r>
            </m:e>
          </m:d>
          <m:r>
            <m:rPr>
              <m:sty m:val="p"/>
            </m:rPr>
            <m:t>,</m:t>
          </m:r>
          <m:r>
            <m:t>  </m:t>
          </m:r>
          <m:r>
            <m:t>r</m:t>
          </m:r>
          <m:r>
            <m:rPr>
              <m:sty m:val="p"/>
            </m:rPr>
            <m:t>≥</m:t>
          </m:r>
          <m:r>
            <m:t>0</m:t>
          </m:r>
        </m:oMath>
      </m:oMathPara>
    </w:p>
    <w:p>
      <w:pPr>
        <w:pStyle w:val="FirstParagraph"/>
      </w:pPr>
      <w:r>
        <w:t xml:space="preserve">Write a standard Gaussian vector as</w:t>
      </w:r>
      <w:r>
        <w:t xml:space="preserve"> </w:t>
      </w:r>
      <m:oMath>
        <m:r>
          <m:t>X</m:t>
        </m:r>
        <m:r>
          <m:rPr>
            <m:sty m:val="p"/>
          </m:rPr>
          <m:t>=</m:t>
        </m:r>
        <m:r>
          <m:t>R</m:t>
        </m:r>
        <m:r>
          <m:t>U</m:t>
        </m:r>
      </m:oMath>
      <w:r>
        <w:t xml:space="preserve">, where</w:t>
      </w:r>
      <w:r>
        <w:t xml:space="preserve"> </w:t>
      </w:r>
      <m:oMath>
        <m:r>
          <m:t>U</m:t>
        </m:r>
      </m:oMath>
      <w:r>
        <w:t xml:space="preserve"> </w:t>
      </w:r>
      <w:r>
        <w:t xml:space="preserve">is uniform on</w:t>
      </w:r>
      <w:r>
        <w:t xml:space="preserve"> </w:t>
      </w:r>
      <m:oMath>
        <m:sSup>
          <m:e>
            <m:r>
              <m:rPr>
                <m:sty m:val="p"/>
                <m:scr m:val="double-struck"/>
              </m:rPr>
              <m:t>S</m:t>
            </m:r>
          </m:e>
          <m:sup>
            <m:r>
              <m:t>d</m:t>
            </m:r>
            <m:r>
              <m:rPr>
                <m:sty m:val="p"/>
              </m:rPr>
              <m:t>−</m:t>
            </m:r>
            <m:r>
              <m:t>1</m:t>
            </m:r>
          </m:sup>
        </m:sSup>
      </m:oMath>
      <w:r>
        <w:t xml:space="preserve"> </w:t>
      </w:r>
      <w:r>
        <w:t xml:space="preserve">and</w:t>
      </w:r>
      <w:r>
        <w:t xml:space="preserve"> </w:t>
      </w:r>
      <m:oMath>
        <m:r>
          <m:t>R</m:t>
        </m:r>
        <m:r>
          <m:rPr>
            <m:sty m:val="p"/>
          </m:rPr>
          <m:t>=</m:t>
        </m:r>
        <m:r>
          <m:rPr>
            <m:sty m:val="p"/>
          </m:rPr>
          <m:t>∥</m:t>
        </m:r>
        <m:r>
          <m:t>X</m:t>
        </m:r>
        <m:sSub>
          <m:e>
            <m:r>
              <m:rPr>
                <m:sty m:val="p"/>
              </m:rPr>
              <m:t>∥</m:t>
            </m:r>
          </m:e>
          <m:sub>
            <m:r>
              <m:t>2</m:t>
            </m:r>
          </m:sub>
        </m:sSub>
      </m:oMath>
      <w:r>
        <w:t xml:space="preserve"> </w:t>
      </w:r>
      <w:r>
        <w:t xml:space="preserve">is independent of</w:t>
      </w:r>
      <w:r>
        <w:t xml:space="preserve"> </w:t>
      </w:r>
      <m:oMath>
        <m:r>
          <m:t>U</m:t>
        </m:r>
      </m:oMath>
      <w:r>
        <w:t xml:space="preserve">. Then</w:t>
      </w:r>
    </w:p>
    <w:p>
      <w:pPr>
        <w:pStyle w:val="BodyText"/>
      </w:pPr>
      <m:oMathPara>
        <m:oMathParaPr>
          <m:jc m:val="center"/>
        </m:oMathParaPr>
        <m:oMath>
          <m:r>
            <m:rPr>
              <m:sty m:val="p"/>
              <m:scr m:val="double-struck"/>
            </m:rPr>
            <m:t>E</m:t>
          </m:r>
          <m:d>
            <m:dPr>
              <m:begChr m:val="["/>
              <m:endChr m:val="]"/>
              <m:sepChr m:val=""/>
              <m:grow/>
            </m:dPr>
            <m:e>
              <m:r>
                <m:t>f</m:t>
              </m:r>
              <m:d>
                <m:dPr>
                  <m:begChr m:val="("/>
                  <m:endChr m:val=")"/>
                  <m:sepChr m:val=""/>
                  <m:grow/>
                </m:dPr>
                <m:e>
                  <m:r>
                    <m:t>X</m:t>
                  </m:r>
                </m:e>
              </m:d>
            </m:e>
          </m:d>
          <m:r>
            <m:rPr>
              <m:sty m:val="p"/>
            </m:rPr>
            <m:t>=</m:t>
          </m:r>
          <m:r>
            <m:rPr>
              <m:sty m:val="p"/>
              <m:scr m:val="double-struck"/>
            </m:rPr>
            <m:t>E</m:t>
          </m:r>
          <m:d>
            <m:dPr>
              <m:begChr m:val="["/>
              <m:endChr m:val="]"/>
              <m:sepChr m:val=""/>
              <m:grow/>
            </m:dPr>
            <m:e>
              <m:r>
                <m:t>R</m:t>
              </m:r>
            </m:e>
          </m:d>
          <m:nary>
            <m:naryPr>
              <m:chr m:val="∫"/>
              <m:limLoc m:val="subSup"/>
              <m:subHide m:val="off"/>
              <m:supHide m:val="on"/>
            </m:naryPr>
            <m:sub>
              <m:sSup>
                <m:e>
                  <m:r>
                    <m:rPr>
                      <m:sty m:val="p"/>
                      <m:scr m:val="double-struck"/>
                    </m:rPr>
                    <m:t>S</m:t>
                  </m:r>
                </m:e>
                <m:sup>
                  <m:r>
                    <m:t>d</m:t>
                  </m:r>
                  <m:r>
                    <m:rPr>
                      <m:sty m:val="p"/>
                    </m:rPr>
                    <m:t>−</m:t>
                  </m:r>
                  <m:r>
                    <m:t>1</m:t>
                  </m:r>
                </m:sup>
              </m:sSup>
            </m:sub>
            <m:sup>
              <m:r>
                <m:t>​</m:t>
              </m:r>
            </m:sup>
            <m:e>
              <m:r>
                <m:t>f</m:t>
              </m:r>
            </m:e>
          </m:nary>
          <m:d>
            <m:dPr>
              <m:begChr m:val="("/>
              <m:endChr m:val=")"/>
              <m:sepChr m:val=""/>
              <m:grow/>
            </m:dPr>
            <m:e>
              <m:r>
                <m:t>u</m:t>
              </m:r>
            </m:e>
          </m:d>
          <m:r>
            <m:t> </m:t>
          </m:r>
          <m:r>
            <m:t>d</m:t>
          </m:r>
          <m:r>
            <m:t>σ</m:t>
          </m:r>
          <m:d>
            <m:dPr>
              <m:begChr m:val="("/>
              <m:endChr m:val=")"/>
              <m:sepChr m:val=""/>
              <m:grow/>
            </m:dPr>
            <m:e>
              <m:r>
                <m:t>u</m:t>
              </m:r>
            </m:e>
          </m:d>
        </m:oMath>
      </m:oMathPara>
    </w:p>
    <w:p>
      <w:pPr>
        <w:pStyle w:val="FirstParagraph"/>
      </w:pPr>
      <w:r>
        <w:t xml:space="preserve">Bias-free ReLU networks satisfy this homogeneity exactly. The radial factor is known, so the numerical problem reduces to integration on the sphere.</w:t>
      </w:r>
    </w:p>
    <w:bookmarkEnd w:id="21"/>
    <w:bookmarkStart w:id="22" w:name="the-deep-relu-kernel"/>
    <w:p>
      <w:pPr>
        <w:pStyle w:val="Heading2"/>
      </w:pPr>
      <w:r>
        <w:t xml:space="preserve">The deep ReLU kernel</w:t>
      </w:r>
    </w:p>
    <w:p>
      <w:pPr>
        <w:pStyle w:val="FirstParagraph"/>
      </w:pPr>
      <w:r>
        <w:t xml:space="preserve">The centered infinite-width network output is a rotationally invariant Gaussian process. Its covariance on the sphere has the form</w:t>
      </w:r>
    </w:p>
    <w:p>
      <w:pPr>
        <w:pStyle w:val="BodyText"/>
      </w:pPr>
      <m:oMathPara>
        <m:oMathParaPr>
          <m:jc m:val="center"/>
        </m:oMathParaPr>
        <m:oMath>
          <m:r>
            <m:rPr>
              <m:sty m:val="p"/>
              <m:scr m:val="double-struck"/>
            </m:rPr>
            <m:t>E</m:t>
          </m:r>
          <m:d>
            <m:dPr>
              <m:begChr m:val="["/>
              <m:endChr m:val="]"/>
              <m:sepChr m:val=""/>
              <m:grow/>
            </m:dPr>
            <m:e>
              <m:r>
                <m:t>F</m:t>
              </m:r>
              <m:d>
                <m:dPr>
                  <m:begChr m:val="("/>
                  <m:endChr m:val=")"/>
                  <m:sepChr m:val=""/>
                  <m:grow/>
                </m:dPr>
                <m:e>
                  <m:r>
                    <m:t>u</m:t>
                  </m:r>
                </m:e>
              </m:d>
              <m:r>
                <m:t>F</m:t>
              </m:r>
              <m:d>
                <m:dPr>
                  <m:begChr m:val="("/>
                  <m:endChr m:val=")"/>
                  <m:sepChr m:val=""/>
                  <m:grow/>
                </m:dPr>
                <m:e>
                  <m:r>
                    <m:t>v</m:t>
                  </m:r>
                </m:e>
              </m:d>
            </m:e>
          </m:d>
          <m:r>
            <m:rPr>
              <m:sty m:val="p"/>
            </m:rPr>
            <m:t>=</m:t>
          </m:r>
          <m:sSub>
            <m:e>
              <m:r>
                <m:t>K</m:t>
              </m:r>
            </m:e>
            <m:sub>
              <m:r>
                <m:t>32</m:t>
              </m:r>
            </m:sub>
          </m:sSub>
          <m:d>
            <m:dPr>
              <m:begChr m:val="("/>
              <m:endChr m:val=")"/>
              <m:sepChr m:val=""/>
              <m:grow/>
            </m:dPr>
            <m:e>
              <m:sSup>
                <m:e>
                  <m:r>
                    <m:t>u</m:t>
                  </m:r>
                </m:e>
                <m:sup>
                  <m:r>
                    <m:rPr>
                      <m:sty m:val="p"/>
                    </m:rPr>
                    <m:t>⊤</m:t>
                  </m:r>
                </m:sup>
              </m:sSup>
              <m:r>
                <m:t>v</m:t>
              </m:r>
            </m:e>
          </m:d>
        </m:oMath>
      </m:oMathPara>
    </w:p>
    <w:p>
      <w:pPr>
        <w:pStyle w:val="FirstParagraph"/>
      </w:pPr>
      <w:r>
        <w:t xml:space="preserve">where</w:t>
      </w:r>
    </w:p>
    <w:p>
      <w:pPr>
        <w:pStyle w:val="BodyText"/>
      </w:pPr>
      <m:oMathPara>
        <m:oMathParaPr>
          <m:jc m:val="center"/>
        </m:oMathParaPr>
        <m:oMath>
          <m:sSub>
            <m:e>
              <m:r>
                <m:t>K</m:t>
              </m:r>
            </m:e>
            <m:sub>
              <m:r>
                <m:t>0</m:t>
              </m:r>
            </m:sub>
          </m:sSub>
          <m:d>
            <m:dPr>
              <m:begChr m:val="("/>
              <m:endChr m:val=")"/>
              <m:sepChr m:val=""/>
              <m:grow/>
            </m:dPr>
            <m:e>
              <m:r>
                <m:t>t</m:t>
              </m:r>
            </m:e>
          </m:d>
          <m:r>
            <m:rPr>
              <m:sty m:val="p"/>
            </m:rPr>
            <m:t>=</m:t>
          </m:r>
          <m:r>
            <m:t>t</m:t>
          </m:r>
          <m:r>
            <m:rPr>
              <m:sty m:val="p"/>
            </m:rPr>
            <m:t>,</m:t>
          </m:r>
          <m:r>
            <m:t>  </m:t>
          </m:r>
          <m:sSub>
            <m:e>
              <m:r>
                <m:t>K</m:t>
              </m:r>
            </m:e>
            <m:sub>
              <m:r>
                <m:rPr>
                  <m:sty m:val="p"/>
                </m:rPr>
                <m:t>ℓ</m:t>
              </m:r>
              <m:r>
                <m:rPr>
                  <m:sty m:val="p"/>
                </m:rPr>
                <m:t>+</m:t>
              </m:r>
              <m:r>
                <m:t>1</m:t>
              </m:r>
            </m:sub>
          </m:sSub>
          <m:d>
            <m:dPr>
              <m:begChr m:val="("/>
              <m:endChr m:val=")"/>
              <m:sepChr m:val=""/>
              <m:grow/>
            </m:dPr>
            <m:e>
              <m:r>
                <m:t>t</m:t>
              </m:r>
            </m:e>
          </m:d>
          <m:r>
            <m:rPr>
              <m:sty m:val="p"/>
            </m:rPr>
            <m:t>=</m:t>
          </m:r>
          <m:r>
            <m:t>κ</m:t>
          </m:r>
          <m:d>
            <m:dPr>
              <m:begChr m:val="("/>
              <m:endChr m:val=")"/>
              <m:sepChr m:val=""/>
              <m:grow/>
            </m:dPr>
            <m:e>
              <m:sSub>
                <m:e>
                  <m:r>
                    <m:t>K</m:t>
                  </m:r>
                </m:e>
                <m:sub>
                  <m:r>
                    <m:rPr>
                      <m:sty m:val="p"/>
                    </m:rPr>
                    <m:t>ℓ</m:t>
                  </m:r>
                </m:sub>
              </m:sSub>
              <m:d>
                <m:dPr>
                  <m:begChr m:val="("/>
                  <m:endChr m:val=")"/>
                  <m:sepChr m:val=""/>
                  <m:grow/>
                </m:dPr>
                <m:e>
                  <m:r>
                    <m:t>t</m:t>
                  </m:r>
                </m:e>
              </m:d>
            </m:e>
          </m:d>
        </m:oMath>
      </m:oMathPara>
    </w:p>
    <w:p>
      <w:pPr>
        <w:pStyle w:val="FirstParagraph"/>
      </w:pPr>
      <w:r>
        <w:t xml:space="preserve">and</w:t>
      </w:r>
    </w:p>
    <w:p>
      <w:pPr>
        <w:pStyle w:val="BodyText"/>
      </w:pPr>
      <m:oMathPara>
        <m:oMathParaPr>
          <m:jc m:val="center"/>
        </m:oMathParaPr>
        <m:oMath>
          <m:r>
            <m:t>κ</m:t>
          </m:r>
          <m:d>
            <m:dPr>
              <m:begChr m:val="("/>
              <m:endChr m:val=")"/>
              <m:sepChr m:val=""/>
              <m:grow/>
            </m:dPr>
            <m:e>
              <m:r>
                <m:t>t</m:t>
              </m:r>
            </m:e>
          </m:d>
          <m:r>
            <m:rPr>
              <m:sty m:val="p"/>
            </m:rPr>
            <m:t>=</m:t>
          </m:r>
          <m:f>
            <m:fPr>
              <m:type m:val="bar"/>
            </m:fPr>
            <m:num>
              <m:rad>
                <m:radPr>
                  <m:degHide m:val="on"/>
                </m:radPr>
                <m:deg/>
                <m:e>
                  <m:r>
                    <m:t>1</m:t>
                  </m:r>
                  <m:r>
                    <m:rPr>
                      <m:sty m:val="p"/>
                    </m:rPr>
                    <m:t>−</m:t>
                  </m:r>
                  <m:sSup>
                    <m:e>
                      <m:r>
                        <m:t>t</m:t>
                      </m:r>
                    </m:e>
                    <m:sup>
                      <m:r>
                        <m:t>2</m:t>
                      </m:r>
                    </m:sup>
                  </m:sSup>
                </m:e>
              </m:rad>
              <m:r>
                <m:rPr>
                  <m:sty m:val="p"/>
                </m:rPr>
                <m:t>+</m:t>
              </m:r>
              <m:d>
                <m:dPr>
                  <m:begChr m:val="("/>
                  <m:endChr m:val=")"/>
                  <m:sepChr m:val=""/>
                  <m:grow/>
                </m:dPr>
                <m:e>
                  <m:r>
                    <m:t>π</m:t>
                  </m:r>
                  <m:r>
                    <m:rPr>
                      <m:sty m:val="p"/>
                    </m:rPr>
                    <m:t>−</m:t>
                  </m:r>
                  <m:r>
                    <m:rPr>
                      <m:sty m:val="p"/>
                    </m:rPr>
                    <m:t>arccos</m:t>
                  </m:r>
                  <m:r>
                    <m:t>t</m:t>
                  </m:r>
                </m:e>
              </m:d>
              <m:r>
                <m:t>t</m:t>
              </m:r>
            </m:num>
            <m:den>
              <m:r>
                <m:t>π</m:t>
              </m:r>
            </m:den>
          </m:f>
        </m:oMath>
      </m:oMathPara>
    </w:p>
    <w:p>
      <w:pPr>
        <w:pStyle w:val="FirstParagraph"/>
      </w:pPr>
      <w:r>
        <w:t xml:space="preserve">The kernel has a normalized Gegenbauer expansion</w:t>
      </w:r>
    </w:p>
    <w:p>
      <w:pPr>
        <w:pStyle w:val="BodyText"/>
      </w:pPr>
      <m:oMathPara>
        <m:oMathParaPr>
          <m:jc m:val="center"/>
        </m:oMathParaPr>
        <m:oMath>
          <m:sSub>
            <m:e>
              <m:r>
                <m:t>K</m:t>
              </m:r>
            </m:e>
            <m:sub>
              <m:r>
                <m:t>32</m:t>
              </m:r>
            </m:sub>
          </m:sSub>
          <m:d>
            <m:dPr>
              <m:begChr m:val="("/>
              <m:endChr m:val=")"/>
              <m:sepChr m:val=""/>
              <m:grow/>
            </m:dPr>
            <m:e>
              <m:r>
                <m:t>t</m:t>
              </m:r>
            </m:e>
          </m:d>
          <m:r>
            <m:rPr>
              <m:sty m:val="p"/>
            </m:rPr>
            <m:t>=</m:t>
          </m:r>
          <m:nary>
            <m:naryPr>
              <m:chr m:val="∑"/>
              <m:limLoc m:val="undOvr"/>
              <m:subHide m:val="off"/>
              <m:supHide m:val="on"/>
            </m:naryPr>
            <m:sub>
              <m:r>
                <m:rPr>
                  <m:sty m:val="p"/>
                </m:rPr>
                <m:t>ℓ</m:t>
              </m:r>
              <m:r>
                <m:rPr>
                  <m:sty m:val="p"/>
                </m:rPr>
                <m:t>≥</m:t>
              </m:r>
              <m:r>
                <m:t>0</m:t>
              </m:r>
            </m:sub>
            <m:sup>
              <m:r>
                <m:t>​</m:t>
              </m:r>
            </m:sup>
            <m:e>
              <m:sSub>
                <m:e>
                  <m:r>
                    <m:t>a</m:t>
                  </m:r>
                </m:e>
                <m:sub>
                  <m:r>
                    <m:rPr>
                      <m:sty m:val="p"/>
                    </m:rPr>
                    <m:t>ℓ</m:t>
                  </m:r>
                </m:sub>
              </m:sSub>
            </m:e>
          </m:nary>
          <m:sSub>
            <m:e>
              <m:r>
                <m:t>G</m:t>
              </m:r>
            </m:e>
            <m:sub>
              <m:r>
                <m:rPr>
                  <m:sty m:val="p"/>
                </m:rPr>
                <m:t>ℓ</m:t>
              </m:r>
            </m:sub>
          </m:sSub>
          <m:d>
            <m:dPr>
              <m:begChr m:val="("/>
              <m:endChr m:val=")"/>
              <m:sepChr m:val=""/>
              <m:grow/>
            </m:dPr>
            <m:e>
              <m:r>
                <m:t>t</m:t>
              </m:r>
            </m:e>
          </m:d>
          <m:r>
            <m:rPr>
              <m:sty m:val="p"/>
            </m:rPr>
            <m:t>,</m:t>
          </m:r>
          <m:r>
            <m:t>  </m:t>
          </m:r>
          <m:sSub>
            <m:e>
              <m:r>
                <m:t>a</m:t>
              </m:r>
            </m:e>
            <m:sub>
              <m:r>
                <m:rPr>
                  <m:sty m:val="p"/>
                </m:rPr>
                <m:t>ℓ</m:t>
              </m:r>
            </m:sub>
          </m:sSub>
          <m:r>
            <m:rPr>
              <m:sty m:val="p"/>
            </m:rPr>
            <m:t>≥</m:t>
          </m:r>
          <m:r>
            <m:t>0</m:t>
          </m:r>
          <m:r>
            <m:rPr>
              <m:sty m:val="p"/>
            </m:rPr>
            <m:t>,</m:t>
          </m:r>
          <m:r>
            <m:t>  </m:t>
          </m:r>
          <m:sSub>
            <m:e>
              <m:r>
                <m:t>G</m:t>
              </m:r>
            </m:e>
            <m:sub>
              <m:r>
                <m:rPr>
                  <m:sty m:val="p"/>
                </m:rPr>
                <m:t>ℓ</m:t>
              </m:r>
            </m:sub>
          </m:sSub>
          <m:d>
            <m:dPr>
              <m:begChr m:val="("/>
              <m:endChr m:val=")"/>
              <m:sepChr m:val=""/>
              <m:grow/>
            </m:dPr>
            <m:e>
              <m:r>
                <m:t>1</m:t>
              </m:r>
            </m:e>
          </m:d>
          <m:r>
            <m:rPr>
              <m:sty m:val="p"/>
            </m:rPr>
            <m:t>=</m:t>
          </m:r>
          <m:r>
            <m:t>1</m:t>
          </m:r>
        </m:oMath>
      </m:oMathPara>
    </w:p>
    <w:p>
      <w:pPr>
        <w:pStyle w:val="FirstParagraph"/>
      </w:pPr>
      <w:r>
        <w:t xml:space="preserve">Each coefficient</w:t>
      </w:r>
      <w:r>
        <w:t xml:space="preserve"> </w:t>
      </w:r>
      <m:oMath>
        <m:sSub>
          <m:e>
            <m:r>
              <m:t>a</m:t>
            </m:r>
          </m:e>
          <m:sub>
            <m:r>
              <m:rPr>
                <m:sty m:val="p"/>
              </m:rPr>
              <m:t>ℓ</m:t>
            </m:r>
          </m:sub>
        </m:sSub>
      </m:oMath>
      <w:r>
        <w:t xml:space="preserve"> </w:t>
      </w:r>
      <w:r>
        <w:t xml:space="preserve">measures the energy in spherical harmonic degree</w:t>
      </w:r>
      <w:r>
        <w:t xml:space="preserve"> </w:t>
      </w:r>
      <m:oMath>
        <m:r>
          <m:rPr>
            <m:sty m:val="p"/>
          </m:rPr>
          <m:t>ℓ</m:t>
        </m:r>
      </m:oMath>
      <w:r>
        <w:t xml:space="preserve">.</w:t>
      </w:r>
    </w:p>
    <w:bookmarkEnd w:id="22"/>
    <w:bookmarkStart w:id="23" w:name="static-linear-cubature"/>
    <w:p>
      <w:pPr>
        <w:pStyle w:val="Heading2"/>
      </w:pPr>
      <w:r>
        <w:t xml:space="preserve">Static linear cubature</w:t>
      </w:r>
    </w:p>
    <w:p>
      <w:pPr>
        <w:pStyle w:val="FirstParagraph"/>
      </w:pPr>
      <w:r>
        <w:t xml:space="preserve">A rule with at most</w:t>
      </w:r>
      <w:r>
        <w:t xml:space="preserve"> </w:t>
      </w:r>
      <m:oMath>
        <m:r>
          <m:t>N</m:t>
        </m:r>
      </m:oMath>
      <w:r>
        <w:t xml:space="preserve"> </w:t>
      </w:r>
      <w:r>
        <w:t xml:space="preserve">consolidated nodes is</w:t>
      </w:r>
    </w:p>
    <w:p>
      <w:pPr>
        <w:pStyle w:val="BodyText"/>
      </w:pPr>
      <m:oMathPara>
        <m:oMathParaPr>
          <m:jc m:val="center"/>
        </m:oMathParaPr>
        <m:oMath>
          <m:r>
            <m:t>Q</m:t>
          </m:r>
          <m:d>
            <m:dPr>
              <m:begChr m:val="("/>
              <m:endChr m:val=")"/>
              <m:sepChr m:val=""/>
              <m:grow/>
            </m:dPr>
            <m:e>
              <m:r>
                <m:t>f</m:t>
              </m:r>
            </m:e>
          </m:d>
          <m:r>
            <m:rPr>
              <m:sty m:val="p"/>
            </m:rPr>
            <m:t>=</m:t>
          </m:r>
          <m:nary>
            <m:naryPr>
              <m:chr m:val="∑"/>
              <m:limLoc m:val="undOvr"/>
              <m:subHide m:val="off"/>
              <m:supHide m:val="off"/>
            </m:naryPr>
            <m:sub>
              <m:r>
                <m:t>i</m:t>
              </m:r>
              <m:r>
                <m:rPr>
                  <m:sty m:val="p"/>
                </m:rPr>
                <m:t>=</m:t>
              </m:r>
              <m:r>
                <m:t>1</m:t>
              </m:r>
            </m:sub>
            <m:sup>
              <m:r>
                <m:t>n</m:t>
              </m:r>
            </m:sup>
            <m:e>
              <m:sSub>
                <m:e>
                  <m:r>
                    <m:t>w</m:t>
                  </m:r>
                </m:e>
                <m:sub>
                  <m:r>
                    <m:t>i</m:t>
                  </m:r>
                </m:sub>
              </m:sSub>
            </m:e>
          </m:nary>
          <m:r>
            <m:t>f</m:t>
          </m:r>
          <m:d>
            <m:dPr>
              <m:begChr m:val="("/>
              <m:endChr m:val=")"/>
              <m:sepChr m:val=""/>
              <m:grow/>
            </m:dPr>
            <m:e>
              <m:sSub>
                <m:e>
                  <m:r>
                    <m:t>u</m:t>
                  </m:r>
                </m:e>
                <m:sub>
                  <m:r>
                    <m:t>i</m:t>
                  </m:r>
                </m:sub>
              </m:sSub>
            </m:e>
          </m:d>
          <m:r>
            <m:rPr>
              <m:sty m:val="p"/>
            </m:rPr>
            <m:t>,</m:t>
          </m:r>
          <m:r>
            <m:t>  </m:t>
          </m:r>
          <m:r>
            <m:t>n</m:t>
          </m:r>
          <m:r>
            <m:rPr>
              <m:sty m:val="p"/>
            </m:rPr>
            <m:t>≤</m:t>
          </m:r>
          <m:r>
            <m:t>N</m:t>
          </m:r>
          <m:r>
            <m:rPr>
              <m:sty m:val="p"/>
            </m:rPr>
            <m:t>,</m:t>
          </m:r>
          <m:r>
            <m:t>  </m:t>
          </m:r>
          <m:sSub>
            <m:e>
              <m:r>
                <m:t>u</m:t>
              </m:r>
            </m:e>
            <m:sub>
              <m:r>
                <m:t>i</m:t>
              </m:r>
            </m:sub>
          </m:sSub>
          <m:r>
            <m:rPr>
              <m:sty m:val="p"/>
            </m:rPr>
            <m:t>∈</m:t>
          </m:r>
          <m:sSup>
            <m:e>
              <m:r>
                <m:rPr>
                  <m:sty m:val="p"/>
                  <m:scr m:val="double-struck"/>
                </m:rPr>
                <m:t>S</m:t>
              </m:r>
            </m:e>
            <m:sup>
              <m:r>
                <m:t>255</m:t>
              </m:r>
            </m:sup>
          </m:sSup>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oMath>
      </m:oMathPara>
    </w:p>
    <w:p>
      <w:pPr>
        <w:pStyle w:val="FirstParagraph"/>
      </w:pPr>
      <w:r>
        <w:t xml:space="preserve">The nodes and weights are independent of the realized network and of all observed function values. We study two classes. Nonnegative rules have</w:t>
      </w:r>
      <w:r>
        <w:t xml:space="preserve"> </w:t>
      </w:r>
      <m:oMath>
        <m:sSub>
          <m:e>
            <m:r>
              <m:t>w</m:t>
            </m:r>
          </m:e>
          <m:sub>
            <m:r>
              <m:t>i</m:t>
            </m:r>
          </m:sub>
        </m:sSub>
        <m:r>
          <m:rPr>
            <m:sty m:val="p"/>
          </m:rPr>
          <m:t>≥</m:t>
        </m:r>
        <m:r>
          <m:t>0</m:t>
        </m:r>
      </m:oMath>
      <w:r>
        <w:t xml:space="preserve"> </w:t>
      </w:r>
      <w:r>
        <w:t xml:space="preserve">for every node. Signed rules allow any real weights.</w:t>
      </w:r>
    </w:p>
    <w:p>
      <w:pPr>
        <w:pStyle w:val="BodyText"/>
      </w:pPr>
      <w:r>
        <w:t xml:space="preserve">Define the ensemble mean-squared integration error</w:t>
      </w:r>
    </w:p>
    <w:p>
      <w:pPr>
        <w:pStyle w:val="BodyText"/>
      </w:pPr>
      <m:oMathPara>
        <m:oMathParaPr>
          <m:jc m:val="center"/>
        </m:oMathParaPr>
        <m:oMath>
          <m:r>
            <m:rPr>
              <m:sty m:val="p"/>
              <m:scr m:val="script"/>
            </m:rPr>
            <m:t>R</m:t>
          </m:r>
          <m:d>
            <m:dPr>
              <m:begChr m:val="("/>
              <m:endChr m:val=")"/>
              <m:sepChr m:val=""/>
              <m:grow/>
            </m:dPr>
            <m:e>
              <m:r>
                <m:t>Q</m:t>
              </m:r>
            </m:e>
          </m:d>
          <m:r>
            <m:rPr>
              <m:sty m:val="p"/>
            </m:rPr>
            <m:t>=</m:t>
          </m:r>
          <m:r>
            <m:rPr>
              <m:sty m:val="p"/>
              <m:scr m:val="double-struck"/>
            </m:rPr>
            <m:t>E</m:t>
          </m:r>
          <m:d>
            <m:dPr>
              <m:begChr m:val="["/>
              <m:endChr m:val="]"/>
              <m:sepChr m:val=""/>
              <m:grow/>
            </m:dPr>
            <m:e>
              <m:sSup>
                <m:e>
                  <m:d>
                    <m:dPr>
                      <m:begChr m:val="("/>
                      <m:endChr m:val=")"/>
                      <m:sepChr m:val=""/>
                      <m:grow/>
                    </m:dPr>
                    <m:e>
                      <m:r>
                        <m:t>Q</m:t>
                      </m:r>
                      <m:d>
                        <m:dPr>
                          <m:begChr m:val="("/>
                          <m:endChr m:val=")"/>
                          <m:sepChr m:val=""/>
                          <m:grow/>
                        </m:dPr>
                        <m:e>
                          <m:r>
                            <m:t>F</m:t>
                          </m:r>
                        </m:e>
                      </m:d>
                      <m:r>
                        <m:rPr>
                          <m:sty m:val="p"/>
                        </m:rPr>
                        <m:t>−</m:t>
                      </m:r>
                      <m:r>
                        <m:rPr>
                          <m:sty m:val="p"/>
                        </m:rPr>
                        <m:t>∫</m:t>
                      </m:r>
                      <m:r>
                        <m:t>F</m:t>
                      </m:r>
                      <m:r>
                        <m:t> </m:t>
                      </m:r>
                      <m:r>
                        <m:t>d</m:t>
                      </m:r>
                      <m:r>
                        <m:t>σ</m:t>
                      </m:r>
                    </m:e>
                  </m:d>
                </m:e>
                <m:sup>
                  <m:r>
                    <m:t>2</m:t>
                  </m:r>
                </m:sup>
              </m:sSup>
            </m:e>
          </m:d>
        </m:oMath>
      </m:oMathPara>
    </w:p>
    <w:p>
      <w:pPr>
        <w:pStyle w:val="FirstParagraph"/>
      </w:pPr>
      <w:r>
        <w:t xml:space="preserve">Because the rule is fixed before the Gaussian field is drawn,</w:t>
      </w:r>
    </w:p>
    <w:p>
      <w:pPr>
        <w:pStyle w:val="BodyText"/>
      </w:pPr>
      <m:oMathPara>
        <m:oMathParaPr>
          <m:jc m:val="center"/>
        </m:oMathParaPr>
        <m:oMath>
          <m:r>
            <m:rPr>
              <m:sty m:val="p"/>
              <m:scr m:val="script"/>
            </m:rPr>
            <m:t>R</m:t>
          </m:r>
          <m:d>
            <m:dPr>
              <m:begChr m:val="("/>
              <m:endChr m:val=")"/>
              <m:sepChr m:val=""/>
              <m:grow/>
            </m:dPr>
            <m:e>
              <m:r>
                <m:t>Q</m:t>
              </m:r>
            </m:e>
          </m:d>
          <m:r>
            <m:rPr>
              <m:sty m:val="p"/>
            </m:rPr>
            <m:t>=</m:t>
          </m:r>
          <m:r>
            <m:rPr>
              <m:sty m:val="p"/>
            </m:rPr>
            <m:t>∬</m:t>
          </m:r>
          <m:sSub>
            <m:e>
              <m:r>
                <m:t>K</m:t>
              </m:r>
            </m:e>
            <m:sub>
              <m:r>
                <m:t>32</m:t>
              </m:r>
            </m:sub>
          </m:sSub>
          <m:d>
            <m:dPr>
              <m:begChr m:val="("/>
              <m:endChr m:val=")"/>
              <m:sepChr m:val=""/>
              <m:grow/>
            </m:dPr>
            <m:e>
              <m:sSup>
                <m:e>
                  <m:r>
                    <m:t>u</m:t>
                  </m:r>
                </m:e>
                <m:sup>
                  <m:r>
                    <m:rPr>
                      <m:sty m:val="p"/>
                    </m:rPr>
                    <m:t>⊤</m:t>
                  </m:r>
                </m:sup>
              </m:sSup>
              <m:r>
                <m:t>v</m:t>
              </m:r>
            </m:e>
          </m:d>
          <m:r>
            <m:t> </m:t>
          </m:r>
          <m:r>
            <m:t>d</m:t>
          </m:r>
          <m:d>
            <m:dPr>
              <m:begChr m:val="("/>
              <m:endChr m:val=")"/>
              <m:sepChr m:val=""/>
              <m:grow/>
            </m:dPr>
            <m:e>
              <m:r>
                <m:t>σ</m:t>
              </m:r>
              <m:r>
                <m:rPr>
                  <m:sty m:val="p"/>
                </m:rPr>
                <m:t>−</m:t>
              </m:r>
              <m:r>
                <m:t>Q</m:t>
              </m:r>
            </m:e>
          </m:d>
          <m:d>
            <m:dPr>
              <m:begChr m:val="("/>
              <m:endChr m:val=")"/>
              <m:sepChr m:val=""/>
              <m:grow/>
            </m:dPr>
            <m:e>
              <m:r>
                <m:t>u</m:t>
              </m:r>
            </m:e>
          </m:d>
          <m:r>
            <m:t> </m:t>
          </m:r>
          <m:r>
            <m:t>d</m:t>
          </m:r>
          <m:d>
            <m:dPr>
              <m:begChr m:val="("/>
              <m:endChr m:val=")"/>
              <m:sepChr m:val=""/>
              <m:grow/>
            </m:dPr>
            <m:e>
              <m:r>
                <m:t>σ</m:t>
              </m:r>
              <m:r>
                <m:rPr>
                  <m:sty m:val="p"/>
                </m:rPr>
                <m:t>−</m:t>
              </m:r>
              <m:r>
                <m:t>Q</m:t>
              </m:r>
            </m:e>
          </m:d>
          <m:d>
            <m:dPr>
              <m:begChr m:val="("/>
              <m:endChr m:val=")"/>
              <m:sepChr m:val=""/>
              <m:grow/>
            </m:dPr>
            <m:e>
              <m:r>
                <m:t>v</m:t>
              </m:r>
            </m:e>
          </m:d>
        </m:oMath>
      </m:oMathPara>
    </w:p>
    <w:p>
      <w:pPr>
        <w:pStyle w:val="FirstParagraph"/>
      </w:pPr>
      <w:r>
        <w:t xml:space="preserve">Thus the neural-network integration problem is exactly a kernel discrepancy problem on the sphere.</w:t>
      </w:r>
    </w:p>
    <w:bookmarkEnd w:id="23"/>
    <w:bookmarkStart w:id="24" w:name="the-complete-kerdock-rule"/>
    <w:p>
      <w:pPr>
        <w:pStyle w:val="Heading2"/>
      </w:pPr>
      <w:r>
        <w:t xml:space="preserve">The complete Kerdock rule</w:t>
      </w:r>
    </w:p>
    <w:p>
      <w:pPr>
        <w:pStyle w:val="FirstParagraph"/>
      </w:pPr>
      <w:r>
        <w:t xml:space="preserve">A complete real mutually unbiased system in dimension</w:t>
      </w:r>
      <w:r>
        <w:t xml:space="preserve"> </w:t>
      </w:r>
      <m:oMath>
        <m:r>
          <m:t>d</m:t>
        </m:r>
        <m:r>
          <m:rPr>
            <m:sty m:val="p"/>
          </m:rPr>
          <m:t>=</m:t>
        </m:r>
        <m:r>
          <m:t>256</m:t>
        </m:r>
      </m:oMath>
      <w:r>
        <w:t xml:space="preserve"> </w:t>
      </w:r>
      <w:r>
        <w:t xml:space="preserve">contains</w:t>
      </w:r>
    </w:p>
    <w:p>
      <w:pPr>
        <w:pStyle w:val="BodyText"/>
      </w:pPr>
      <m:oMathPara>
        <m:oMathParaPr>
          <m:jc m:val="center"/>
        </m:oMathParaPr>
        <m:oMath>
          <m:r>
            <m:t>B</m:t>
          </m:r>
          <m:r>
            <m:rPr>
              <m:sty m:val="p"/>
            </m:rPr>
            <m:t>=</m:t>
          </m:r>
          <m:r>
            <m:t>d</m:t>
          </m:r>
          <m:r>
            <m:rPr>
              <m:sty m:val="p"/>
            </m:rPr>
            <m:t>/</m:t>
          </m:r>
          <m:r>
            <m:t>2</m:t>
          </m:r>
          <m:r>
            <m:rPr>
              <m:sty m:val="p"/>
            </m:rPr>
            <m:t>+</m:t>
          </m:r>
          <m:r>
            <m:t>1</m:t>
          </m:r>
          <m:r>
            <m:rPr>
              <m:sty m:val="p"/>
            </m:rPr>
            <m:t>=</m:t>
          </m:r>
          <m:r>
            <m:t>129</m:t>
          </m:r>
        </m:oMath>
      </m:oMathPara>
    </w:p>
    <w:p>
      <w:pPr>
        <w:pStyle w:val="FirstParagraph"/>
      </w:pPr>
      <w:r>
        <w:t xml:space="preserve">orthonormal bases. The system consists of 128 Kerdock or Walsh-Hadamard chirp bases and the coordinate basis. Vectors from different bases have inner-product magnitude</w:t>
      </w:r>
      <w:r>
        <w:t xml:space="preserve"> </w:t>
      </w:r>
      <m:oMath>
        <m:r>
          <m:t>1</m:t>
        </m:r>
        <m:r>
          <m:rPr>
            <m:sty m:val="p"/>
          </m:rPr>
          <m:t>/</m:t>
        </m:r>
        <m:r>
          <m:t>16</m:t>
        </m:r>
      </m:oMath>
      <w:r>
        <w:t xml:space="preserve">.</w:t>
      </w:r>
    </w:p>
    <w:p>
      <w:pPr>
        <w:pStyle w:val="BodyText"/>
      </w:pPr>
      <w:r>
        <w:t xml:space="preserve">The complete Kerdock rule</w:t>
      </w:r>
      <w:r>
        <w:t xml:space="preserve"> </w:t>
      </w:r>
      <m:oMath>
        <m:sSub>
          <m:e>
            <m:r>
              <m:t>Q</m:t>
            </m:r>
          </m:e>
          <m:sub>
            <m:r>
              <m:rPr>
                <m:sty m:val="p"/>
              </m:rPr>
              <m:t>K</m:t>
            </m:r>
          </m:sub>
        </m:sSub>
      </m:oMath>
      <w:r>
        <w:t xml:space="preserve"> </w:t>
      </w:r>
      <w:r>
        <w:t xml:space="preserve">uses every basis vector and its antipode. It gives equal weight to</w:t>
      </w:r>
      <w:r>
        <w:t xml:space="preserve"> </w:t>
      </w:r>
      <m:oMath>
        <m:r>
          <m:t>N</m:t>
        </m:r>
        <m:r>
          <m:rPr>
            <m:sty m:val="p"/>
          </m:rPr>
          <m:t>=</m:t>
        </m:r>
        <m:r>
          <m:t>2</m:t>
        </m:r>
        <m:r>
          <m:t>B</m:t>
        </m:r>
        <m:r>
          <m:t>d</m:t>
        </m:r>
        <m:r>
          <m:rPr>
            <m:sty m:val="p"/>
          </m:rPr>
          <m:t>=</m:t>
        </m:r>
        <m:r>
          <m:t>66</m:t>
        </m:r>
        <m:r>
          <m:rPr>
            <m:sty m:val="p"/>
          </m:rPr>
          <m:t>,</m:t>
        </m:r>
        <m:r>
          <m:t>048</m:t>
        </m:r>
      </m:oMath>
      <w:r>
        <w:t xml:space="preserve"> </w:t>
      </w:r>
      <w:r>
        <w:t xml:space="preserve">nodes. Among ordered pairs,</w:t>
      </w:r>
      <w:r>
        <w:t xml:space="preserve"> </w:t>
      </w:r>
      <m:oMath>
        <m:r>
          <m:t>N</m:t>
        </m:r>
      </m:oMath>
      <w:r>
        <w:t xml:space="preserve"> </w:t>
      </w:r>
      <w:r>
        <w:t xml:space="preserve">have inner product</w:t>
      </w:r>
      <w:r>
        <w:t xml:space="preserve"> </w:t>
      </w:r>
      <m:oMath>
        <m:r>
          <m:t>1</m:t>
        </m:r>
      </m:oMath>
      <w:r>
        <w:t xml:space="preserve">,</w:t>
      </w:r>
      <w:r>
        <w:t xml:space="preserve"> </w:t>
      </w:r>
      <m:oMath>
        <m:r>
          <m:t>N</m:t>
        </m:r>
      </m:oMath>
      <w:r>
        <w:t xml:space="preserve"> </w:t>
      </w:r>
      <w:r>
        <w:t xml:space="preserve">have inner product</w:t>
      </w:r>
      <w:r>
        <w:t xml:space="preserve"> </w:t>
      </w:r>
      <m:oMath>
        <m:r>
          <m:rPr>
            <m:sty m:val="p"/>
          </m:rPr>
          <m:t>−</m:t>
        </m:r>
        <m:r>
          <m:t>1</m:t>
        </m:r>
      </m:oMath>
      <w:r>
        <w:t xml:space="preserve">, and</w:t>
      </w:r>
      <w:r>
        <w:t xml:space="preserve"> </w:t>
      </w:r>
      <m:oMath>
        <m:r>
          <m:t>4</m:t>
        </m:r>
        <m:r>
          <m:t>B</m:t>
        </m:r>
        <m:r>
          <m:t>d</m:t>
        </m:r>
        <m:d>
          <m:dPr>
            <m:begChr m:val="("/>
            <m:endChr m:val=")"/>
            <m:sepChr m:val=""/>
            <m:grow/>
          </m:dPr>
          <m:e>
            <m:r>
              <m:t>d</m:t>
            </m:r>
            <m:r>
              <m:rPr>
                <m:sty m:val="p"/>
              </m:rPr>
              <m:t>−</m:t>
            </m:r>
            <m:r>
              <m:t>1</m:t>
            </m:r>
          </m:e>
        </m:d>
      </m:oMath>
      <w:r>
        <w:t xml:space="preserve"> </w:t>
      </w:r>
      <w:r>
        <w:t xml:space="preserve">have inner product</w:t>
      </w:r>
      <w:r>
        <w:t xml:space="preserve"> </w:t>
      </w:r>
      <m:oMath>
        <m:r>
          <m:t>0</m:t>
        </m:r>
      </m:oMath>
      <w:r>
        <w:t xml:space="preserve">. The two values</w:t>
      </w:r>
      <w:r>
        <w:t xml:space="preserve"> </w:t>
      </w:r>
      <m:oMath>
        <m:r>
          <m:t>1</m:t>
        </m:r>
        <m:r>
          <m:rPr>
            <m:sty m:val="p"/>
          </m:rPr>
          <m:t>/</m:t>
        </m:r>
        <m:r>
          <m:t>16</m:t>
        </m:r>
      </m:oMath>
      <w:r>
        <w:t xml:space="preserve"> </w:t>
      </w:r>
      <w:r>
        <w:t xml:space="preserve">and</w:t>
      </w:r>
      <w:r>
        <w:t xml:space="preserve"> </w:t>
      </w:r>
      <m:oMath>
        <m:r>
          <m:rPr>
            <m:sty m:val="p"/>
          </m:rPr>
          <m:t>−</m:t>
        </m:r>
        <m:r>
          <m:t>1</m:t>
        </m:r>
        <m:r>
          <m:rPr>
            <m:sty m:val="p"/>
          </m:rPr>
          <m:t>/</m:t>
        </m:r>
        <m:r>
          <m:t>16</m:t>
        </m:r>
      </m:oMath>
      <w:r>
        <w:t xml:space="preserve"> </w:t>
      </w:r>
      <w:r>
        <w:t xml:space="preserve">each occur</w:t>
      </w:r>
      <w:r>
        <w:t xml:space="preserve"> </w:t>
      </w:r>
      <m:oMath>
        <m:r>
          <m:t>2</m:t>
        </m:r>
        <m:r>
          <m:t>B</m:t>
        </m:r>
        <m:d>
          <m:dPr>
            <m:begChr m:val="("/>
            <m:endChr m:val=")"/>
            <m:sepChr m:val=""/>
            <m:grow/>
          </m:dPr>
          <m:e>
            <m:r>
              <m:t>B</m:t>
            </m:r>
            <m:r>
              <m:rPr>
                <m:sty m:val="p"/>
              </m:rPr>
              <m:t>−</m:t>
            </m:r>
            <m:r>
              <m:t>1</m:t>
            </m:r>
          </m:e>
        </m:d>
        <m:sSup>
          <m:e>
            <m:r>
              <m:t>d</m:t>
            </m:r>
          </m:e>
          <m:sup>
            <m:r>
              <m:t>2</m:t>
            </m:r>
          </m:sup>
        </m:sSup>
      </m:oMath>
      <w:r>
        <w:t xml:space="preserve"> </w:t>
      </w:r>
      <w:r>
        <w:t xml:space="preserve">times.</w:t>
      </w:r>
    </w:p>
    <w:p>
      <w:pPr>
        <w:pStyle w:val="BodyText"/>
      </w:pPr>
      <w:r>
        <w:t xml:space="preserve">This spectrum reduces</w:t>
      </w:r>
      <w:r>
        <w:t xml:space="preserve"> </w:t>
      </w:r>
      <m:oMath>
        <m:r>
          <m:rPr>
            <m:sty m:val="p"/>
            <m:scr m:val="script"/>
          </m:rPr>
          <m:t>R</m:t>
        </m:r>
        <m:d>
          <m:dPr>
            <m:begChr m:val="("/>
            <m:endChr m:val=")"/>
            <m:sepChr m:val=""/>
            <m:grow/>
          </m:dPr>
          <m:e>
            <m:sSub>
              <m:e>
                <m:r>
                  <m:t>Q</m:t>
                </m:r>
              </m:e>
              <m:sub>
                <m:r>
                  <m:rPr>
                    <m:sty m:val="p"/>
                  </m:rPr>
                  <m:t>K</m:t>
                </m:r>
              </m:sub>
            </m:sSub>
          </m:e>
        </m:d>
      </m:oMath>
      <w:r>
        <w:t xml:space="preserve"> </w:t>
      </w:r>
      <w:r>
        <w:t xml:space="preserve">to five kernel evaluations and the constant Gegenbauer coefficient.</w:t>
      </w:r>
    </w:p>
    <w:bookmarkEnd w:id="24"/>
    <w:bookmarkStart w:id="25" w:name="related-work"/>
    <w:p>
      <w:pPr>
        <w:pStyle w:val="Heading2"/>
      </w:pPr>
      <w:r>
        <w:t xml:space="preserve">Related work</w:t>
      </w:r>
    </w:p>
    <w:p>
      <w:pPr>
        <w:pStyle w:val="FirstParagraph"/>
      </w:pPr>
      <w:r>
        <w:t xml:space="preserve">Delsarte linear programming and spherical designs provide the framework for the nonnegative bound</w:t>
      </w:r>
      <w:r>
        <w:t xml:space="preserve"> </w:t>
      </w:r>
      <w:r>
        <w:t xml:space="preserve">(Delsarte, Goethals, and Seidel 1977; Schoenberg 1942; Cohn and Kumar 2007; Wendland 2005)</w:t>
      </w:r>
      <w:r>
        <w:t xml:space="preserve">. Recent work develops general energy bounds for weighted spherical codes and designs</w:t>
      </w:r>
      <w:r>
        <w:t xml:space="preserve"> </w:t>
      </w:r>
      <w:r>
        <w:t xml:space="preserve">(Borodachov et al. 2024)</w:t>
      </w:r>
      <w:r>
        <w:t xml:space="preserve">. Here the potential and budget are fixed: the depth-32 ReLU kernel and 66,048 nodes.</w:t>
      </w:r>
    </w:p>
    <w:p>
      <w:pPr>
        <w:pStyle w:val="BodyText"/>
      </w:pPr>
      <w:r>
        <w:t xml:space="preserve">Kerdock codes, orthogonal spreads, and real mutually unbiased bases are closely related to extremal line sets and association schemes</w:t>
      </w:r>
      <w:r>
        <w:t xml:space="preserve"> </w:t>
      </w:r>
      <w:r>
        <w:t xml:space="preserve">(Calderbank et al. 1997; Boykin et al. 2005; Abdukhalikov, Bannai, and Suda 2009; Can et al. 2020)</w:t>
      </w:r>
      <w:r>
        <w:t xml:space="preserve">. Exact semidefinite bounds also establish packing optimality for the same family of antipodal Kerdock arrangements</w:t>
      </w:r>
      <w:r>
        <w:t xml:space="preserve"> </w:t>
      </w:r>
      <w:r>
        <w:t xml:space="preserve">(Cohn, Laat, and Leijenhorst 2024)</w:t>
      </w:r>
      <w:r>
        <w:t xml:space="preserve">. Packing and kernel energy are different objectives.</w:t>
      </w:r>
    </w:p>
    <w:p>
      <w:pPr>
        <w:pStyle w:val="BodyText"/>
      </w:pPr>
      <w:r>
        <w:t xml:space="preserve">Infinite-width neural networks induce compositional Gaussian-process kernels</w:t>
      </w:r>
      <w:r>
        <w:t xml:space="preserve"> </w:t>
      </w:r>
      <w:r>
        <w:t xml:space="preserve">(Cho and Saul 2009; Daniely, Frostig, and Singer 2016; Lee et al. 2018; Matthews et al. 2018)</w:t>
      </w:r>
      <w:r>
        <w:t xml:space="preserve">. Kernel quadrature usually studies rates, node selection, or posterior uncertainty</w:t>
      </w:r>
      <w:r>
        <w:t xml:space="preserve"> </w:t>
      </w:r>
      <w:r>
        <w:t xml:space="preserve">(Briol et al. 2019; Kanagawa et al. 2018)</w:t>
      </w:r>
      <w:r>
        <w:t xml:space="preserve">. This paper gives a finite-budget bound for a fixed deep neural kernel.</w:t>
      </w:r>
    </w:p>
    <w:bookmarkEnd w:id="25"/>
    <w:bookmarkEnd w:id="26"/>
    <w:bookmarkStart w:id="27" w:name="main-results"/>
    <w:p>
      <w:pPr>
        <w:pStyle w:val="Heading1"/>
      </w:pPr>
      <w:r>
        <w:t xml:space="preserve">Main results</w:t>
      </w:r>
    </w:p>
    <w:p>
      <w:pPr>
        <w:pStyle w:val="FirstParagraph"/>
      </w:pPr>
      <w:r>
        <w:t xml:space="preserve">Let</w:t>
      </w:r>
      <w:r>
        <w:t xml:space="preserve"> </w:t>
      </w:r>
      <m:oMath>
        <m:sSub>
          <m:e>
            <m:r>
              <m:t>P</m:t>
            </m:r>
          </m:e>
          <m:sub>
            <m:r>
              <m:t>N</m:t>
            </m:r>
          </m:sub>
        </m:sSub>
      </m:oMath>
      <w:r>
        <w:t xml:space="preserve"> </w:t>
      </w:r>
      <w:r>
        <w:t xml:space="preserve">be the infimum of</w:t>
      </w:r>
      <w:r>
        <w:t xml:space="preserve"> </w:t>
      </w:r>
      <m:oMath>
        <m:r>
          <m:rPr>
            <m:sty m:val="p"/>
            <m:scr m:val="script"/>
          </m:rPr>
          <m:t>R</m:t>
        </m:r>
        <m:d>
          <m:dPr>
            <m:begChr m:val="("/>
            <m:endChr m:val=")"/>
            <m:sepChr m:val=""/>
            <m:grow/>
          </m:dPr>
          <m:e>
            <m:r>
              <m:t>Q</m:t>
            </m:r>
          </m:e>
        </m:d>
      </m:oMath>
      <w:r>
        <w:t xml:space="preserve"> </w:t>
      </w:r>
      <w:r>
        <w:t xml:space="preserve">over nonnegative rules with at most</w:t>
      </w:r>
      <w:r>
        <w:t xml:space="preserve"> </w:t>
      </w:r>
      <m:oMath>
        <m:r>
          <m:t>N</m:t>
        </m:r>
      </m:oMath>
      <w:r>
        <w:t xml:space="preserve"> </w:t>
      </w:r>
      <w:r>
        <w:t xml:space="preserve">consolidated nonzero-weight nodes. Let</w:t>
      </w:r>
      <w:r>
        <w:t xml:space="preserve"> </w:t>
      </w:r>
      <m:oMath>
        <m:sSub>
          <m:e>
            <m:r>
              <m:t>S</m:t>
            </m:r>
          </m:e>
          <m:sub>
            <m:r>
              <m:t>N</m:t>
            </m:r>
          </m:sub>
        </m:sSub>
      </m:oMath>
      <w:r>
        <w:t xml:space="preserve"> </w:t>
      </w:r>
      <w:r>
        <w:t xml:space="preserve">be the corresponding infimum over signed rules.</w:t>
      </w:r>
    </w:p>
    <w:p>
      <w:pPr>
        <w:pStyle w:val="BodyText"/>
      </w:pPr>
      <w:r>
        <w:rPr>
          <w:b/>
          <w:bCs/>
        </w:rPr>
        <w:t xml:space="preserve">Theorem 1 (Nonnegative near-optimality).</w:t>
      </w:r>
      <w:r>
        <w:t xml:space="preserve"> </w:t>
      </w:r>
      <w:r>
        <w:rPr>
          <w:i/>
          <w:iCs/>
        </w:rPr>
        <w:t xml:space="preserve">For the dimension-256, depth-32 kernel and</w:t>
      </w:r>
      <w:r>
        <w:rPr>
          <w:i/>
          <w:iCs/>
        </w:rPr>
        <w:t xml:space="preserve"> </w:t>
      </w:r>
      <m:oMath>
        <m:r>
          <m:t>N</m:t>
        </m:r>
        <m:r>
          <m:rPr>
            <m:sty m:val="p"/>
          </m:rPr>
          <m:t>=</m:t>
        </m:r>
        <m:r>
          <m:t>66</m:t>
        </m:r>
        <m:r>
          <m:rPr>
            <m:sty m:val="p"/>
          </m:rPr>
          <m:t>,</m:t>
        </m:r>
        <m:r>
          <m:t>048</m:t>
        </m:r>
      </m:oMath>
      <w:r>
        <w:rPr>
          <w:i/>
          <w:iCs/>
        </w:rPr>
        <w:t xml:space="preserve">,</w:t>
      </w:r>
    </w:p>
    <w:p>
      <w:pPr>
        <w:pStyle w:val="BodyText"/>
      </w:pPr>
      <m:oMathPara>
        <m:oMathParaPr>
          <m:jc m:val="center"/>
        </m:oMathParaPr>
        <m:oMath>
          <m:r>
            <m:t>1</m:t>
          </m:r>
          <m:r>
            <m:rPr>
              <m:sty m:val="p"/>
            </m:rPr>
            <m:t>≤</m:t>
          </m:r>
          <m:f>
            <m:fPr>
              <m:type m:val="bar"/>
            </m:fPr>
            <m:num>
              <m:r>
                <m:rPr>
                  <m:sty m:val="p"/>
                  <m:scr m:val="script"/>
                </m:rPr>
                <m:t>R</m:t>
              </m:r>
              <m:d>
                <m:dPr>
                  <m:begChr m:val="("/>
                  <m:endChr m:val=")"/>
                  <m:sepChr m:val=""/>
                  <m:grow/>
                </m:dPr>
                <m:e>
                  <m:sSub>
                    <m:e>
                      <m:r>
                        <m:t>Q</m:t>
                      </m:r>
                    </m:e>
                    <m:sub>
                      <m:r>
                        <m:rPr>
                          <m:sty m:val="p"/>
                        </m:rPr>
                        <m:t>K</m:t>
                      </m:r>
                    </m:sub>
                  </m:sSub>
                </m:e>
              </m:d>
            </m:num>
            <m:den>
              <m:sSub>
                <m:e>
                  <m:r>
                    <m:t>P</m:t>
                  </m:r>
                </m:e>
                <m:sub>
                  <m:r>
                    <m:t>N</m:t>
                  </m:r>
                </m:sub>
              </m:sSub>
            </m:den>
          </m:f>
          <m:r>
            <m:rPr>
              <m:sty m:val="p"/>
            </m:rPr>
            <m:t>≤</m:t>
          </m:r>
          <m:r>
            <m:t>1.0002332417295004</m:t>
          </m:r>
        </m:oMath>
      </m:oMathPara>
    </w:p>
    <w:p>
      <w:pPr>
        <w:pStyle w:val="FirstParagraph"/>
      </w:pPr>
      <w:r>
        <w:rPr>
          <w:i/>
          <w:iCs/>
        </w:rPr>
        <w:t xml:space="preserve">This ratio means that Kerdock risk is at most 0.023324172950039% above the optimum.</w:t>
      </w:r>
    </w:p>
    <w:p>
      <w:pPr>
        <w:pStyle w:val="BodyText"/>
      </w:pPr>
      <w:r>
        <w:rPr>
          <w:b/>
          <w:bCs/>
        </w:rPr>
        <w:t xml:space="preserve">Theorem 2 (Signed bound).</w:t>
      </w:r>
      <w:r>
        <w:t xml:space="preserve"> </w:t>
      </w:r>
      <w:r>
        <w:rPr>
          <w:i/>
          <w:iCs/>
        </w:rPr>
        <w:t xml:space="preserve">For the same kernel and node budget,</w:t>
      </w:r>
    </w:p>
    <w:p>
      <w:pPr>
        <w:pStyle w:val="BodyText"/>
      </w:pPr>
      <m:oMathPara>
        <m:oMathParaPr>
          <m:jc m:val="center"/>
        </m:oMathParaPr>
        <m:oMath>
          <m:sSub>
            <m:e>
              <m:r>
                <m:t>S</m:t>
              </m:r>
            </m:e>
            <m:sub>
              <m:r>
                <m:t>N</m:t>
              </m:r>
            </m:sub>
          </m:sSub>
          <m:r>
            <m:rPr>
              <m:sty m:val="p"/>
            </m:rPr>
            <m:t>≥</m:t>
          </m:r>
          <m:r>
            <m:t>0.9370601683665084</m:t>
          </m:r>
          <m:r>
            <m:t> </m:t>
          </m:r>
          <m:r>
            <m:rPr>
              <m:sty m:val="p"/>
              <m:scr m:val="script"/>
            </m:rPr>
            <m:t>R</m:t>
          </m:r>
          <m:d>
            <m:dPr>
              <m:begChr m:val="("/>
              <m:endChr m:val=")"/>
              <m:sepChr m:val=""/>
              <m:grow/>
            </m:dPr>
            <m:e>
              <m:sSub>
                <m:e>
                  <m:r>
                    <m:t>Q</m:t>
                  </m:r>
                </m:e>
                <m:sub>
                  <m:r>
                    <m:rPr>
                      <m:sty m:val="p"/>
                    </m:rPr>
                    <m:t>K</m:t>
                  </m:r>
                </m:sub>
              </m:sSub>
            </m:e>
          </m:d>
        </m:oMath>
      </m:oMathPara>
    </w:p>
    <w:p>
      <w:pPr>
        <w:pStyle w:val="FirstParagraph"/>
      </w:pPr>
      <w:r>
        <w:rPr>
          <w:i/>
          <w:iCs/>
        </w:rPr>
        <w:t xml:space="preserve">Equivalently,</w:t>
      </w:r>
    </w:p>
    <w:p>
      <w:pPr>
        <w:pStyle w:val="BodyText"/>
      </w:pPr>
      <m:oMathPara>
        <m:oMathParaPr>
          <m:jc m:val="center"/>
        </m:oMathParaPr>
        <m:oMath>
          <m:f>
            <m:fPr>
              <m:type m:val="bar"/>
            </m:fPr>
            <m:num>
              <m:r>
                <m:rPr>
                  <m:sty m:val="p"/>
                  <m:scr m:val="script"/>
                </m:rPr>
                <m:t>R</m:t>
              </m:r>
              <m:d>
                <m:dPr>
                  <m:begChr m:val="("/>
                  <m:endChr m:val=")"/>
                  <m:sepChr m:val=""/>
                  <m:grow/>
                </m:dPr>
                <m:e>
                  <m:sSub>
                    <m:e>
                      <m:r>
                        <m:t>Q</m:t>
                      </m:r>
                    </m:e>
                    <m:sub>
                      <m:r>
                        <m:rPr>
                          <m:sty m:val="p"/>
                        </m:rPr>
                        <m:t>K</m:t>
                      </m:r>
                    </m:sub>
                  </m:sSub>
                </m:e>
              </m:d>
            </m:num>
            <m:den>
              <m:sSub>
                <m:e>
                  <m:r>
                    <m:t>S</m:t>
                  </m:r>
                </m:e>
                <m:sub>
                  <m:r>
                    <m:t>N</m:t>
                  </m:r>
                </m:sub>
              </m:sSub>
            </m:den>
          </m:f>
          <m:r>
            <m:rPr>
              <m:sty m:val="p"/>
            </m:rPr>
            <m:t>≤</m:t>
          </m:r>
          <m:r>
            <m:t>1.0671673322143325</m:t>
          </m:r>
        </m:oMath>
      </m:oMathPara>
    </w:p>
    <w:p>
      <w:pPr>
        <w:pStyle w:val="FirstParagraph"/>
      </w:pPr>
      <w:r>
        <w:rPr>
          <w:i/>
          <w:iCs/>
        </w:rPr>
        <w:t xml:space="preserve">Signed rules can therefore reduce Kerdock risk by at most 6.29398316334916%.</w:t>
      </w:r>
    </w:p>
    <w:p>
      <w:pPr>
        <w:pStyle w:val="BodyText"/>
      </w:pPr>
      <w:r>
        <w:t xml:space="preserve">Theorem 1 nearly determines the optimum over probability rules. Theorem 2 gives a broader bound that permits cancellation through negative weights.</w:t>
      </w:r>
    </w:p>
    <w:p>
      <w:pPr>
        <w:pStyle w:val="BodyText"/>
      </w:pPr>
      <w:r>
        <w:rPr>
          <w:b/>
          <w:bCs/>
        </w:rPr>
        <w:t xml:space="preserve">Proposition 3 (Negative support count).</w:t>
      </w:r>
      <w:r>
        <w:t xml:space="preserve"> </w:t>
      </w:r>
      <w:r>
        <w:rPr>
          <w:i/>
          <w:iCs/>
        </w:rPr>
        <w:t xml:space="preserve">Consolidate duplicate nodes and remove zero weights. If a signed rule has at least 1,072 negative-weight support entries, its certified Kerdock-to-rule risk factor is below 1.05. If it has at least 4,160 negative-weight support entries, its certified lower bound is worse than Kerdock.</w:t>
      </w:r>
    </w:p>
    <w:p>
      <w:pPr>
        <w:pStyle w:val="BodyText"/>
      </w:pPr>
      <w:r>
        <w:t xml:space="preserve">The proposition concerns the number of negative support entries. It does not concern the total negative mass.</w:t>
      </w:r>
    </w:p>
    <w:bookmarkEnd w:id="27"/>
    <w:bookmarkStart w:id="34" w:name="the-nonnegative-bound"/>
    <w:p>
      <w:pPr>
        <w:pStyle w:val="Heading1"/>
      </w:pPr>
      <w:r>
        <w:t xml:space="preserve">The nonnegative bound</w:t>
      </w:r>
    </w:p>
    <w:p>
      <w:pPr>
        <w:pStyle w:val="FirstParagraph"/>
      </w:pPr>
      <w:r>
        <w:t xml:space="preserve">The proof of Theorem 1 is a Delsarte lower bound that is optimized over every harmonic degree.</w:t>
      </w:r>
    </w:p>
    <w:bookmarkStart w:id="28" w:name="auxiliary-minorants"/>
    <w:p>
      <w:pPr>
        <w:pStyle w:val="Heading2"/>
      </w:pPr>
      <w:r>
        <w:t xml:space="preserve">Auxiliary minorants</w:t>
      </w:r>
    </w:p>
    <w:p>
      <w:pPr>
        <w:pStyle w:val="FirstParagraph"/>
      </w:pPr>
      <w:r>
        <w:t xml:space="preserve">Let</w:t>
      </w:r>
    </w:p>
    <w:p>
      <w:pPr>
        <w:pStyle w:val="BodyText"/>
      </w:pPr>
      <m:oMathPara>
        <m:oMathParaPr>
          <m:jc m:val="center"/>
        </m:oMathParaPr>
        <m:oMath>
          <m:r>
            <m:t>h</m:t>
          </m:r>
          <m:d>
            <m:dPr>
              <m:begChr m:val="("/>
              <m:endChr m:val=")"/>
              <m:sepChr m:val=""/>
              <m:grow/>
            </m:dPr>
            <m:e>
              <m:r>
                <m:t>t</m:t>
              </m:r>
            </m:e>
          </m:d>
          <m:r>
            <m:rPr>
              <m:sty m:val="p"/>
            </m:rPr>
            <m:t>=</m:t>
          </m:r>
          <m:nary>
            <m:naryPr>
              <m:chr m:val="∑"/>
              <m:limLoc m:val="undOvr"/>
              <m:subHide m:val="off"/>
              <m:supHide m:val="off"/>
            </m:naryPr>
            <m:sub>
              <m:r>
                <m:rPr>
                  <m:sty m:val="p"/>
                </m:rPr>
                <m:t>ℓ</m:t>
              </m:r>
              <m:r>
                <m:rPr>
                  <m:sty m:val="p"/>
                </m:rPr>
                <m:t>=</m:t>
              </m:r>
              <m:r>
                <m:t>0</m:t>
              </m:r>
            </m:sub>
            <m:sup>
              <m:r>
                <m:t>L</m:t>
              </m:r>
            </m:sup>
            <m:e>
              <m:sSub>
                <m:e>
                  <m:r>
                    <m:t>c</m:t>
                  </m:r>
                </m:e>
                <m:sub>
                  <m:r>
                    <m:rPr>
                      <m:sty m:val="p"/>
                    </m:rPr>
                    <m:t>ℓ</m:t>
                  </m:r>
                </m:sub>
              </m:sSub>
            </m:e>
          </m:nary>
          <m:sSub>
            <m:e>
              <m:r>
                <m:t>G</m:t>
              </m:r>
            </m:e>
            <m:sub>
              <m:r>
                <m:rPr>
                  <m:sty m:val="p"/>
                </m:rPr>
                <m:t>ℓ</m:t>
              </m:r>
            </m:sub>
          </m:sSub>
          <m:d>
            <m:dPr>
              <m:begChr m:val="("/>
              <m:endChr m:val=")"/>
              <m:sepChr m:val=""/>
              <m:grow/>
            </m:dPr>
            <m:e>
              <m:r>
                <m:t>t</m:t>
              </m:r>
            </m:e>
          </m:d>
        </m:oMath>
      </m:oMathPara>
    </w:p>
    <w:p>
      <w:pPr>
        <w:pStyle w:val="FirstParagraph"/>
      </w:pPr>
      <w:r>
        <w:t xml:space="preserve">be a polynomial such that</w:t>
      </w:r>
    </w:p>
    <w:p>
      <w:pPr>
        <w:pStyle w:val="BodyText"/>
      </w:pPr>
      <m:oMathPara>
        <m:oMathParaPr>
          <m:jc m:val="center"/>
        </m:oMathParaPr>
        <m:oMath>
          <m:r>
            <m:t>h</m:t>
          </m:r>
          <m:d>
            <m:dPr>
              <m:begChr m:val="("/>
              <m:endChr m:val=")"/>
              <m:sepChr m:val=""/>
              <m:grow/>
            </m:dPr>
            <m:e>
              <m:r>
                <m:t>t</m:t>
              </m:r>
            </m:e>
          </m:d>
          <m:r>
            <m:rPr>
              <m:sty m:val="p"/>
            </m:rPr>
            <m:t>≤</m:t>
          </m:r>
          <m:sSub>
            <m:e>
              <m:r>
                <m:t>K</m:t>
              </m:r>
            </m:e>
            <m:sub>
              <m:r>
                <m:t>32</m:t>
              </m:r>
            </m:sub>
          </m:sSub>
          <m:d>
            <m:dPr>
              <m:begChr m:val="("/>
              <m:endChr m:val=")"/>
              <m:sepChr m:val=""/>
              <m:grow/>
            </m:dPr>
            <m:e>
              <m:r>
                <m:t>t</m:t>
              </m:r>
            </m:e>
          </m:d>
          <m:r>
            <m:t> </m:t>
          </m:r>
          <m:d>
            <m:dPr>
              <m:begChr m:val="("/>
              <m:endChr m:val=")"/>
              <m:sepChr m:val=""/>
              <m:grow/>
            </m:dPr>
            <m:e>
              <m:r>
                <m:rPr>
                  <m:sty m:val="p"/>
                </m:rPr>
                <m:t>−</m:t>
              </m:r>
              <m:r>
                <m:t>1</m:t>
              </m:r>
              <m:r>
                <m:rPr>
                  <m:sty m:val="p"/>
                </m:rPr>
                <m:t>≤</m:t>
              </m:r>
              <m:r>
                <m:t>t</m:t>
              </m:r>
              <m:r>
                <m:rPr>
                  <m:sty m:val="p"/>
                </m:rPr>
                <m:t>≤</m:t>
              </m:r>
              <m:r>
                <m:t>1</m:t>
              </m:r>
            </m:e>
          </m:d>
          <m:r>
            <m:rPr>
              <m:sty m:val="p"/>
            </m:rPr>
            <m:t>,</m:t>
          </m:r>
          <m:r>
            <m:t>  </m:t>
          </m:r>
          <m:sSub>
            <m:e>
              <m:r>
                <m:t>c</m:t>
              </m:r>
            </m:e>
            <m:sub>
              <m:r>
                <m:rPr>
                  <m:sty m:val="p"/>
                </m:rPr>
                <m:t>ℓ</m:t>
              </m:r>
            </m:sub>
          </m:sSub>
          <m:r>
            <m:rPr>
              <m:sty m:val="p"/>
            </m:rPr>
            <m:t>≥</m:t>
          </m:r>
          <m:r>
            <m:t>0</m:t>
          </m:r>
          <m:r>
            <m:t> </m:t>
          </m:r>
          <m:d>
            <m:dPr>
              <m:begChr m:val="("/>
              <m:endChr m:val=")"/>
              <m:sepChr m:val=""/>
              <m:grow/>
            </m:dPr>
            <m:e>
              <m:r>
                <m:rPr>
                  <m:sty m:val="p"/>
                </m:rPr>
                <m:t>ℓ</m:t>
              </m:r>
              <m:r>
                <m:rPr>
                  <m:sty m:val="p"/>
                </m:rPr>
                <m:t>≥</m:t>
              </m:r>
              <m:r>
                <m:t>1</m:t>
              </m:r>
            </m:e>
          </m:d>
        </m:oMath>
      </m:oMathPara>
    </w:p>
    <w:p>
      <w:pPr>
        <w:pStyle w:val="FirstParagraph"/>
      </w:pPr>
      <w:r>
        <w:t xml:space="preserve">For every nonnegative mass-one rule,</w:t>
      </w:r>
    </w:p>
    <w:p>
      <w:pPr>
        <w:pStyle w:val="BodyText"/>
      </w:pPr>
      <m:oMathPara>
        <m:oMathParaPr>
          <m:jc m:val="center"/>
        </m:oMathParaPr>
        <m:oMath>
          <m:nary>
            <m:naryPr>
              <m:chr m:val="∑"/>
              <m:limLoc m:val="undOvr"/>
              <m:subHide m:val="off"/>
              <m:supHide m:val="on"/>
            </m:naryPr>
            <m:sub>
              <m:r>
                <m:t>i</m:t>
              </m:r>
              <m:r>
                <m:rPr>
                  <m:sty m:val="p"/>
                </m:rPr>
                <m:t>,</m:t>
              </m:r>
              <m:r>
                <m:t>j</m:t>
              </m:r>
            </m:sub>
            <m:sup>
              <m:r>
                <m:t>​</m:t>
              </m:r>
            </m:sup>
            <m:e>
              <m:sSub>
                <m:e>
                  <m:r>
                    <m:t>w</m:t>
                  </m:r>
                </m:e>
                <m:sub>
                  <m:r>
                    <m:t>i</m:t>
                  </m:r>
                </m:sub>
              </m:sSub>
            </m:e>
          </m:nary>
          <m:sSub>
            <m:e>
              <m:r>
                <m:t>w</m:t>
              </m:r>
            </m:e>
            <m:sub>
              <m:r>
                <m:t>j</m:t>
              </m:r>
            </m:sub>
          </m:sSub>
          <m:sSub>
            <m:e>
              <m:r>
                <m:t>G</m:t>
              </m:r>
            </m:e>
            <m:sub>
              <m:r>
                <m:rPr>
                  <m:sty m:val="p"/>
                </m:rPr>
                <m:t>ℓ</m:t>
              </m:r>
            </m:sub>
          </m:sSub>
          <m:d>
            <m:dPr>
              <m:begChr m:val="("/>
              <m:endChr m:val=")"/>
              <m:sepChr m:val=""/>
              <m:grow/>
            </m:dPr>
            <m:e>
              <m:sSubSup>
                <m:e>
                  <m:r>
                    <m:t>u</m:t>
                  </m:r>
                </m:e>
                <m:sub>
                  <m:r>
                    <m:t>i</m:t>
                  </m:r>
                </m:sub>
                <m:sup>
                  <m:r>
                    <m:rPr>
                      <m:sty m:val="p"/>
                    </m:rPr>
                    <m:t>⊤</m:t>
                  </m:r>
                </m:sup>
              </m:sSubSup>
              <m:sSub>
                <m:e>
                  <m:r>
                    <m:t>u</m:t>
                  </m:r>
                </m:e>
                <m:sub>
                  <m:r>
                    <m:t>j</m:t>
                  </m:r>
                </m:sub>
              </m:sSub>
            </m:e>
          </m:d>
          <m:r>
            <m:rPr>
              <m:sty m:val="p"/>
            </m:rPr>
            <m:t>≥</m:t>
          </m:r>
          <m:r>
            <m:t>0</m:t>
          </m:r>
          <m:r>
            <m:t>  </m:t>
          </m:r>
          <m:d>
            <m:dPr>
              <m:begChr m:val="("/>
              <m:endChr m:val=")"/>
              <m:sepChr m:val=""/>
              <m:grow/>
            </m:dPr>
            <m:e>
              <m:r>
                <m:rPr>
                  <m:sty m:val="p"/>
                </m:rPr>
                <m:t>ℓ</m:t>
              </m:r>
              <m:r>
                <m:rPr>
                  <m:sty m:val="p"/>
                </m:rPr>
                <m:t>≥</m:t>
              </m:r>
              <m:r>
                <m:t>1</m:t>
              </m:r>
            </m:e>
          </m:d>
        </m:oMath>
      </m:oMathPara>
    </w:p>
    <w:p>
      <w:pPr>
        <w:pStyle w:val="FirstParagraph"/>
      </w:pPr>
      <w:r>
        <w:t xml:space="preserve">Also,</w:t>
      </w:r>
    </w:p>
    <w:p>
      <w:pPr>
        <w:pStyle w:val="BodyText"/>
      </w:pPr>
      <m:oMathPara>
        <m:oMathParaPr>
          <m:jc m:val="center"/>
        </m:oMathParaPr>
        <m:oMath>
          <m:nary>
            <m:naryPr>
              <m:chr m:val="∑"/>
              <m:limLoc m:val="undOvr"/>
              <m:subHide m:val="off"/>
              <m:supHide m:val="on"/>
            </m:naryPr>
            <m:sub>
              <m:r>
                <m:t>i</m:t>
              </m:r>
            </m:sub>
            <m:sup>
              <m:r>
                <m:t>​</m:t>
              </m:r>
            </m:sup>
            <m:e>
              <m:sSubSup>
                <m:e>
                  <m:r>
                    <m:t>w</m:t>
                  </m:r>
                </m:e>
                <m:sub>
                  <m:r>
                    <m:t>i</m:t>
                  </m:r>
                </m:sub>
                <m:sup>
                  <m:r>
                    <m:t>2</m:t>
                  </m:r>
                </m:sup>
              </m:sSubSup>
            </m:e>
          </m:nary>
          <m:r>
            <m:rPr>
              <m:sty m:val="p"/>
            </m:rPr>
            <m:t>≥</m:t>
          </m:r>
          <m:f>
            <m:fPr>
              <m:type m:val="bar"/>
            </m:fPr>
            <m:num>
              <m:r>
                <m:t>1</m:t>
              </m:r>
            </m:num>
            <m:den>
              <m:r>
                <m:t>N</m:t>
              </m:r>
            </m:den>
          </m:f>
        </m:oMath>
      </m:oMathPara>
    </w:p>
    <w:p>
      <w:pPr>
        <w:pStyle w:val="FirstParagraph"/>
      </w:pPr>
      <w:r>
        <w:t xml:space="preserve">Hence</w:t>
      </w:r>
    </w:p>
    <w:p>
      <w:pPr>
        <w:pStyle w:val="BodyText"/>
      </w:pPr>
      <m:oMathPara>
        <m:oMathParaPr>
          <m:jc m:val="center"/>
        </m:oMathParaPr>
        <m:oMath>
          <m:sSub>
            <m:e>
              <m:r>
                <m:t>E</m:t>
              </m:r>
            </m:e>
            <m:sub>
              <m:r>
                <m:t>K</m:t>
              </m:r>
            </m:sub>
          </m:sSub>
          <m:d>
            <m:dPr>
              <m:begChr m:val="("/>
              <m:endChr m:val=")"/>
              <m:sepChr m:val=""/>
              <m:grow/>
            </m:dPr>
            <m:e>
              <m:r>
                <m:t>Q</m:t>
              </m:r>
            </m:e>
          </m:d>
          <m:r>
            <m:rPr>
              <m:sty m:val="p"/>
            </m:rPr>
            <m:t>≥</m:t>
          </m:r>
          <m:sSub>
            <m:e>
              <m:r>
                <m:t>c</m:t>
              </m:r>
            </m:e>
            <m:sub>
              <m:r>
                <m:t>0</m:t>
              </m:r>
            </m:sub>
          </m:sSub>
          <m:r>
            <m:rPr>
              <m:sty m:val="p"/>
            </m:rPr>
            <m:t>+</m:t>
          </m:r>
          <m:f>
            <m:fPr>
              <m:type m:val="bar"/>
            </m:fPr>
            <m:num>
              <m:sSub>
                <m:e>
                  <m:r>
                    <m:t>K</m:t>
                  </m:r>
                </m:e>
                <m:sub>
                  <m:r>
                    <m:t>32</m:t>
                  </m:r>
                </m:sub>
              </m:sSub>
              <m:d>
                <m:dPr>
                  <m:begChr m:val="("/>
                  <m:endChr m:val=")"/>
                  <m:sepChr m:val=""/>
                  <m:grow/>
                </m:dPr>
                <m:e>
                  <m:r>
                    <m:t>1</m:t>
                  </m:r>
                </m:e>
              </m:d>
              <m:r>
                <m:rPr>
                  <m:sty m:val="p"/>
                </m:rPr>
                <m:t>−</m:t>
              </m:r>
              <m:r>
                <m:t>h</m:t>
              </m:r>
              <m:d>
                <m:dPr>
                  <m:begChr m:val="("/>
                  <m:endChr m:val=")"/>
                  <m:sepChr m:val=""/>
                  <m:grow/>
                </m:dPr>
                <m:e>
                  <m:r>
                    <m:t>1</m:t>
                  </m:r>
                </m:e>
              </m:d>
            </m:num>
            <m:den>
              <m:r>
                <m:t>N</m:t>
              </m:r>
            </m:den>
          </m:f>
        </m:oMath>
      </m:oMathPara>
    </w:p>
    <w:p>
      <w:pPr>
        <w:pStyle w:val="FirstParagraph"/>
      </w:pPr>
      <w:r>
        <w:t xml:space="preserve">where</w:t>
      </w:r>
    </w:p>
    <w:p>
      <w:pPr>
        <w:pStyle w:val="BodyText"/>
      </w:pPr>
      <m:oMathPara>
        <m:oMathParaPr>
          <m:jc m:val="center"/>
        </m:oMathParaPr>
        <m:oMath>
          <m:sSub>
            <m:e>
              <m:r>
                <m:t>E</m:t>
              </m:r>
            </m:e>
            <m:sub>
              <m:r>
                <m:t>K</m:t>
              </m:r>
            </m:sub>
          </m:sSub>
          <m:d>
            <m:dPr>
              <m:begChr m:val="("/>
              <m:endChr m:val=")"/>
              <m:sepChr m:val=""/>
              <m:grow/>
            </m:dPr>
            <m:e>
              <m:r>
                <m:t>Q</m:t>
              </m:r>
            </m:e>
          </m:d>
          <m:r>
            <m:rPr>
              <m:sty m:val="p"/>
            </m:rPr>
            <m:t>=</m:t>
          </m:r>
          <m:nary>
            <m:naryPr>
              <m:chr m:val="∑"/>
              <m:limLoc m:val="undOvr"/>
              <m:subHide m:val="off"/>
              <m:supHide m:val="on"/>
            </m:naryPr>
            <m:sub>
              <m:r>
                <m:t>i</m:t>
              </m:r>
              <m:r>
                <m:rPr>
                  <m:sty m:val="p"/>
                </m:rPr>
                <m:t>,</m:t>
              </m:r>
              <m:r>
                <m:t>j</m:t>
              </m:r>
            </m:sub>
            <m:sup>
              <m:r>
                <m:t>​</m:t>
              </m:r>
            </m:sup>
            <m:e>
              <m:sSub>
                <m:e>
                  <m:r>
                    <m:t>w</m:t>
                  </m:r>
                </m:e>
                <m:sub>
                  <m:r>
                    <m:t>i</m:t>
                  </m:r>
                </m:sub>
              </m:sSub>
            </m:e>
          </m:nary>
          <m:sSub>
            <m:e>
              <m:r>
                <m:t>w</m:t>
              </m:r>
            </m:e>
            <m:sub>
              <m:r>
                <m:t>j</m:t>
              </m:r>
            </m:sub>
          </m:sSub>
          <m:sSub>
            <m:e>
              <m:r>
                <m:t>K</m:t>
              </m:r>
            </m:e>
            <m:sub>
              <m:r>
                <m:t>32</m:t>
              </m:r>
            </m:sub>
          </m:sSub>
          <m:d>
            <m:dPr>
              <m:begChr m:val="("/>
              <m:endChr m:val=")"/>
              <m:sepChr m:val=""/>
              <m:grow/>
            </m:dPr>
            <m:e>
              <m:sSubSup>
                <m:e>
                  <m:r>
                    <m:t>u</m:t>
                  </m:r>
                </m:e>
                <m:sub>
                  <m:r>
                    <m:t>i</m:t>
                  </m:r>
                </m:sub>
                <m:sup>
                  <m:r>
                    <m:rPr>
                      <m:sty m:val="p"/>
                    </m:rPr>
                    <m:t>⊤</m:t>
                  </m:r>
                </m:sup>
              </m:sSubSup>
              <m:sSub>
                <m:e>
                  <m:r>
                    <m:t>u</m:t>
                  </m:r>
                </m:e>
                <m:sub>
                  <m:r>
                    <m:t>j</m:t>
                  </m:r>
                </m:sub>
              </m:sSub>
            </m:e>
          </m:d>
        </m:oMath>
      </m:oMathPara>
    </w:p>
    <w:p>
      <w:pPr>
        <w:pStyle w:val="FirstParagraph"/>
      </w:pPr>
      <w:r>
        <w:t xml:space="preserve">Subtracting the constant kernel mean gives a lower bound on</w:t>
      </w:r>
      <w:r>
        <w:t xml:space="preserve"> </w:t>
      </w:r>
      <m:oMath>
        <m:r>
          <m:rPr>
            <m:sty m:val="p"/>
            <m:scr m:val="script"/>
          </m:rPr>
          <m:t>R</m:t>
        </m:r>
        <m:d>
          <m:dPr>
            <m:begChr m:val="("/>
            <m:endChr m:val=")"/>
            <m:sepChr m:val=""/>
            <m:grow/>
          </m:dPr>
          <m:e>
            <m:r>
              <m:t>Q</m:t>
            </m:r>
          </m:e>
        </m:d>
      </m:oMath>
      <w:r>
        <w:t xml:space="preserve">.</w:t>
      </w:r>
    </w:p>
    <w:p>
      <w:pPr>
        <w:pStyle w:val="BodyText"/>
      </w:pPr>
      <w:r>
        <w:t xml:space="preserve">The certificate maximizes</w:t>
      </w:r>
    </w:p>
    <w:p>
      <w:pPr>
        <w:pStyle w:val="BodyText"/>
      </w:pPr>
      <m:oMathPara>
        <m:oMathParaPr>
          <m:jc m:val="center"/>
        </m:oMathParaPr>
        <m:oMath>
          <m:r>
            <m:t>Φ</m:t>
          </m:r>
          <m:d>
            <m:dPr>
              <m:begChr m:val="("/>
              <m:endChr m:val=")"/>
              <m:sepChr m:val=""/>
              <m:grow/>
            </m:dPr>
            <m:e>
              <m:r>
                <m:t>h</m:t>
              </m:r>
            </m:e>
          </m:d>
          <m:r>
            <m:rPr>
              <m:sty m:val="p"/>
            </m:rPr>
            <m:t>=</m:t>
          </m:r>
          <m:sSub>
            <m:e>
              <m:r>
                <m:t>c</m:t>
              </m:r>
            </m:e>
            <m:sub>
              <m:r>
                <m:t>0</m:t>
              </m:r>
            </m:sub>
          </m:sSub>
          <m:r>
            <m:rPr>
              <m:sty m:val="p"/>
            </m:rPr>
            <m:t>+</m:t>
          </m:r>
          <m:f>
            <m:fPr>
              <m:type m:val="bar"/>
            </m:fPr>
            <m:num>
              <m:sSub>
                <m:e>
                  <m:r>
                    <m:t>K</m:t>
                  </m:r>
                </m:e>
                <m:sub>
                  <m:r>
                    <m:t>32</m:t>
                  </m:r>
                </m:sub>
              </m:sSub>
              <m:d>
                <m:dPr>
                  <m:begChr m:val="("/>
                  <m:endChr m:val=")"/>
                  <m:sepChr m:val=""/>
                  <m:grow/>
                </m:dPr>
                <m:e>
                  <m:r>
                    <m:t>1</m:t>
                  </m:r>
                </m:e>
              </m:d>
              <m:r>
                <m:rPr>
                  <m:sty m:val="p"/>
                </m:rPr>
                <m:t>−</m:t>
              </m:r>
              <m:r>
                <m:t>h</m:t>
              </m:r>
              <m:d>
                <m:dPr>
                  <m:begChr m:val="("/>
                  <m:endChr m:val=")"/>
                  <m:sepChr m:val=""/>
                  <m:grow/>
                </m:dPr>
                <m:e>
                  <m:r>
                    <m:t>1</m:t>
                  </m:r>
                </m:e>
              </m:d>
            </m:num>
            <m:den>
              <m:r>
                <m:t>N</m:t>
              </m:r>
            </m:den>
          </m:f>
        </m:oMath>
      </m:oMathPara>
    </w:p>
    <w:p>
      <w:pPr>
        <w:pStyle w:val="FirstParagraph"/>
      </w:pPr>
      <w:r>
        <w:t xml:space="preserve">over all feasible Gegenbauer expansions.</w:t>
      </w:r>
    </w:p>
    <w:bookmarkEnd w:id="28"/>
    <w:bookmarkStart w:id="33" w:name="the-optimal-minorant"/>
    <w:p>
      <w:pPr>
        <w:pStyle w:val="Heading2"/>
      </w:pPr>
      <w:r>
        <w:t xml:space="preserve">The optimal minorant</w:t>
      </w:r>
    </w:p>
    <w:p>
      <w:pPr>
        <w:pStyle w:val="FirstParagraph"/>
      </w:pPr>
      <w:r>
        <w:t xml:space="preserve">Let</w:t>
      </w:r>
      <w:r>
        <w:t xml:space="preserve"> </w:t>
      </w:r>
      <m:oMath>
        <m:sSub>
          <m:e>
            <m:r>
              <m:t>t</m:t>
            </m:r>
          </m:e>
          <m:sub>
            <m:r>
              <m:t>1</m:t>
            </m:r>
          </m:sub>
        </m:sSub>
        <m:r>
          <m:rPr>
            <m:sty m:val="p"/>
          </m:rPr>
          <m:t>,</m:t>
        </m:r>
        <m:sSub>
          <m:e>
            <m:r>
              <m:t>t</m:t>
            </m:r>
          </m:e>
          <m:sub>
            <m:r>
              <m:t>2</m:t>
            </m:r>
          </m:sub>
        </m:sSub>
        <m:r>
          <m:rPr>
            <m:sty m:val="p"/>
          </m:rPr>
          <m:t>,</m:t>
        </m:r>
        <m:sSub>
          <m:e>
            <m:r>
              <m:t>t</m:t>
            </m:r>
          </m:e>
          <m:sub>
            <m:r>
              <m:t>3</m:t>
            </m:r>
          </m:sub>
        </m:sSub>
      </m:oMath>
      <w:r>
        <w:t xml:space="preserve"> </w:t>
      </w:r>
      <w:r>
        <w:t xml:space="preserve">be the roots of</w:t>
      </w:r>
    </w:p>
    <w:p>
      <w:pPr>
        <w:pStyle w:val="BodyText"/>
      </w:pPr>
      <m:oMathPara>
        <m:oMathParaPr>
          <m:jc m:val="center"/>
        </m:oMathParaPr>
        <m:oMath>
          <m:r>
            <m:t>22102</m:t>
          </m:r>
          <m:sSup>
            <m:e>
              <m:r>
                <m:t>t</m:t>
              </m:r>
            </m:e>
            <m:sup>
              <m:r>
                <m:t>3</m:t>
              </m:r>
            </m:sup>
          </m:sSup>
          <m:r>
            <m:rPr>
              <m:sty m:val="p"/>
            </m:rPr>
            <m:t>+</m:t>
          </m:r>
          <m:r>
            <m:t>21930</m:t>
          </m:r>
          <m:sSup>
            <m:e>
              <m:r>
                <m:t>t</m:t>
              </m:r>
            </m:e>
            <m:sup>
              <m:r>
                <m:t>2</m:t>
              </m:r>
            </m:sup>
          </m:sSup>
          <m:r>
            <m:rPr>
              <m:sty m:val="p"/>
            </m:rPr>
            <m:t>−</m:t>
          </m:r>
          <m:r>
            <m:t>87</m:t>
          </m:r>
          <m:r>
            <m:t>t</m:t>
          </m:r>
          <m:r>
            <m:rPr>
              <m:sty m:val="p"/>
            </m:rPr>
            <m:t>−</m:t>
          </m:r>
          <m:r>
            <m:t>85</m:t>
          </m:r>
          <m:r>
            <m:rPr>
              <m:sty m:val="p"/>
            </m:rPr>
            <m:t>=</m:t>
          </m:r>
          <m:r>
            <m:t>0</m:t>
          </m:r>
        </m:oMath>
      </m:oMathPara>
    </w:p>
    <w:p>
      <w:pPr>
        <w:pStyle w:val="FirstParagraph"/>
      </w:pPr>
      <w:r>
        <w:t xml:space="preserve">Let</w:t>
      </w:r>
      <w:r>
        <w:t xml:space="preserve"> </w:t>
      </w:r>
      <m:oMath>
        <m:sSub>
          <m:e>
            <m:r>
              <m:t>h</m:t>
            </m:r>
          </m:e>
          <m:sub>
            <m:r>
              <m:rPr>
                <m:sty m:val="p"/>
              </m:rPr>
              <m:t>⋆</m:t>
            </m:r>
          </m:sub>
        </m:sSub>
      </m:oMath>
      <w:r>
        <w:t xml:space="preserve"> </w:t>
      </w:r>
      <w:r>
        <w:t xml:space="preserve">be the degree-five Hermite interpolant defined by</w:t>
      </w:r>
    </w:p>
    <w:p>
      <w:pPr>
        <w:pStyle w:val="BodyText"/>
      </w:pPr>
      <m:oMathPara>
        <m:oMathParaPr>
          <m:jc m:val="center"/>
        </m:oMathParaPr>
        <m:oMath>
          <m:sSub>
            <m:e>
              <m:r>
                <m:t>h</m:t>
              </m:r>
            </m:e>
            <m:sub>
              <m:r>
                <m:rPr>
                  <m:sty m:val="p"/>
                </m:rPr>
                <m:t>⋆</m:t>
              </m:r>
            </m:sub>
          </m:sSub>
          <m:d>
            <m:dPr>
              <m:begChr m:val="("/>
              <m:endChr m:val=")"/>
              <m:sepChr m:val=""/>
              <m:grow/>
            </m:dPr>
            <m:e>
              <m:sSub>
                <m:e>
                  <m:r>
                    <m:t>t</m:t>
                  </m:r>
                </m:e>
                <m:sub>
                  <m:r>
                    <m:t>j</m:t>
                  </m:r>
                </m:sub>
              </m:sSub>
            </m:e>
          </m:d>
          <m:r>
            <m:rPr>
              <m:sty m:val="p"/>
            </m:rPr>
            <m:t>=</m:t>
          </m:r>
          <m:sSub>
            <m:e>
              <m:r>
                <m:t>K</m:t>
              </m:r>
            </m:e>
            <m:sub>
              <m:r>
                <m:t>32</m:t>
              </m:r>
            </m:sub>
          </m:sSub>
          <m:d>
            <m:dPr>
              <m:begChr m:val="("/>
              <m:endChr m:val=")"/>
              <m:sepChr m:val=""/>
              <m:grow/>
            </m:dPr>
            <m:e>
              <m:sSub>
                <m:e>
                  <m:r>
                    <m:t>t</m:t>
                  </m:r>
                </m:e>
                <m:sub>
                  <m:r>
                    <m:t>j</m:t>
                  </m:r>
                </m:sub>
              </m:sSub>
            </m:e>
          </m:d>
          <m:r>
            <m:rPr>
              <m:sty m:val="p"/>
            </m:rPr>
            <m:t>,</m:t>
          </m:r>
          <m:r>
            <m:t>  </m:t>
          </m:r>
          <m:sSub>
            <m:e>
              <m:r>
                <m:t>h</m:t>
              </m:r>
            </m:e>
            <m:sub>
              <m:r>
                <m:rPr>
                  <m:sty m:val="p"/>
                </m:rPr>
                <m:t>⋆</m:t>
              </m:r>
            </m:sub>
          </m:sSub>
          <m:r>
            <m:rPr>
              <m:sty m:val="p"/>
            </m:rPr>
            <m:t>′</m:t>
          </m:r>
          <m:d>
            <m:dPr>
              <m:begChr m:val="("/>
              <m:endChr m:val=")"/>
              <m:sepChr m:val=""/>
              <m:grow/>
            </m:dPr>
            <m:e>
              <m:sSub>
                <m:e>
                  <m:r>
                    <m:t>t</m:t>
                  </m:r>
                </m:e>
                <m:sub>
                  <m:r>
                    <m:t>j</m:t>
                  </m:r>
                </m:sub>
              </m:sSub>
            </m:e>
          </m:d>
          <m:r>
            <m:rPr>
              <m:sty m:val="p"/>
            </m:rPr>
            <m:t>=</m:t>
          </m:r>
          <m:sSub>
            <m:e>
              <m:r>
                <m:t>K</m:t>
              </m:r>
            </m:e>
            <m:sub>
              <m:r>
                <m:t>32</m:t>
              </m:r>
            </m:sub>
          </m:sSub>
          <m:r>
            <m:rPr>
              <m:sty m:val="p"/>
            </m:rPr>
            <m:t>′</m:t>
          </m:r>
          <m:d>
            <m:dPr>
              <m:begChr m:val="("/>
              <m:endChr m:val=")"/>
              <m:sepChr m:val=""/>
              <m:grow/>
            </m:dPr>
            <m:e>
              <m:sSub>
                <m:e>
                  <m:r>
                    <m:t>t</m:t>
                  </m:r>
                </m:e>
                <m:sub>
                  <m:r>
                    <m:t>j</m:t>
                  </m:r>
                </m:sub>
              </m:sSub>
            </m:e>
          </m:d>
          <m:r>
            <m:rPr>
              <m:sty m:val="p"/>
            </m:rPr>
            <m:t>,</m:t>
          </m:r>
          <m:r>
            <m:t>  </m:t>
          </m:r>
          <m:r>
            <m:t>j</m:t>
          </m:r>
          <m:r>
            <m:rPr>
              <m:sty m:val="p"/>
            </m:rPr>
            <m:t>=</m:t>
          </m:r>
          <m:r>
            <m:t>1</m:t>
          </m:r>
          <m:r>
            <m:rPr>
              <m:sty m:val="p"/>
            </m:rPr>
            <m:t>,</m:t>
          </m:r>
          <m:r>
            <m:t>2</m:t>
          </m:r>
          <m:r>
            <m:rPr>
              <m:sty m:val="p"/>
            </m:rPr>
            <m:t>,</m:t>
          </m:r>
          <m:r>
            <m:t>3</m:t>
          </m:r>
        </m:oMath>
      </m:oMathPara>
    </w:p>
    <w:p>
      <w:pPr>
        <w:pStyle w:val="FirstParagraph"/>
      </w:pPr>
      <w:r>
        <w:rPr>
          <w:b/>
          <w:bCs/>
        </w:rPr>
        <w:t xml:space="preserve">Theorem 4 (All-degree auxiliary optimum).</w:t>
      </w:r>
      <w:r>
        <w:t xml:space="preserve"> </w:t>
      </w:r>
      <w:r>
        <w:rPr>
          <w:i/>
          <w:iCs/>
        </w:rPr>
        <w:t xml:space="preserve">The polynomial</w:t>
      </w:r>
      <w:r>
        <w:rPr>
          <w:i/>
          <w:iCs/>
        </w:rPr>
        <w:t xml:space="preserve"> </w:t>
      </w:r>
      <m:oMath>
        <m:sSub>
          <m:e>
            <m:r>
              <m:t>h</m:t>
            </m:r>
          </m:e>
          <m:sub>
            <m:r>
              <m:rPr>
                <m:sty m:val="p"/>
              </m:rPr>
              <m:t>⋆</m:t>
            </m:r>
          </m:sub>
        </m:sSub>
      </m:oMath>
      <w:r>
        <w:rPr>
          <w:i/>
          <w:iCs/>
        </w:rPr>
        <w:t xml:space="preserve"> </w:t>
      </w:r>
      <w:r>
        <w:rPr>
          <w:i/>
          <w:iCs/>
        </w:rPr>
        <w:t xml:space="preserve">is feasible. Its five nonconstant normalized Gegenbauer coefficients are strictly positive. It is the unique optimizer of</w:t>
      </w:r>
      <w:r>
        <w:rPr>
          <w:i/>
          <w:iCs/>
        </w:rPr>
        <w:t xml:space="preserve"> </w:t>
      </w:r>
      <m:oMath>
        <m:r>
          <m:t>Φ</m:t>
        </m:r>
      </m:oMath>
      <w:r>
        <w:rPr>
          <w:i/>
          <w:iCs/>
        </w:rPr>
        <w:t xml:space="preserve"> </w:t>
      </w:r>
      <w:r>
        <w:rPr>
          <w:i/>
          <w:iCs/>
        </w:rPr>
        <w:t xml:space="preserve">over finite feasible expansions and over the stated absolutely convergent nonnegative expansions.</w:t>
      </w:r>
    </w:p>
    <w:p>
      <w:pPr>
        <w:pStyle w:val="BodyText"/>
      </w:pPr>
      <w:r>
        <w:t xml:space="preserve">The proof has four steps.</w:t>
      </w:r>
    </w:p>
    <w:bookmarkStart w:id="29" w:name="exact-dual-quadrature"/>
    <w:p>
      <w:pPr>
        <w:pStyle w:val="Heading3"/>
      </w:pPr>
      <w:r>
        <w:t xml:space="preserve">Exact dual quadrature</w:t>
      </w:r>
    </w:p>
    <w:p>
      <w:pPr>
        <w:pStyle w:val="FirstParagraph"/>
      </w:pPr>
      <w:r>
        <w:t xml:space="preserve">The objective</w:t>
      </w:r>
      <w:r>
        <w:t xml:space="preserve"> </w:t>
      </w:r>
      <m:oMath>
        <m:r>
          <m:t>Φ</m:t>
        </m:r>
      </m:oMath>
      <w:r>
        <w:t xml:space="preserve"> </w:t>
      </w:r>
      <w:r>
        <w:t xml:space="preserve">defines a linear functional with rational moments through degree five. Its monic degree-three orthogonal polynomial is the cubic above. Exact root intervals and Lagrange formulas give a positive three-node quadrature rule that is exact through degree five.</w:t>
      </w:r>
    </w:p>
    <w:bookmarkEnd w:id="29"/>
    <w:bookmarkStart w:id="30" w:name="negative-reduced-costs-above-degree-five"/>
    <w:p>
      <w:pPr>
        <w:pStyle w:val="Heading3"/>
      </w:pPr>
      <w:r>
        <w:t xml:space="preserve">Negative reduced costs above degree five</w:t>
      </w:r>
    </w:p>
    <w:p>
      <w:pPr>
        <w:pStyle w:val="FirstParagraph"/>
      </w:pPr>
      <w:r>
        <w:t xml:space="preserve">Exact integer recurrence checks degrees 6 through 14,658. A normalized Gegenbauer tail bound covers every larger degree. All omitted degrees have strictly negative reduced cost. Higher harmonic terms cannot improve the auxiliary objective.</w:t>
      </w:r>
    </w:p>
    <w:bookmarkEnd w:id="30"/>
    <w:bookmarkStart w:id="31" w:name="global-minorant"/>
    <w:p>
      <w:pPr>
        <w:pStyle w:val="Heading3"/>
      </w:pPr>
      <w:r>
        <w:t xml:space="preserve">Global minorant</w:t>
      </w:r>
    </w:p>
    <w:p>
      <w:pPr>
        <w:pStyle w:val="FirstParagraph"/>
      </w:pPr>
      <w:r>
        <w:t xml:space="preserve">A directed derivative certificate proves</w:t>
      </w:r>
    </w:p>
    <w:p>
      <w:pPr>
        <w:pStyle w:val="BodyText"/>
      </w:pPr>
      <m:oMathPara>
        <m:oMathParaPr>
          <m:jc m:val="center"/>
        </m:oMathParaPr>
        <m:oMath>
          <m:sSubSup>
            <m:e>
              <m:r>
                <m:t>K</m:t>
              </m:r>
            </m:e>
            <m:sub>
              <m:r>
                <m:t>32</m:t>
              </m:r>
            </m:sub>
            <m:sup>
              <m:d>
                <m:dPr>
                  <m:begChr m:val="("/>
                  <m:endChr m:val=")"/>
                  <m:sepChr m:val=""/>
                  <m:grow/>
                </m:dPr>
                <m:e>
                  <m:r>
                    <m:t>6</m:t>
                  </m:r>
                </m:e>
              </m:d>
            </m:sup>
          </m:sSubSup>
          <m:d>
            <m:dPr>
              <m:begChr m:val="("/>
              <m:endChr m:val=")"/>
              <m:sepChr m:val=""/>
              <m:grow/>
            </m:dPr>
            <m:e>
              <m:r>
                <m:t>t</m:t>
              </m:r>
            </m:e>
          </m:d>
          <m:r>
            <m:rPr>
              <m:sty m:val="p"/>
            </m:rPr>
            <m:t>&gt;</m:t>
          </m:r>
          <m:r>
            <m:t>0</m:t>
          </m:r>
          <m:r>
            <m:t>  </m:t>
          </m:r>
          <m:d>
            <m:dPr>
              <m:begChr m:val="("/>
              <m:endChr m:val=")"/>
              <m:sepChr m:val=""/>
              <m:grow/>
            </m:dPr>
            <m:e>
              <m:r>
                <m:rPr>
                  <m:sty m:val="p"/>
                </m:rPr>
                <m:t>−</m:t>
              </m:r>
              <m:r>
                <m:t>1</m:t>
              </m:r>
              <m:r>
                <m:rPr>
                  <m:sty m:val="p"/>
                </m:rPr>
                <m:t>&lt;</m:t>
              </m:r>
              <m:r>
                <m:t>t</m:t>
              </m:r>
              <m:r>
                <m:rPr>
                  <m:sty m:val="p"/>
                </m:rPr>
                <m:t>&lt;</m:t>
              </m:r>
              <m:r>
                <m:t>1</m:t>
              </m:r>
            </m:e>
          </m:d>
        </m:oMath>
      </m:oMathPara>
    </w:p>
    <w:p>
      <w:pPr>
        <w:pStyle w:val="FirstParagraph"/>
      </w:pPr>
      <w:r>
        <w:t xml:space="preserve">The Hermite remainder formula gives</w:t>
      </w:r>
    </w:p>
    <w:p>
      <w:pPr>
        <w:pStyle w:val="BodyText"/>
      </w:pPr>
      <m:oMathPara>
        <m:oMathParaPr>
          <m:jc m:val="center"/>
        </m:oMathParaPr>
        <m:oMath>
          <m:sSub>
            <m:e>
              <m:r>
                <m:t>K</m:t>
              </m:r>
            </m:e>
            <m:sub>
              <m:r>
                <m:t>32</m:t>
              </m:r>
            </m:sub>
          </m:sSub>
          <m:d>
            <m:dPr>
              <m:begChr m:val="("/>
              <m:endChr m:val=")"/>
              <m:sepChr m:val=""/>
              <m:grow/>
            </m:dPr>
            <m:e>
              <m:r>
                <m:t>t</m:t>
              </m:r>
            </m:e>
          </m:d>
          <m:r>
            <m:rPr>
              <m:sty m:val="p"/>
            </m:rPr>
            <m:t>−</m:t>
          </m:r>
          <m:sSub>
            <m:e>
              <m:r>
                <m:t>h</m:t>
              </m:r>
            </m:e>
            <m:sub>
              <m:r>
                <m:rPr>
                  <m:sty m:val="p"/>
                </m:rPr>
                <m:t>⋆</m:t>
              </m:r>
            </m:sub>
          </m:sSub>
          <m:d>
            <m:dPr>
              <m:begChr m:val="("/>
              <m:endChr m:val=")"/>
              <m:sepChr m:val=""/>
              <m:grow/>
            </m:dPr>
            <m:e>
              <m:r>
                <m:t>t</m:t>
              </m:r>
            </m:e>
          </m:d>
          <m:r>
            <m:rPr>
              <m:sty m:val="p"/>
            </m:rPr>
            <m:t>=</m:t>
          </m:r>
          <m:f>
            <m:fPr>
              <m:type m:val="bar"/>
            </m:fPr>
            <m:num>
              <m:sSubSup>
                <m:e>
                  <m:r>
                    <m:t>K</m:t>
                  </m:r>
                </m:e>
                <m:sub>
                  <m:r>
                    <m:t>32</m:t>
                  </m:r>
                </m:sub>
                <m:sup>
                  <m:d>
                    <m:dPr>
                      <m:begChr m:val="("/>
                      <m:endChr m:val=")"/>
                      <m:sepChr m:val=""/>
                      <m:grow/>
                    </m:dPr>
                    <m:e>
                      <m:r>
                        <m:t>6</m:t>
                      </m:r>
                    </m:e>
                  </m:d>
                </m:sup>
              </m:sSubSup>
              <m:d>
                <m:dPr>
                  <m:begChr m:val="("/>
                  <m:endChr m:val=")"/>
                  <m:sepChr m:val=""/>
                  <m:grow/>
                </m:dPr>
                <m:e>
                  <m:sSub>
                    <m:e>
                      <m:r>
                        <m:t>ξ</m:t>
                      </m:r>
                    </m:e>
                    <m:sub>
                      <m:r>
                        <m:t>t</m:t>
                      </m:r>
                    </m:sub>
                  </m:sSub>
                </m:e>
              </m:d>
            </m:num>
            <m:den>
              <m:r>
                <m:t>6</m:t>
              </m:r>
              <m:r>
                <m:rPr>
                  <m:sty m:val="p"/>
                </m:rPr>
                <m:t>!</m:t>
              </m:r>
            </m:den>
          </m:f>
          <m:nary>
            <m:naryPr>
              <m:chr m:val="∏"/>
              <m:limLoc m:val="undOvr"/>
              <m:subHide m:val="off"/>
              <m:supHide m:val="off"/>
            </m:naryPr>
            <m:sub>
              <m:r>
                <m:t>j</m:t>
              </m:r>
              <m:r>
                <m:rPr>
                  <m:sty m:val="p"/>
                </m:rPr>
                <m:t>=</m:t>
              </m:r>
              <m:r>
                <m:t>1</m:t>
              </m:r>
            </m:sub>
            <m:sup>
              <m:r>
                <m:t>3</m:t>
              </m:r>
            </m:sup>
            <m:e>
              <m:sSup>
                <m:e>
                  <m:d>
                    <m:dPr>
                      <m:begChr m:val="("/>
                      <m:endChr m:val=")"/>
                      <m:sepChr m:val=""/>
                      <m:grow/>
                    </m:dPr>
                    <m:e>
                      <m:r>
                        <m:t>t</m:t>
                      </m:r>
                      <m:r>
                        <m:rPr>
                          <m:sty m:val="p"/>
                        </m:rPr>
                        <m:t>−</m:t>
                      </m:r>
                      <m:sSub>
                        <m:e>
                          <m:r>
                            <m:t>t</m:t>
                          </m:r>
                        </m:e>
                        <m:sub>
                          <m:r>
                            <m:t>j</m:t>
                          </m:r>
                        </m:sub>
                      </m:sSub>
                    </m:e>
                  </m:d>
                </m:e>
                <m:sup>
                  <m:r>
                    <m:t>2</m:t>
                  </m:r>
                </m:sup>
              </m:sSup>
            </m:e>
          </m:nary>
          <m:r>
            <m:rPr>
              <m:sty m:val="p"/>
            </m:rPr>
            <m:t>≥</m:t>
          </m:r>
          <m:r>
            <m:t>0</m:t>
          </m:r>
        </m:oMath>
      </m:oMathPara>
    </w:p>
    <w:p>
      <w:pPr>
        <w:pStyle w:val="FirstParagraph"/>
      </w:pPr>
      <w:r>
        <w:t xml:space="preserve">Separate directed certificates verify the two endpoints.</w:t>
      </w:r>
    </w:p>
    <w:bookmarkEnd w:id="31"/>
    <w:bookmarkStart w:id="32" w:name="primal-dual-equality"/>
    <w:p>
      <w:pPr>
        <w:pStyle w:val="Heading3"/>
      </w:pPr>
      <w:r>
        <w:t xml:space="preserve">Primal-dual equality</w:t>
      </w:r>
    </w:p>
    <w:p>
      <w:pPr>
        <w:pStyle w:val="FirstParagraph"/>
      </w:pPr>
      <w:r>
        <w:t xml:space="preserve">A Krawczyk interval solve places all five nonconstant Gegenbauer coefficients above zero. Contact at the three quadrature nodes makes the primal and dual objectives equal. Strict reduced costs and the six interpolation conditions give uniqueness.</w:t>
      </w:r>
    </w:p>
    <w:p>
      <w:pPr>
        <w:pStyle w:val="BodyText"/>
      </w:pPr>
      <w:r>
        <w:t xml:space="preserve">For every nonnegative rule, the resulting directed bound is</w:t>
      </w:r>
    </w:p>
    <w:p>
      <w:pPr>
        <w:pStyle w:val="BodyText"/>
      </w:pPr>
      <m:oMathPara>
        <m:oMathParaPr>
          <m:jc m:val="center"/>
        </m:oMathParaPr>
        <m:oMath>
          <m:r>
            <m:rPr>
              <m:sty m:val="p"/>
              <m:scr m:val="script"/>
            </m:rPr>
            <m:t>R</m:t>
          </m:r>
          <m:d>
            <m:dPr>
              <m:begChr m:val="("/>
              <m:endChr m:val=")"/>
              <m:sepChr m:val=""/>
              <m:grow/>
            </m:dPr>
            <m:e>
              <m:r>
                <m:t>Q</m:t>
              </m:r>
            </m:e>
          </m:d>
          <m:r>
            <m:rPr>
              <m:sty m:val="p"/>
            </m:rPr>
            <m:t>≥</m:t>
          </m:r>
          <m:r>
            <m:t>2.4330928587565938</m:t>
          </m:r>
          <m:r>
            <m:rPr>
              <m:sty m:val="p"/>
            </m:rPr>
            <m:t>×</m:t>
          </m:r>
          <m:sSup>
            <m:e>
              <m:r>
                <m:t>10</m:t>
              </m:r>
            </m:e>
            <m:sup>
              <m:r>
                <m:rPr>
                  <m:sty m:val="p"/>
                </m:rPr>
                <m:t>−</m:t>
              </m:r>
              <m:r>
                <m:t>7</m:t>
              </m:r>
            </m:sup>
          </m:sSup>
        </m:oMath>
      </m:oMathPara>
    </w:p>
    <w:p>
      <w:pPr>
        <w:pStyle w:val="FirstParagraph"/>
      </w:pPr>
      <w:r>
        <w:t xml:space="preserve">Comparison with the certified Kerdock-risk interval proves Theorem 1.</w:t>
      </w:r>
    </w:p>
    <w:bookmarkEnd w:id="32"/>
    <w:bookmarkEnd w:id="33"/>
    <w:bookmarkEnd w:id="34"/>
    <w:bookmarkStart w:id="37" w:name="the-signed-bound"/>
    <w:p>
      <w:pPr>
        <w:pStyle w:val="Heading1"/>
      </w:pPr>
      <w:r>
        <w:t xml:space="preserve">The signed bound</w:t>
      </w:r>
    </w:p>
    <w:p>
      <w:pPr>
        <w:pStyle w:val="FirstParagraph"/>
      </w:pPr>
      <w:r>
        <w:t xml:space="preserve">Negative weights can cancel harmonic moments. The signed proof therefore uses the inertia of harmonic moment matrices.</w:t>
      </w:r>
    </w:p>
    <w:bookmarkStart w:id="35" w:name="a-positive-index-inequality"/>
    <w:p>
      <w:pPr>
        <w:pStyle w:val="Heading2"/>
      </w:pPr>
      <w:r>
        <w:t xml:space="preserve">A positive-index inequality</w:t>
      </w:r>
    </w:p>
    <w:p>
      <w:pPr>
        <w:pStyle w:val="FirstParagraph"/>
      </w:pPr>
      <w:r>
        <w:t xml:space="preserve">For one harmonic comparison profile, let</w:t>
      </w:r>
      <w:r>
        <w:t xml:space="preserve"> </w:t>
      </w:r>
      <m:oMath>
        <m:r>
          <m:t>E</m:t>
        </m:r>
      </m:oMath>
      <w:r>
        <w:t xml:space="preserve"> </w:t>
      </w:r>
      <w:r>
        <w:t xml:space="preserve">be its node-evaluation matrix and let</w:t>
      </w:r>
    </w:p>
    <w:p>
      <w:pPr>
        <w:pStyle w:val="BodyText"/>
      </w:pPr>
      <m:oMathPara>
        <m:oMathParaPr>
          <m:jc m:val="center"/>
        </m:oMathParaPr>
        <m:oMath>
          <m:r>
            <m:t>W</m:t>
          </m:r>
          <m:r>
            <m:rPr>
              <m:sty m:val="p"/>
            </m:rPr>
            <m:t>=</m:t>
          </m:r>
          <m:r>
            <m:rPr>
              <m:sty m:val="p"/>
            </m:rPr>
            <m:t>diag</m:t>
          </m:r>
          <m:d>
            <m:dPr>
              <m:begChr m:val="("/>
              <m:endChr m:val=")"/>
              <m:sepChr m:val=""/>
              <m:grow/>
            </m:dPr>
            <m:e>
              <m:sSub>
                <m:e>
                  <m:r>
                    <m:t>w</m:t>
                  </m:r>
                </m:e>
                <m:sub>
                  <m:r>
                    <m:t>i</m:t>
                  </m:r>
                </m:sub>
              </m:sSub>
            </m:e>
          </m:d>
        </m:oMath>
      </m:oMathPara>
    </w:p>
    <w:p>
      <w:pPr>
        <w:pStyle w:val="FirstParagraph"/>
      </w:pPr>
      <w:r>
        <w:t xml:space="preserve">The moment matrix is</w:t>
      </w:r>
    </w:p>
    <w:p>
      <w:pPr>
        <w:pStyle w:val="BodyText"/>
      </w:pPr>
      <m:oMathPara>
        <m:oMathParaPr>
          <m:jc m:val="center"/>
        </m:oMathParaPr>
        <m:oMath>
          <m:r>
            <m:t>M</m:t>
          </m:r>
          <m:r>
            <m:rPr>
              <m:sty m:val="p"/>
            </m:rPr>
            <m:t>=</m:t>
          </m:r>
          <m:sSup>
            <m:e>
              <m:r>
                <m:t>E</m:t>
              </m:r>
            </m:e>
            <m:sup>
              <m:r>
                <m:t>T</m:t>
              </m:r>
            </m:sup>
          </m:sSup>
          <m:r>
            <m:t>W</m:t>
          </m:r>
          <m:r>
            <m:t>E</m:t>
          </m:r>
        </m:oMath>
      </m:oMathPara>
    </w:p>
    <w:p>
      <w:pPr>
        <w:pStyle w:val="FirstParagraph"/>
      </w:pPr>
      <w:r>
        <w:t xml:space="preserve">Let the target matrix have trace</w:t>
      </w:r>
      <w:r>
        <w:t xml:space="preserve"> </w:t>
      </w:r>
      <m:oMath>
        <m:r>
          <m:t>T</m:t>
        </m:r>
        <m:r>
          <m:rPr>
            <m:sty m:val="p"/>
          </m:rPr>
          <m:t>&gt;</m:t>
        </m:r>
        <m:r>
          <m:t>0</m:t>
        </m:r>
      </m:oMath>
      <w:r>
        <w:t xml:space="preserve"> </w:t>
      </w:r>
      <w:r>
        <w:t xml:space="preserve">and squared Frobenius norm</w:t>
      </w:r>
      <w:r>
        <w:t xml:space="preserve"> </w:t>
      </w:r>
      <m:oMath>
        <m:sSub>
          <m:e>
            <m:r>
              <m:t>S</m:t>
            </m:r>
          </m:e>
          <m:sub>
            <m:r>
              <m:t>2</m:t>
            </m:r>
          </m:sub>
        </m:sSub>
      </m:oMath>
      <w:r>
        <w:t xml:space="preserve">. Under the fixed block-trace constraints,</w:t>
      </w:r>
    </w:p>
    <w:p>
      <w:pPr>
        <w:pStyle w:val="BodyText"/>
      </w:pPr>
      <m:oMathPara>
        <m:oMathParaPr>
          <m:jc m:val="center"/>
        </m:oMathParaPr>
        <m:oMath>
          <m:r>
            <m:rPr>
              <m:sty m:val="p"/>
            </m:rPr>
            <m:t>∥</m:t>
          </m:r>
          <m:r>
            <m:t>A</m:t>
          </m:r>
          <m:r>
            <m:rPr>
              <m:sty m:val="p"/>
            </m:rPr>
            <m:t>−</m:t>
          </m:r>
          <m:r>
            <m:t>M</m:t>
          </m:r>
          <m:sSubSup>
            <m:e>
              <m:r>
                <m:rPr>
                  <m:sty m:val="p"/>
                </m:rPr>
                <m:t>∥</m:t>
              </m:r>
            </m:e>
            <m:sub>
              <m:r>
                <m:t>F</m:t>
              </m:r>
            </m:sub>
            <m:sup>
              <m:r>
                <m:t>2</m:t>
              </m:r>
            </m:sup>
          </m:sSubSup>
          <m:r>
            <m:rPr>
              <m:sty m:val="p"/>
            </m:rPr>
            <m:t>=</m:t>
          </m:r>
          <m:r>
            <m:rPr>
              <m:sty m:val="p"/>
            </m:rPr>
            <m:t>∥</m:t>
          </m:r>
          <m:r>
            <m:t>M</m:t>
          </m:r>
          <m:sSubSup>
            <m:e>
              <m:r>
                <m:rPr>
                  <m:sty m:val="p"/>
                </m:rPr>
                <m:t>∥</m:t>
              </m:r>
            </m:e>
            <m:sub>
              <m:r>
                <m:t>F</m:t>
              </m:r>
            </m:sub>
            <m:sup>
              <m:r>
                <m:t>2</m:t>
              </m:r>
            </m:sup>
          </m:sSubSup>
          <m:r>
            <m:rPr>
              <m:sty m:val="p"/>
            </m:rPr>
            <m:t>−</m:t>
          </m:r>
          <m:sSub>
            <m:e>
              <m:r>
                <m:t>S</m:t>
              </m:r>
            </m:e>
            <m:sub>
              <m:r>
                <m:t>2</m:t>
              </m:r>
            </m:sub>
          </m:sSub>
        </m:oMath>
      </m:oMathPara>
    </w:p>
    <w:p>
      <w:pPr>
        <w:pStyle w:val="FirstParagraph"/>
      </w:pPr>
      <w:r>
        <w:rPr>
          <w:b/>
          <w:bCs/>
        </w:rPr>
        <w:t xml:space="preserve">Lemma 5 (Positive-index bound).</w:t>
      </w:r>
      <w:r>
        <w:t xml:space="preserve"> </w:t>
      </w:r>
      <w:r>
        <w:rPr>
          <w:i/>
          <w:iCs/>
        </w:rPr>
        <w:t xml:space="preserve">If a symmetric matrix</w:t>
      </w:r>
      <w:r>
        <w:rPr>
          <w:i/>
          <w:iCs/>
        </w:rPr>
        <w:t xml:space="preserve"> </w:t>
      </w:r>
      <m:oMath>
        <m:r>
          <m:t>M</m:t>
        </m:r>
      </m:oMath>
      <w:r>
        <w:rPr>
          <w:i/>
          <w:iCs/>
        </w:rPr>
        <w:t xml:space="preserve"> </w:t>
      </w:r>
      <w:r>
        <w:rPr>
          <w:i/>
          <w:iCs/>
        </w:rPr>
        <w:t xml:space="preserve">has trace</w:t>
      </w:r>
      <w:r>
        <w:rPr>
          <w:i/>
          <w:iCs/>
        </w:rPr>
        <w:t xml:space="preserve"> </w:t>
      </w:r>
      <m:oMath>
        <m:r>
          <m:t>T</m:t>
        </m:r>
        <m:r>
          <m:rPr>
            <m:sty m:val="p"/>
          </m:rPr>
          <m:t>&gt;</m:t>
        </m:r>
        <m:r>
          <m:t>0</m:t>
        </m:r>
      </m:oMath>
      <w:r>
        <w:rPr>
          <w:i/>
          <w:iCs/>
        </w:rPr>
        <w:t xml:space="preserve"> </w:t>
      </w:r>
      <w:r>
        <w:rPr>
          <w:i/>
          <w:iCs/>
        </w:rPr>
        <w:t xml:space="preserve">and at most</w:t>
      </w:r>
      <w:r>
        <w:rPr>
          <w:i/>
          <w:iCs/>
        </w:rPr>
        <w:t xml:space="preserve"> </w:t>
      </w:r>
      <m:oMath>
        <m:r>
          <m:t>p</m:t>
        </m:r>
      </m:oMath>
      <w:r>
        <w:rPr>
          <w:i/>
          <w:iCs/>
        </w:rPr>
        <w:t xml:space="preserve"> </w:t>
      </w:r>
      <w:r>
        <w:rPr>
          <w:i/>
          <w:iCs/>
        </w:rPr>
        <w:t xml:space="preserve">positive eigenvalues, then</w:t>
      </w:r>
    </w:p>
    <w:p>
      <w:pPr>
        <w:pStyle w:val="BodyText"/>
      </w:pPr>
      <m:oMathPara>
        <m:oMathParaPr>
          <m:jc m:val="center"/>
        </m:oMathParaPr>
        <m:oMath>
          <m:r>
            <m:rPr>
              <m:sty m:val="p"/>
            </m:rPr>
            <m:t>∥</m:t>
          </m:r>
          <m:r>
            <m:t>M</m:t>
          </m:r>
          <m:sSubSup>
            <m:e>
              <m:r>
                <m:rPr>
                  <m:sty m:val="p"/>
                </m:rPr>
                <m:t>∥</m:t>
              </m:r>
            </m:e>
            <m:sub>
              <m:r>
                <m:t>F</m:t>
              </m:r>
            </m:sub>
            <m:sup>
              <m:r>
                <m:t>2</m:t>
              </m:r>
            </m:sup>
          </m:sSubSup>
          <m:r>
            <m:rPr>
              <m:sty m:val="p"/>
            </m:rPr>
            <m:t>≥</m:t>
          </m:r>
          <m:f>
            <m:fPr>
              <m:type m:val="bar"/>
            </m:fPr>
            <m:num>
              <m:sSup>
                <m:e>
                  <m:r>
                    <m:t>T</m:t>
                  </m:r>
                </m:e>
                <m:sup>
                  <m:r>
                    <m:t>2</m:t>
                  </m:r>
                </m:sup>
              </m:sSup>
            </m:num>
            <m:den>
              <m:r>
                <m:t>p</m:t>
              </m:r>
            </m:den>
          </m:f>
        </m:oMath>
      </m:oMathPara>
    </w:p>
    <w:p>
      <w:pPr>
        <w:pStyle w:val="FirstParagraph"/>
      </w:pPr>
      <w:r>
        <w:rPr>
          <w:i/>
          <w:iCs/>
        </w:rPr>
        <w:t xml:space="preserve">Proof.</w:t>
      </w:r>
      <w:r>
        <w:t xml:space="preserve"> </w:t>
      </w:r>
      <w:r>
        <w:t xml:space="preserve">Let</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be the positive eigenvalues. Their sum is at least</w:t>
      </w:r>
      <w:r>
        <w:t xml:space="preserve"> </w:t>
      </w:r>
      <m:oMath>
        <m:r>
          <m:t>T</m:t>
        </m:r>
      </m:oMath>
      <w:r>
        <w:t xml:space="preserve">. Cauchy-Schwarz gives</w:t>
      </w:r>
    </w:p>
    <w:p>
      <w:pPr>
        <w:pStyle w:val="BodyText"/>
      </w:pPr>
      <m:oMathPara>
        <m:oMathParaPr>
          <m:jc m:val="center"/>
        </m:oMathParaPr>
        <m:oMath>
          <m:r>
            <m:rPr>
              <m:sty m:val="p"/>
            </m:rPr>
            <m:t>∥</m:t>
          </m:r>
          <m:r>
            <m:t>M</m:t>
          </m:r>
          <m:sSubSup>
            <m:e>
              <m:r>
                <m:rPr>
                  <m:sty m:val="p"/>
                </m:rPr>
                <m:t>∥</m:t>
              </m:r>
            </m:e>
            <m:sub>
              <m:r>
                <m:t>F</m:t>
              </m:r>
            </m:sub>
            <m:sup>
              <m:r>
                <m:t>2</m:t>
              </m:r>
            </m:sup>
          </m:sSubSup>
          <m:r>
            <m:rPr>
              <m:sty m:val="p"/>
            </m:rPr>
            <m:t>≥</m:t>
          </m:r>
          <m:nary>
            <m:naryPr>
              <m:chr m:val="∑"/>
              <m:limLoc m:val="undOvr"/>
              <m:subHide m:val="off"/>
              <m:supHide m:val="on"/>
            </m:naryPr>
            <m:sub>
              <m:r>
                <m:t>i</m:t>
              </m:r>
            </m:sub>
            <m:sup>
              <m:r>
                <m:t>​</m:t>
              </m:r>
            </m:sup>
            <m:e>
              <m:sSubSup>
                <m:e>
                  <m:r>
                    <m:t>λ</m:t>
                  </m:r>
                </m:e>
                <m:sub>
                  <m:r>
                    <m:t>i</m:t>
                  </m:r>
                </m:sub>
                <m:sup>
                  <m:r>
                    <m:t>2</m:t>
                  </m:r>
                </m:sup>
              </m:sSubSup>
            </m:e>
          </m:nary>
          <m:r>
            <m:rPr>
              <m:sty m:val="p"/>
            </m:rPr>
            <m:t>≥</m:t>
          </m:r>
          <m:f>
            <m:fPr>
              <m:type m:val="bar"/>
            </m:fPr>
            <m:num>
              <m:sSup>
                <m:e>
                  <m:d>
                    <m:dPr>
                      <m:begChr m:val="("/>
                      <m:endChr m:val=")"/>
                      <m:sepChr m:val=""/>
                      <m:grow/>
                    </m:dPr>
                    <m:e>
                      <m:nary>
                        <m:naryPr>
                          <m:chr m:val="∑"/>
                          <m:limLoc m:val="undOvr"/>
                          <m:subHide m:val="off"/>
                          <m:supHide m:val="on"/>
                        </m:naryPr>
                        <m:sub>
                          <m:r>
                            <m:t>i</m:t>
                          </m:r>
                        </m:sub>
                        <m:sup>
                          <m:r>
                            <m:t>​</m:t>
                          </m:r>
                        </m:sup>
                        <m:e>
                          <m:sSub>
                            <m:e>
                              <m:r>
                                <m:t>λ</m:t>
                              </m:r>
                            </m:e>
                            <m:sub>
                              <m:r>
                                <m:t>i</m:t>
                              </m:r>
                            </m:sub>
                          </m:sSub>
                        </m:e>
                      </m:nary>
                    </m:e>
                  </m:d>
                </m:e>
                <m:sup>
                  <m:r>
                    <m:t>2</m:t>
                  </m:r>
                </m:sup>
              </m:sSup>
            </m:num>
            <m:den>
              <m:r>
                <m:t>p</m:t>
              </m:r>
            </m:den>
          </m:f>
          <m:r>
            <m:rPr>
              <m:sty m:val="p"/>
            </m:rPr>
            <m:t>≥</m:t>
          </m:r>
          <m:f>
            <m:fPr>
              <m:type m:val="bar"/>
            </m:fPr>
            <m:num>
              <m:sSup>
                <m:e>
                  <m:r>
                    <m:t>T</m:t>
                  </m:r>
                </m:e>
                <m:sup>
                  <m:r>
                    <m:t>2</m:t>
                  </m:r>
                </m:sup>
              </m:sSup>
            </m:num>
            <m:den>
              <m:r>
                <m:t>p</m:t>
              </m:r>
            </m:den>
          </m:f>
          <m:r>
            <m:rPr>
              <m:sty m:val="p"/>
            </m:rPr>
            <m:t>.</m:t>
          </m:r>
          <m:r>
            <m:t>  </m:t>
          </m:r>
          <m:r>
            <m:rPr>
              <m:sty m:val="p"/>
            </m:rPr>
            <m:t>▫</m:t>
          </m:r>
        </m:oMath>
      </m:oMathPara>
    </w:p>
    <w:p>
      <w:pPr>
        <w:pStyle w:val="FirstParagraph"/>
      </w:pPr>
      <w:r>
        <w:t xml:space="preserve">Congruence cannot increase the positive inertia of</w:t>
      </w:r>
      <w:r>
        <w:t xml:space="preserve"> </w:t>
      </w:r>
      <m:oMath>
        <m:r>
          <m:t>W</m:t>
        </m:r>
      </m:oMath>
      <w:r>
        <w:t xml:space="preserve">. If a rule has</w:t>
      </w:r>
      <w:r>
        <w:t xml:space="preserve"> </w:t>
      </w:r>
      <m:oMath>
        <m:r>
          <m:t>q</m:t>
        </m:r>
      </m:oMath>
      <w:r>
        <w:t xml:space="preserve"> </w:t>
      </w:r>
      <w:r>
        <w:t xml:space="preserve">negative support entries, then</w:t>
      </w:r>
      <w:r>
        <w:t xml:space="preserve"> </w:t>
      </w:r>
      <m:oMath>
        <m:r>
          <m:t>M</m:t>
        </m:r>
      </m:oMath>
      <w:r>
        <w:t xml:space="preserve"> </w:t>
      </w:r>
      <w:r>
        <w:t xml:space="preserve">has at most</w:t>
      </w:r>
      <w:r>
        <w:t xml:space="preserve"> </w:t>
      </w:r>
      <m:oMath>
        <m:r>
          <m:t>N</m:t>
        </m:r>
        <m:r>
          <m:rPr>
            <m:sty m:val="p"/>
          </m:rPr>
          <m:t>−</m:t>
        </m:r>
        <m:r>
          <m:t>q</m:t>
        </m:r>
      </m:oMath>
      <w:r>
        <w:t xml:space="preserve"> </w:t>
      </w:r>
      <w:r>
        <w:t xml:space="preserve">positive eigenvalues. Therefore</w:t>
      </w:r>
    </w:p>
    <w:p>
      <w:pPr>
        <w:pStyle w:val="BodyText"/>
      </w:pPr>
      <m:oMathPara>
        <m:oMathParaPr>
          <m:jc m:val="center"/>
        </m:oMathParaPr>
        <m:oMath>
          <m:r>
            <m:rPr>
              <m:sty m:val="p"/>
            </m:rPr>
            <m:t>∥</m:t>
          </m:r>
          <m:r>
            <m:t>A</m:t>
          </m:r>
          <m:r>
            <m:rPr>
              <m:sty m:val="p"/>
            </m:rPr>
            <m:t>−</m:t>
          </m:r>
          <m:r>
            <m:t>M</m:t>
          </m:r>
          <m:sSubSup>
            <m:e>
              <m:r>
                <m:rPr>
                  <m:sty m:val="p"/>
                </m:rPr>
                <m:t>∥</m:t>
              </m:r>
            </m:e>
            <m:sub>
              <m:r>
                <m:t>F</m:t>
              </m:r>
            </m:sub>
            <m:sup>
              <m:r>
                <m:t>2</m:t>
              </m:r>
            </m:sup>
          </m:sSubSup>
          <m:r>
            <m:rPr>
              <m:sty m:val="p"/>
            </m:rPr>
            <m:t>≥</m:t>
          </m:r>
          <m:f>
            <m:fPr>
              <m:type m:val="bar"/>
            </m:fPr>
            <m:num>
              <m:sSup>
                <m:e>
                  <m:r>
                    <m:t>T</m:t>
                  </m:r>
                </m:e>
                <m:sup>
                  <m:r>
                    <m:t>2</m:t>
                  </m:r>
                </m:sup>
              </m:sSup>
            </m:num>
            <m:den>
              <m:r>
                <m:t>N</m:t>
              </m:r>
              <m:r>
                <m:rPr>
                  <m:sty m:val="p"/>
                </m:rPr>
                <m:t>−</m:t>
              </m:r>
              <m:r>
                <m:t>q</m:t>
              </m:r>
            </m:den>
          </m:f>
          <m:r>
            <m:rPr>
              <m:sty m:val="p"/>
            </m:rPr>
            <m:t>−</m:t>
          </m:r>
          <m:sSub>
            <m:e>
              <m:r>
                <m:t>S</m:t>
              </m:r>
            </m:e>
            <m:sub>
              <m:r>
                <m:t>2</m:t>
              </m:r>
            </m:sub>
          </m:sSub>
        </m:oMath>
      </m:oMathPara>
    </w:p>
    <w:bookmarkEnd w:id="35"/>
    <w:bookmarkStart w:id="36" w:name="the-harmonic-witness"/>
    <w:p>
      <w:pPr>
        <w:pStyle w:val="Heading2"/>
      </w:pPr>
      <w:r>
        <w:t xml:space="preserve">The harmonic witness</w:t>
      </w:r>
    </w:p>
    <w:p>
      <w:pPr>
        <w:pStyle w:val="FirstParagraph"/>
      </w:pPr>
      <w:r>
        <w:t xml:space="preserve">The certificate uses 146 nonnegative comparison profiles and kernel coefficients through degree 320. The coefficient allocation is rational and fixed. Each abstract rank floor is replaced by the positive-index floor above. The final sum is exact rational arithmetic once the directed lower endpoints of the kernel coefficients are supplied.</w:t>
      </w:r>
    </w:p>
    <w:p>
      <w:pPr>
        <w:pStyle w:val="BodyText"/>
      </w:pPr>
      <w:r>
        <w:t xml:space="preserve">For every signed rule, the certificate gives</w:t>
      </w:r>
    </w:p>
    <w:p>
      <w:pPr>
        <w:pStyle w:val="BodyText"/>
      </w:pPr>
      <m:oMathPara>
        <m:oMathParaPr>
          <m:jc m:val="center"/>
        </m:oMathParaPr>
        <m:oMath>
          <m:r>
            <m:rPr>
              <m:sty m:val="p"/>
              <m:scr m:val="script"/>
            </m:rPr>
            <m:t>R</m:t>
          </m:r>
          <m:d>
            <m:dPr>
              <m:begChr m:val="("/>
              <m:endChr m:val=")"/>
              <m:sepChr m:val=""/>
              <m:grow/>
            </m:dPr>
            <m:e>
              <m:r>
                <m:t>Q</m:t>
              </m:r>
            </m:e>
          </m:d>
          <m:r>
            <m:rPr>
              <m:sty m:val="p"/>
            </m:rPr>
            <m:t>≥</m:t>
          </m:r>
          <m:r>
            <m:t>2.2804861843861462</m:t>
          </m:r>
          <m:r>
            <m:rPr>
              <m:sty m:val="p"/>
            </m:rPr>
            <m:t>×</m:t>
          </m:r>
          <m:sSup>
            <m:e>
              <m:r>
                <m:t>10</m:t>
              </m:r>
            </m:e>
            <m:sup>
              <m:r>
                <m:rPr>
                  <m:sty m:val="p"/>
                </m:rPr>
                <m:t>−</m:t>
              </m:r>
              <m:r>
                <m:t>7</m:t>
              </m:r>
            </m:sup>
          </m:sSup>
        </m:oMath>
      </m:oMathPara>
    </w:p>
    <w:p>
      <w:pPr>
        <w:pStyle w:val="FirstParagraph"/>
      </w:pPr>
      <w:r>
        <w:t xml:space="preserve">This proves Theorem 2. Replacing</w:t>
      </w:r>
      <w:r>
        <w:t xml:space="preserve"> </w:t>
      </w:r>
      <m:oMath>
        <m:r>
          <m:t>N</m:t>
        </m:r>
        <m:r>
          <m:rPr>
            <m:sty m:val="p"/>
          </m:rPr>
          <m:t>−</m:t>
        </m:r>
        <m:r>
          <m:t>1</m:t>
        </m:r>
      </m:oMath>
      <w:r>
        <w:t xml:space="preserve"> </w:t>
      </w:r>
      <w:r>
        <w:t xml:space="preserve">by</w:t>
      </w:r>
      <w:r>
        <w:t xml:space="preserve"> </w:t>
      </w:r>
      <m:oMath>
        <m:r>
          <m:t>N</m:t>
        </m:r>
        <m:r>
          <m:rPr>
            <m:sty m:val="p"/>
          </m:rPr>
          <m:t>−</m:t>
        </m:r>
        <m:r>
          <m:t>q</m:t>
        </m:r>
      </m:oMath>
      <w:r>
        <w:t xml:space="preserve"> </w:t>
      </w:r>
      <w:r>
        <w:t xml:space="preserve">gives Proposition 3.</w:t>
      </w:r>
    </w:p>
    <w:bookmarkEnd w:id="36"/>
    <w:bookmarkEnd w:id="37"/>
    <w:bookmarkStart w:id="38" w:name="structure-of-the-remaining-signed-gap"/>
    <w:p>
      <w:pPr>
        <w:pStyle w:val="Heading1"/>
      </w:pPr>
      <w:r>
        <w:t xml:space="preserve">Structure of the remaining signed gap</w:t>
      </w:r>
    </w:p>
    <w:p>
      <w:pPr>
        <w:pStyle w:val="FirstParagraph"/>
      </w:pPr>
      <w:r>
        <w:t xml:space="preserve">The signed bound leaves a 6.2940% interval. The current relaxation is sharp for abstract moment matrices. A single positive-semidefinite rank-</w:t>
      </w:r>
      <m:oMath>
        <m:r>
          <m:t>N</m:t>
        </m:r>
      </m:oMath>
      <w:r>
        <w:t xml:space="preserve"> </w:t>
      </w:r>
      <w:r>
        <w:t xml:space="preserve">Gram matrix can attain every profile floor in the finite witness. Such a matrix need not come from evaluations at points on the sphere.</w:t>
      </w:r>
    </w:p>
    <w:p>
      <w:pPr>
        <w:pStyle w:val="BodyText"/>
      </w:pPr>
      <w:r>
        <w:t xml:space="preserve">Atomic equality is more restrictive. It would force equal positive weights and a common zero condition across active comparison kernels. Two active profiles use consecutive Gegenbauer degrees 3 and 4 with different radial ratios. Consecutive Gegenbauer polynomials have no common zero. The older abstract floor is therefore not attained by an atomic point rule.</w:t>
      </w:r>
    </w:p>
    <w:p>
      <w:pPr>
        <w:pStyle w:val="BodyText"/>
      </w:pPr>
      <w:r>
        <w:t xml:space="preserve">This identifies the source of the remaining gap. A tighter bound must encode point realizability beyond second-order moment matrices.</w:t>
      </w:r>
    </w:p>
    <w:bookmarkEnd w:id="38"/>
    <w:bookmarkStart w:id="39" w:name="implications"/>
    <w:p>
      <w:pPr>
        <w:pStyle w:val="Heading1"/>
      </w:pPr>
      <w:r>
        <w:t xml:space="preserve">Implications</w:t>
      </w:r>
    </w:p>
    <w:p>
      <w:pPr>
        <w:pStyle w:val="FirstParagraph"/>
      </w:pPr>
      <w:r>
        <w:t xml:space="preserve">The nonnegative theorem leaves only about two parts in ten thousand between Kerdock and the optimum. At this kernel and node budget, further optimization of fixed nodes and nonnegative weights cannot produce a material improvement.</w:t>
      </w:r>
    </w:p>
    <w:p>
      <w:pPr>
        <w:pStyle w:val="BodyText"/>
      </w:pPr>
      <w:r>
        <w:t xml:space="preserve">Signed weights create more room, but the certified maximum gain is still 6.2940%. Large negative supports make the bound worse. Any signed construction near the boundary must therefore use a small and carefully structured negative support.</w:t>
      </w:r>
    </w:p>
    <w:p>
      <w:pPr>
        <w:pStyle w:val="BodyText"/>
      </w:pPr>
      <w:r>
        <w:t xml:space="preserve">The broader conclusion is simple. Static geometry already captures almost all available performance in this setting. A materially better estimator must use information that is not present in a fixed network-independent linear rule.</w:t>
      </w:r>
    </w:p>
    <w:bookmarkEnd w:id="39"/>
    <w:bookmarkStart w:id="40" w:name="verification"/>
    <w:p>
      <w:pPr>
        <w:pStyle w:val="Heading1"/>
      </w:pPr>
      <w:r>
        <w:t xml:space="preserve">Verification</w:t>
      </w:r>
    </w:p>
    <w:p>
      <w:pPr>
        <w:pStyle w:val="FirstParagraph"/>
      </w:pPr>
      <w:r>
        <w:t xml:space="preserve">The artifact release contains the Kerdock pair-spectrum calculation, the all-degree Delsarte certificate, the Hermite and endpoint checks, the signed rational witness, the positive-index strengthening, and the negative-support hierarchy.</w:t>
      </w:r>
    </w:p>
    <w:p>
      <w:pPr>
        <w:pStyle w:val="BodyText"/>
      </w:pPr>
      <w:r>
        <w:t xml:space="preserve">The core replay runs with</w:t>
      </w:r>
    </w:p>
    <w:p>
      <w:pPr>
        <w:pStyle w:val="SourceCode"/>
      </w:pPr>
      <w:r>
        <w:rPr>
          <w:rStyle w:val="VerbatimChar"/>
        </w:rPr>
        <w:t xml:space="preserve">python scripts/run_core_verification.py</w:t>
      </w:r>
      <w:r>
        <w:br/>
      </w:r>
      <w:r>
        <w:rPr>
          <w:rStyle w:val="VerbatimChar"/>
        </w:rPr>
        <w:t xml:space="preserve">python scripts/check_release_strict.py</w:t>
      </w:r>
    </w:p>
    <w:p>
      <w:pPr>
        <w:pStyle w:val="FirstParagraph"/>
      </w:pPr>
      <w:r>
        <w:t xml:space="preserve">Directed intervals certify the kernel inequalities and coefficient bounds. Exact integer and rational arithmetic then aggregates the final bounds.</w:t>
      </w:r>
    </w:p>
    <w:p>
      <w:pPr>
        <w:pStyle w:val="BodyText"/>
      </w:pPr>
      <w:r>
        <w:t xml:space="preserve">The release also includes the research ledger and the full chain of supporting audits. These records are separate from the theorem evidence.</w:t>
      </w:r>
    </w:p>
    <w:bookmarkEnd w:id="40"/>
    <w:bookmarkStart w:id="41" w:name="conclusion"/>
    <w:p>
      <w:pPr>
        <w:pStyle w:val="Heading1"/>
      </w:pPr>
      <w:r>
        <w:t xml:space="preserve">Conclusion</w:t>
      </w:r>
    </w:p>
    <w:p>
      <w:pPr>
        <w:pStyle w:val="FirstParagraph"/>
      </w:pPr>
      <w:r>
        <w:t xml:space="preserve">We studied the best performance of static, network-independent linear cubature for a deep ReLU Gaussian-process kernel. The complete Kerdock rule uses 66,048 nodes. Its risk is at most 0.0233242% above the optimum among nonnegative mass-one rules. Even arbitrary signed mass-one rules can improve its risk by at most 6.2940% under the certified bound.</w:t>
      </w:r>
    </w:p>
    <w:p>
      <w:pPr>
        <w:pStyle w:val="BodyText"/>
      </w:pPr>
      <w:r>
        <w:t xml:space="preserve">The result turns a search problem into a limit theorem. For this kernel and budget, the main gains available from fixed cubature geometry have already been captured.</w:t>
      </w:r>
    </w:p>
    <w:bookmarkEnd w:id="41"/>
    <w:bookmarkStart w:id="42" w:name="acknowledgments-and-use-of-generative-ai"/>
    <w:p>
      <w:pPr>
        <w:pStyle w:val="Heading1"/>
      </w:pPr>
      <w:r>
        <w:t xml:space="preserve">Acknowledgments and use of generative AI</w:t>
      </w:r>
    </w:p>
    <w:p>
      <w:pPr>
        <w:pStyle w:val="FirstParagraph"/>
      </w:pPr>
      <w:r>
        <w:t xml:space="preserve">Generative AI language models were used for brainstorming, code assistance, adversarial review, document synthesis, and drafting. The author reviewed the claims and assumes full responsibility for the mathematics, citations, and released verification artifacts.</w:t>
      </w:r>
    </w:p>
    <w:bookmarkEnd w:id="42"/>
    <w:bookmarkStart w:id="69" w:name="references"/>
    <w:p>
      <w:pPr>
        <w:pStyle w:val="Heading1"/>
      </w:pPr>
      <w:r>
        <w:t xml:space="preserve">References</w:t>
      </w:r>
    </w:p>
    <w:bookmarkStart w:id="68" w:name="refs"/>
    <w:bookmarkStart w:id="44" w:name="ref-abdukhalikov2009"/>
    <w:p>
      <w:pPr>
        <w:pStyle w:val="Bibliography"/>
      </w:pPr>
      <w:r>
        <w:t xml:space="preserve">Abdukhalikov, K., Eiichi Bannai, and Sho Suda. 2009.</w:t>
      </w:r>
      <w:r>
        <w:t xml:space="preserve"> </w:t>
      </w:r>
      <w:r>
        <w:t xml:space="preserve">“Association Schemes Related to Universally Optimal Configurations, Kerdock Codes and Extremal Euclidean Line-Sets.”</w:t>
      </w:r>
      <w:r>
        <w:t xml:space="preserve"> </w:t>
      </w:r>
      <w:r>
        <w:rPr>
          <w:i/>
          <w:iCs/>
        </w:rPr>
        <w:t xml:space="preserve">Journal of Combinatorial Theory, Series A</w:t>
      </w:r>
      <w:r>
        <w:t xml:space="preserve"> </w:t>
      </w:r>
      <w:r>
        <w:t xml:space="preserve">116 (2): 434–48.</w:t>
      </w:r>
      <w:r>
        <w:t xml:space="preserve"> </w:t>
      </w:r>
      <w:hyperlink r:id="rId43">
        <w:r>
          <w:rPr>
            <w:rStyle w:val="Hyperlink"/>
          </w:rPr>
          <w:t xml:space="preserve">https://doi.org/10.1016/j.jcta.2008.07.002</w:t>
        </w:r>
      </w:hyperlink>
      <w:r>
        <w:t xml:space="preserve">.</w:t>
      </w:r>
    </w:p>
    <w:bookmarkEnd w:id="44"/>
    <w:bookmarkStart w:id="46" w:name="ref-borodachov2024weighted"/>
    <w:p>
      <w:pPr>
        <w:pStyle w:val="Bibliography"/>
      </w:pPr>
      <w:r>
        <w:t xml:space="preserve">Borodachov, Sergiy, Peter Boyvalenkov, Peter Dragnev, Douglas Hardin, Edward Saff, and Maya Stoyanova. 2024.</w:t>
      </w:r>
      <w:r>
        <w:t xml:space="preserve"> </w:t>
      </w:r>
      <w:r>
        <w:t xml:space="preserve">“Energy Bounds for Weighted Spherical Codes and Designs via Linear Programming.”</w:t>
      </w:r>
      <w:r>
        <w:t xml:space="preserve"> </w:t>
      </w:r>
      <w:hyperlink r:id="rId45">
        <w:r>
          <w:rPr>
            <w:rStyle w:val="Hyperlink"/>
          </w:rPr>
          <w:t xml:space="preserve">https://arxiv.org/abs/2403.07457</w:t>
        </w:r>
      </w:hyperlink>
      <w:r>
        <w:t xml:space="preserve">.</w:t>
      </w:r>
    </w:p>
    <w:bookmarkEnd w:id="46"/>
    <w:bookmarkStart w:id="47" w:name="ref-boykin2005"/>
    <w:p>
      <w:pPr>
        <w:pStyle w:val="Bibliography"/>
      </w:pPr>
      <w:r>
        <w:t xml:space="preserve">Boykin, P. Oscar, Meera Sitharam, Mohamad Tarifi, and Pawel Wocjan. 2005.</w:t>
      </w:r>
      <w:r>
        <w:t xml:space="preserve"> </w:t>
      </w:r>
      <w:r>
        <w:t xml:space="preserve">“Real Mutually Unbiased Bases.”</w:t>
      </w:r>
      <w:r>
        <w:t xml:space="preserve"> </w:t>
      </w:r>
      <w:r>
        <w:rPr>
          <w:i/>
          <w:iCs/>
        </w:rPr>
        <w:t xml:space="preserve">arXiv Preprint Quant-Ph/0502024</w:t>
      </w:r>
      <w:r>
        <w:t xml:space="preserve">.</w:t>
      </w:r>
    </w:p>
    <w:bookmarkEnd w:id="47"/>
    <w:bookmarkStart w:id="49" w:name="ref-briol2019"/>
    <w:p>
      <w:pPr>
        <w:pStyle w:val="Bibliography"/>
      </w:pPr>
      <w:r>
        <w:t xml:space="preserve">Briol, Francois-Xavier, Chris J. Oates, Mark Girolami, Michael A. Osborne, and Dino Sejdinovic. 2019.</w:t>
      </w:r>
      <w:r>
        <w:t xml:space="preserve"> </w:t>
      </w:r>
      <w:r>
        <w:t xml:space="preserve">“Probabilistic Integration: A Role in Statistical Computation?”</w:t>
      </w:r>
      <w:r>
        <w:t xml:space="preserve"> </w:t>
      </w:r>
      <w:r>
        <w:rPr>
          <w:i/>
          <w:iCs/>
        </w:rPr>
        <w:t xml:space="preserve">Statistical Science</w:t>
      </w:r>
      <w:r>
        <w:t xml:space="preserve"> </w:t>
      </w:r>
      <w:r>
        <w:t xml:space="preserve">34 (1): 1–22.</w:t>
      </w:r>
      <w:r>
        <w:t xml:space="preserve"> </w:t>
      </w:r>
      <w:hyperlink r:id="rId48">
        <w:r>
          <w:rPr>
            <w:rStyle w:val="Hyperlink"/>
          </w:rPr>
          <w:t xml:space="preserve">https://doi.org/10.1214/18-STS660</w:t>
        </w:r>
      </w:hyperlink>
      <w:r>
        <w:t xml:space="preserve">.</w:t>
      </w:r>
    </w:p>
    <w:bookmarkEnd w:id="49"/>
    <w:bookmarkStart w:id="51" w:name="ref-calderbank1997"/>
    <w:p>
      <w:pPr>
        <w:pStyle w:val="Bibliography"/>
      </w:pPr>
      <w:r>
        <w:t xml:space="preserve">Calderbank, A. R., P. J. Cameron, W. M. Kantor, and J. J. Seidel. 1997.</w:t>
      </w:r>
      <w:r>
        <w:t xml:space="preserve"> </w:t>
      </w:r>
      <w:r>
        <w:t xml:space="preserve">“Z4-Kerdock Codes, Orthogonal Spreads, and Extremal Euclidean Line-Sets.”</w:t>
      </w:r>
      <w:r>
        <w:t xml:space="preserve"> </w:t>
      </w:r>
      <w:r>
        <w:rPr>
          <w:i/>
          <w:iCs/>
        </w:rPr>
        <w:t xml:space="preserve">Proceedings of the London Mathematical Society</w:t>
      </w:r>
      <w:r>
        <w:t xml:space="preserve"> </w:t>
      </w:r>
      <w:r>
        <w:t xml:space="preserve">75 (2): 436–80.</w:t>
      </w:r>
      <w:r>
        <w:t xml:space="preserve"> </w:t>
      </w:r>
      <w:hyperlink r:id="rId50">
        <w:r>
          <w:rPr>
            <w:rStyle w:val="Hyperlink"/>
          </w:rPr>
          <w:t xml:space="preserve">https://doi.org/10.1112/S0024611597000403</w:t>
        </w:r>
      </w:hyperlink>
      <w:r>
        <w:t xml:space="preserve">.</w:t>
      </w:r>
    </w:p>
    <w:bookmarkEnd w:id="51"/>
    <w:bookmarkStart w:id="53" w:name="ref-can2020"/>
    <w:p>
      <w:pPr>
        <w:pStyle w:val="Bibliography"/>
      </w:pPr>
      <w:r>
        <w:t xml:space="preserve">Can, Trung, Narayanan Rengaswamy, Robert Calderbank, and Henry D. Pfister. 2020.</w:t>
      </w:r>
      <w:r>
        <w:t xml:space="preserve"> </w:t>
      </w:r>
      <w:r>
        <w:t xml:space="preserve">“Kerdock Codes Determine Unitary 2-Designs.”</w:t>
      </w:r>
      <w:r>
        <w:t xml:space="preserve"> </w:t>
      </w:r>
      <w:r>
        <w:rPr>
          <w:i/>
          <w:iCs/>
        </w:rPr>
        <w:t xml:space="preserve">IEEE Transactions on Information Theory</w:t>
      </w:r>
      <w:r>
        <w:t xml:space="preserve"> </w:t>
      </w:r>
      <w:r>
        <w:t xml:space="preserve">66 (10): 6104–20.</w:t>
      </w:r>
      <w:r>
        <w:t xml:space="preserve"> </w:t>
      </w:r>
      <w:hyperlink r:id="rId52">
        <w:r>
          <w:rPr>
            <w:rStyle w:val="Hyperlink"/>
          </w:rPr>
          <w:t xml:space="preserve">https://doi.org/10.1109/TIT.2020.3015683</w:t>
        </w:r>
      </w:hyperlink>
      <w:r>
        <w:t xml:space="preserve">.</w:t>
      </w:r>
    </w:p>
    <w:bookmarkEnd w:id="53"/>
    <w:bookmarkStart w:id="54" w:name="ref-cho2009"/>
    <w:p>
      <w:pPr>
        <w:pStyle w:val="Bibliography"/>
      </w:pPr>
      <w:r>
        <w:t xml:space="preserve">Cho, Youngmin, and Lawrence K. Saul. 2009.</w:t>
      </w:r>
      <w:r>
        <w:t xml:space="preserve"> </w:t>
      </w:r>
      <w:r>
        <w:t xml:space="preserve">“Kernel Methods for Deep Learning.”</w:t>
      </w:r>
      <w:r>
        <w:t xml:space="preserve"> </w:t>
      </w:r>
      <w:r>
        <w:t xml:space="preserve">In</w:t>
      </w:r>
      <w:r>
        <w:t xml:space="preserve"> </w:t>
      </w:r>
      <w:r>
        <w:rPr>
          <w:i/>
          <w:iCs/>
        </w:rPr>
        <w:t xml:space="preserve">Advances in Neural Information Processing Systems 22</w:t>
      </w:r>
      <w:r>
        <w:t xml:space="preserve">, 342–50.</w:t>
      </w:r>
    </w:p>
    <w:bookmarkEnd w:id="54"/>
    <w:bookmarkStart w:id="56" w:name="ref-cohn2007"/>
    <w:p>
      <w:pPr>
        <w:pStyle w:val="Bibliography"/>
      </w:pPr>
      <w:r>
        <w:t xml:space="preserve">Cohn, Henry, and Abhinav Kumar. 2007.</w:t>
      </w:r>
      <w:r>
        <w:t xml:space="preserve"> </w:t>
      </w:r>
      <w:r>
        <w:t xml:space="preserve">“Universally Optimal Distribution of Points on Spheres.”</w:t>
      </w:r>
      <w:r>
        <w:t xml:space="preserve"> </w:t>
      </w:r>
      <w:r>
        <w:rPr>
          <w:i/>
          <w:iCs/>
        </w:rPr>
        <w:t xml:space="preserve">Journal of the American Mathematical Society</w:t>
      </w:r>
      <w:r>
        <w:t xml:space="preserve"> </w:t>
      </w:r>
      <w:r>
        <w:t xml:space="preserve">20 (1): 99–148.</w:t>
      </w:r>
      <w:r>
        <w:t xml:space="preserve"> </w:t>
      </w:r>
      <w:hyperlink r:id="rId55">
        <w:r>
          <w:rPr>
            <w:rStyle w:val="Hyperlink"/>
          </w:rPr>
          <w:t xml:space="preserve">https://doi.org/10.1090/S0894-0347-06-00546-7</w:t>
        </w:r>
      </w:hyperlink>
      <w:r>
        <w:t xml:space="preserve">.</w:t>
      </w:r>
    </w:p>
    <w:bookmarkEnd w:id="56"/>
    <w:bookmarkStart w:id="58" w:name="ref-cohn2024sdp"/>
    <w:p>
      <w:pPr>
        <w:pStyle w:val="Bibliography"/>
      </w:pPr>
      <w:r>
        <w:t xml:space="preserve">Cohn, Henry, David de Laat, and Nando Leijenhorst. 2024.</w:t>
      </w:r>
      <w:r>
        <w:t xml:space="preserve"> </w:t>
      </w:r>
      <w:r>
        <w:t xml:space="preserve">“Optimality of Spherical Codes via Exact Semidefinite Programming Bounds.”</w:t>
      </w:r>
      <w:r>
        <w:t xml:space="preserve"> </w:t>
      </w:r>
      <w:hyperlink r:id="rId57">
        <w:r>
          <w:rPr>
            <w:rStyle w:val="Hyperlink"/>
          </w:rPr>
          <w:t xml:space="preserve">https://arxiv.org/abs/2403.16874</w:t>
        </w:r>
      </w:hyperlink>
      <w:r>
        <w:t xml:space="preserve">.</w:t>
      </w:r>
    </w:p>
    <w:bookmarkEnd w:id="58"/>
    <w:bookmarkStart w:id="59" w:name="ref-daniely2016"/>
    <w:p>
      <w:pPr>
        <w:pStyle w:val="Bibliography"/>
      </w:pPr>
      <w:r>
        <w:t xml:space="preserve">Daniely, Amit, Roy Frostig, and Yoram Singer. 2016.</w:t>
      </w:r>
      <w:r>
        <w:t xml:space="preserve"> </w:t>
      </w:r>
      <w:r>
        <w:t xml:space="preserve">“Toward Deeper Understanding of Neural Networks: The Power of Initialization and a Dual View on Expressivity.”</w:t>
      </w:r>
      <w:r>
        <w:t xml:space="preserve"> </w:t>
      </w:r>
      <w:r>
        <w:t xml:space="preserve">In</w:t>
      </w:r>
      <w:r>
        <w:t xml:space="preserve"> </w:t>
      </w:r>
      <w:r>
        <w:rPr>
          <w:i/>
          <w:iCs/>
        </w:rPr>
        <w:t xml:space="preserve">Advances in Neural Information Processing Systems 29</w:t>
      </w:r>
      <w:r>
        <w:t xml:space="preserve">, 2253–61.</w:t>
      </w:r>
    </w:p>
    <w:bookmarkEnd w:id="59"/>
    <w:bookmarkStart w:id="61" w:name="ref-delsarte1977"/>
    <w:p>
      <w:pPr>
        <w:pStyle w:val="Bibliography"/>
      </w:pPr>
      <w:r>
        <w:t xml:space="preserve">Delsarte, Philippe, Jean-Marie Goethals, and Johan Jacob Seidel. 1977.</w:t>
      </w:r>
      <w:r>
        <w:t xml:space="preserve"> </w:t>
      </w:r>
      <w:r>
        <w:t xml:space="preserve">“Spherical Codes and Designs.”</w:t>
      </w:r>
      <w:r>
        <w:t xml:space="preserve"> </w:t>
      </w:r>
      <w:r>
        <w:rPr>
          <w:i/>
          <w:iCs/>
        </w:rPr>
        <w:t xml:space="preserve">Geometriae Dedicata</w:t>
      </w:r>
      <w:r>
        <w:t xml:space="preserve"> </w:t>
      </w:r>
      <w:r>
        <w:t xml:space="preserve">6 (3): 363–88.</w:t>
      </w:r>
      <w:r>
        <w:t xml:space="preserve"> </w:t>
      </w:r>
      <w:hyperlink r:id="rId60">
        <w:r>
          <w:rPr>
            <w:rStyle w:val="Hyperlink"/>
          </w:rPr>
          <w:t xml:space="preserve">https://doi.org/10.1007/BF03187604</w:t>
        </w:r>
      </w:hyperlink>
      <w:r>
        <w:t xml:space="preserve">.</w:t>
      </w:r>
    </w:p>
    <w:bookmarkEnd w:id="61"/>
    <w:bookmarkStart w:id="62" w:name="ref-kanagawa2018"/>
    <w:p>
      <w:pPr>
        <w:pStyle w:val="Bibliography"/>
      </w:pPr>
      <w:r>
        <w:t xml:space="preserve">Kanagawa, Motonobu, Philipp Hennig, Dino Sejdinovic, and Bharath K. Sriperumbudur. 2018.</w:t>
      </w:r>
      <w:r>
        <w:t xml:space="preserve"> </w:t>
      </w:r>
      <w:r>
        <w:t xml:space="preserve">“Gaussian Processes and Kernel Methods: A Review on Connections and Equivalences.”</w:t>
      </w:r>
      <w:r>
        <w:t xml:space="preserve"> </w:t>
      </w:r>
      <w:r>
        <w:rPr>
          <w:i/>
          <w:iCs/>
        </w:rPr>
        <w:t xml:space="preserve">arXiv Preprint arXiv:1807.02582</w:t>
      </w:r>
      <w:r>
        <w:t xml:space="preserve">.</w:t>
      </w:r>
    </w:p>
    <w:bookmarkEnd w:id="62"/>
    <w:bookmarkStart w:id="63" w:name="ref-lee2018"/>
    <w:p>
      <w:pPr>
        <w:pStyle w:val="Bibliography"/>
      </w:pPr>
      <w:r>
        <w:t xml:space="preserve">Lee, Jaehoon, Yasaman Bahri, Roman Novak, Samuel S. Schoenholz, Jeffrey Pennington, and Jascha Sohl-Dickstein. 2018.</w:t>
      </w:r>
      <w:r>
        <w:t xml:space="preserve"> </w:t>
      </w:r>
      <w:r>
        <w:t xml:space="preserve">“Deep Neural Networks as Gaussian Processes.”</w:t>
      </w:r>
      <w:r>
        <w:t xml:space="preserve"> </w:t>
      </w:r>
      <w:r>
        <w:t xml:space="preserve">In</w:t>
      </w:r>
      <w:r>
        <w:t xml:space="preserve"> </w:t>
      </w:r>
      <w:r>
        <w:rPr>
          <w:i/>
          <w:iCs/>
        </w:rPr>
        <w:t xml:space="preserve">International Conference on Learning Representations</w:t>
      </w:r>
      <w:r>
        <w:t xml:space="preserve">.</w:t>
      </w:r>
    </w:p>
    <w:bookmarkEnd w:id="63"/>
    <w:bookmarkStart w:id="64" w:name="ref-matthews2018"/>
    <w:p>
      <w:pPr>
        <w:pStyle w:val="Bibliography"/>
      </w:pPr>
      <w:r>
        <w:t xml:space="preserve">Matthews, Alexander G. de G., Mark Rowland, Jiri Hron, Richard E. Turner, and Zoubin Ghahramani. 2018.</w:t>
      </w:r>
      <w:r>
        <w:t xml:space="preserve"> </w:t>
      </w:r>
      <w:r>
        <w:t xml:space="preserve">“Gaussian Process Behaviour in Wide Deep Neural Networks.”</w:t>
      </w:r>
      <w:r>
        <w:t xml:space="preserve"> </w:t>
      </w:r>
      <w:r>
        <w:t xml:space="preserve">In</w:t>
      </w:r>
      <w:r>
        <w:t xml:space="preserve"> </w:t>
      </w:r>
      <w:r>
        <w:rPr>
          <w:i/>
          <w:iCs/>
        </w:rPr>
        <w:t xml:space="preserve">International Conference on Learning Representations</w:t>
      </w:r>
      <w:r>
        <w:t xml:space="preserve">.</w:t>
      </w:r>
    </w:p>
    <w:bookmarkEnd w:id="64"/>
    <w:bookmarkStart w:id="66" w:name="ref-schoenberg1942"/>
    <w:p>
      <w:pPr>
        <w:pStyle w:val="Bibliography"/>
      </w:pPr>
      <w:r>
        <w:t xml:space="preserve">Schoenberg, I. J. 1942.</w:t>
      </w:r>
      <w:r>
        <w:t xml:space="preserve"> </w:t>
      </w:r>
      <w:r>
        <w:t xml:space="preserve">“Positive Definite Functions on Spheres.”</w:t>
      </w:r>
      <w:r>
        <w:t xml:space="preserve"> </w:t>
      </w:r>
      <w:r>
        <w:rPr>
          <w:i/>
          <w:iCs/>
        </w:rPr>
        <w:t xml:space="preserve">Duke Mathematical Journal</w:t>
      </w:r>
      <w:r>
        <w:t xml:space="preserve"> </w:t>
      </w:r>
      <w:r>
        <w:t xml:space="preserve">9 (1): 96–108.</w:t>
      </w:r>
      <w:r>
        <w:t xml:space="preserve"> </w:t>
      </w:r>
      <w:hyperlink r:id="rId65">
        <w:r>
          <w:rPr>
            <w:rStyle w:val="Hyperlink"/>
          </w:rPr>
          <w:t xml:space="preserve">https://doi.org/10.1215/S0012-7094-42-00908-6</w:t>
        </w:r>
      </w:hyperlink>
      <w:r>
        <w:t xml:space="preserve">.</w:t>
      </w:r>
    </w:p>
    <w:bookmarkEnd w:id="66"/>
    <w:bookmarkStart w:id="67" w:name="ref-wendland2005"/>
    <w:p>
      <w:pPr>
        <w:pStyle w:val="Bibliography"/>
      </w:pPr>
      <w:r>
        <w:t xml:space="preserve">Wendland, Holger. 2005.</w:t>
      </w:r>
      <w:r>
        <w:t xml:space="preserve"> </w:t>
      </w:r>
      <w:r>
        <w:rPr>
          <w:i/>
          <w:iCs/>
        </w:rPr>
        <w:t xml:space="preserve">Scattered Data Approximation</w:t>
      </w:r>
      <w:r>
        <w:t xml:space="preserve">. Cambridge University Press.</w:t>
      </w:r>
    </w:p>
    <w:bookmarkEnd w:id="67"/>
    <w:bookmarkEnd w:id="68"/>
    <w:bookmarkEnd w:id="69"/>
    <w:sectPr>
      <w:headerReference r:id="rId9" w:type="default"/>
      <w:footerReference r:id="rId12" w:type="default"/>
      <w:headerReference r:id="rId10" w:type="first"/>
      <w:footerReference r:id="rId13" w:type="first"/>
      <w:headerReference r:id="rId11" w:type="even"/>
      <w:footerReference r:id="rId14" w:type="even"/>
      <w:pgSz w:h="15840" w:w="12240"/>
      <w:pgMar w:bottom="1037" w:footer="432" w:gutter="0" w:header="432" w:left="1181" w:right="1181"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hideSpellingErrors/>
  <w:hideGrammatical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zxx" w:eastAsia="zxx" w:val="zxx"/>
        <w:noProof/>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59" w:lineRule="auto"/>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60"/>
      <w:outlineLvl w:val="0"/>
    </w:pPr>
    <w:rPr>
      <w:rFonts w:ascii="Aptos Display" w:asciiTheme="majorHAnsi" w:cstheme="majorBidi" w:eastAsia="Aptos Display" w:eastAsiaTheme="majorEastAsia" w:hAnsi="Aptos Display" w:hAnsiTheme="majorHAnsi"/>
      <w:b/>
      <w:bCs/>
      <w:color w:val="154360"/>
      <w:sz w:val="32"/>
      <w:szCs w:val="28"/>
    </w:rPr>
  </w:style>
  <w:style w:styleId="Heading2" w:type="paragraph">
    <w:name w:val="heading 2"/>
    <w:basedOn w:val="Normal"/>
    <w:next w:val="Normal"/>
    <w:link w:val="Heading2Char"/>
    <w:uiPriority w:val="9"/>
    <w:unhideWhenUsed/>
    <w:qFormat/>
    <w:rsid w:val="00FC693F"/>
    <w:pPr>
      <w:keepNext/>
      <w:keepLines/>
      <w:spacing w:after="40" w:before="120"/>
      <w:outlineLvl w:val="1"/>
    </w:pPr>
    <w:rPr>
      <w:rFonts w:ascii="Aptos Display" w:asciiTheme="majorHAnsi" w:cstheme="majorBidi" w:eastAsia="Aptos Display" w:eastAsiaTheme="majorEastAsia" w:hAnsi="Aptos Display" w:hAnsiTheme="majorHAnsi"/>
      <w:b/>
      <w:bCs/>
      <w:color w:val="1F4E6B"/>
      <w:sz w:val="26"/>
      <w:szCs w:val="26"/>
    </w:rPr>
  </w:style>
  <w:style w:styleId="Heading3" w:type="paragraph">
    <w:name w:val="heading 3"/>
    <w:basedOn w:val="Normal"/>
    <w:next w:val="Normal"/>
    <w:link w:val="Heading3Char"/>
    <w:uiPriority w:val="9"/>
    <w:unhideWhenUsed/>
    <w:qFormat/>
    <w:rsid w:val="00FC693F"/>
    <w:pPr>
      <w:keepNext/>
      <w:keepLines/>
      <w:spacing w:after="30" w:before="80"/>
      <w:outlineLvl w:val="2"/>
    </w:pPr>
    <w:rPr>
      <w:rFonts w:ascii="Aptos Display" w:asciiTheme="majorHAnsi" w:cstheme="majorBidi" w:eastAsia="Aptos Display" w:eastAsiaTheme="majorEastAsia" w:hAnsi="Aptos Display" w:hAnsiTheme="majorHAnsi"/>
      <w:b/>
      <w:bCs/>
      <w:color w:val="335369"/>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80" w:line="240" w:lineRule="auto"/>
      <w:contextualSpacing/>
    </w:pPr>
    <w:rPr>
      <w:rFonts w:ascii="Aptos Display" w:asciiTheme="majorHAnsi" w:cstheme="majorBidi" w:eastAsia="Aptos Display" w:eastAsiaTheme="majorEastAsia" w:hAnsi="Aptos Display" w:hAnsiTheme="majorHAnsi"/>
      <w:b/>
      <w:color w:val="1F374A"/>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pPr>
    <w:rPr>
      <w:rFonts w:ascii="Aptos" w:asciiTheme="majorHAnsi" w:cstheme="majorBidi" w:eastAsiaTheme="majorEastAsia" w:hAnsi="Aptos" w:hAnsiTheme="majorHAnsi"/>
      <w:i/>
      <w:iCs/>
      <w:color w:val="4A5B68"/>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10" w:line="259" w:lineRule="auto"/>
    </w:pPr>
    <w:rPr>
      <w:rFonts w:ascii="Aptos" w:hAnsi="Apto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ind w:hanging="259" w:left="317"/>
      <w:contextualSpacing/>
    </w:pPr>
    <w:rPr>
      <w:rFonts w:ascii="Aptos" w:hAnsi="Apto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ind w:hanging="259" w:left="317"/>
      <w:contextualSpacing/>
    </w:pPr>
    <w:rPr>
      <w:rFonts w:ascii="Aptos" w:hAnsi="Apto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40" w:line="240" w:lineRule="auto"/>
    </w:pPr>
    <w:rPr>
      <w:rFonts w:ascii="Aptos" w:hAnsi="Aptos"/>
      <w:b/>
      <w:bCs/>
      <w:i/>
      <w:color w:val="465058"/>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 Type="http://schemas.openxmlformats.org/officeDocument/2006/relationships/hyperlink" Id="rId45" Target="https://arxiv.org/abs/2403.07457" TargetMode="External" /><Relationship Type="http://schemas.openxmlformats.org/officeDocument/2006/relationships/hyperlink" Id="rId57" Target="https://arxiv.org/abs/2403.16874" TargetMode="External" /><Relationship Type="http://schemas.openxmlformats.org/officeDocument/2006/relationships/hyperlink" Id="rId60" Target="https://doi.org/10.1007/BF03187604" TargetMode="External" /><Relationship Type="http://schemas.openxmlformats.org/officeDocument/2006/relationships/hyperlink" Id="rId43" Target="https://doi.org/10.1016/j.jcta.2008.07.002" TargetMode="External" /><Relationship Type="http://schemas.openxmlformats.org/officeDocument/2006/relationships/hyperlink" Id="rId55" Target="https://doi.org/10.1090/S0894-0347-06-00546-7" TargetMode="External" /><Relationship Type="http://schemas.openxmlformats.org/officeDocument/2006/relationships/hyperlink" Id="rId52" Target="https://doi.org/10.1109/TIT.2020.3015683" TargetMode="External" /><Relationship Type="http://schemas.openxmlformats.org/officeDocument/2006/relationships/hyperlink" Id="rId50" Target="https://doi.org/10.1112/S0024611597000403" TargetMode="External" /><Relationship Type="http://schemas.openxmlformats.org/officeDocument/2006/relationships/hyperlink" Id="rId48" Target="https://doi.org/10.1214/18-STS660" TargetMode="External" /><Relationship Type="http://schemas.openxmlformats.org/officeDocument/2006/relationships/hyperlink" Id="rId65" Target="https://doi.org/10.1215/S0012-7094-42-00908-6" TargetMode="External" /></Relationships>
</file>

<file path=word/_rels/footnotes.xml.rels><?xml version="1.0" encoding="UTF-8"?><Relationships xmlns="http://schemas.openxmlformats.org/package/2006/relationships"><Relationship Type="http://schemas.openxmlformats.org/officeDocument/2006/relationships/hyperlink" Id="rId45" Target="https://arxiv.org/abs/2403.07457" TargetMode="External" /><Relationship Type="http://schemas.openxmlformats.org/officeDocument/2006/relationships/hyperlink" Id="rId57" Target="https://arxiv.org/abs/2403.16874" TargetMode="External" /><Relationship Type="http://schemas.openxmlformats.org/officeDocument/2006/relationships/hyperlink" Id="rId60" Target="https://doi.org/10.1007/BF03187604" TargetMode="External" /><Relationship Type="http://schemas.openxmlformats.org/officeDocument/2006/relationships/hyperlink" Id="rId43" Target="https://doi.org/10.1016/j.jcta.2008.07.002" TargetMode="External" /><Relationship Type="http://schemas.openxmlformats.org/officeDocument/2006/relationships/hyperlink" Id="rId55" Target="https://doi.org/10.1090/S0894-0347-06-00546-7" TargetMode="External" /><Relationship Type="http://schemas.openxmlformats.org/officeDocument/2006/relationships/hyperlink" Id="rId52" Target="https://doi.org/10.1109/TIT.2020.3015683" TargetMode="External" /><Relationship Type="http://schemas.openxmlformats.org/officeDocument/2006/relationships/hyperlink" Id="rId50" Target="https://doi.org/10.1112/S0024611597000403" TargetMode="External" /><Relationship Type="http://schemas.openxmlformats.org/officeDocument/2006/relationships/hyperlink" Id="rId48" Target="https://doi.org/10.1214/18-STS660" TargetMode="External" /><Relationship Type="http://schemas.openxmlformats.org/officeDocument/2006/relationships/hyperlink" Id="rId65" Target="https://doi.org/10.1215/S0012-7094-42-0090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of Static Cubature for Deep ReLU Gaussian Expectations</dc:title>
  <dc:creator>Skye Nygaard</dc:creator>
  <cp:keywords/>
  <dcterms:created xsi:type="dcterms:W3CDTF">2026-08-03T23:33:29Z</dcterms:created>
  <dcterms:modified xsi:type="dcterms:W3CDTF">2026-08-03T23:33:29Z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Gaussian expectations of neural networks appear in uncertainty propagation, model analysis, and deterministic inference. When each network evaluation is expensive, a natural approach is to replace Monte Carlo samples with a fixed weighted rule. This paper studies the best possible performance of such rules for the infinite-width kernel of a dimension-256, depth-32 bias-free ReLU network.Positive homogeneity reduces the Gaussian expectation to integration on the unit sphere. A complete system of 129 real mutually unbiased bases, generated by Kerdock structure and evaluated antipodally, gives a rule with 66,048 nodes. We prove that this rule is at most 0.0233242% above the optimum among all nonnegative mass-one rules with the same node budget. We also prove that arbitrary signed mass-one rules can reduce its kernel risk by at most 6.2940%. The first bound follows from an all-degree Delsarte certificate with a unique degree-five Hermite optimizer. The second uses harmonic moment constraints, matrix inertia, and an exact-rational witness. Together, the results show that fixed network-independent linear cubature is nearly exhausted for this kernel and budget.</vt:lpwstr>
  </property>
  <property fmtid="{D5CDD505-2E9C-101B-9397-08002B2CF9AE}" pid="3" name="bibliography">
    <vt:lpwstr>references.bib</vt:lpwstr>
  </property>
  <property fmtid="{D5CDD505-2E9C-101B-9397-08002B2CF9AE}" pid="4" name="date">
    <vt:lpwstr/>
  </property>
</Properties>
</file>