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80"/>
        <w:jc w:val="center"/>
      </w:pPr>
      <w:r>
        <w:rPr>
          <w:rFonts w:ascii="Times New Roman" w:hAnsi="Times New Roman" w:eastAsia="黑体"/>
          <w:b/>
          <w:sz w:val="36"/>
        </w:rPr>
        <w:t>代码与注释说明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color w:val="404040"/>
          <w:sz w:val="20"/>
        </w:rPr>
        <w:t>SAGNN 与领域知识抽取复现项目　　2026 年 10 月</w:t>
      </w:r>
    </w:p>
    <w:p>
      <w:pPr>
        <w:spacing w:before="240" w:after="100"/>
      </w:pPr>
      <w:r>
        <w:rPr>
          <w:rFonts w:ascii="Times New Roman" w:hAnsi="Times New Roman" w:eastAsia="黑体"/>
          <w:b/>
          <w:sz w:val="27"/>
        </w:rPr>
        <w:t>1 提交内容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本次提交包括两份复现报告、代码仓库和代码压缩包。代码仓库地址为 https://github.com/uFang0706/repro-bachelor-theses（当前私有，可按需转公开或添加协作者），包含 SAGNN 与知识抽取两个子项目、复现报告、运行脚本、结果 CSV/JSON 和本说明。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代码压缩包 code.zip 包含 sagnn/、kg-extraction/、docs/、README.md 和依赖清单；模型权重、数据集和训练输出按 README 准备。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474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提交物</w:t>
            </w:r>
          </w:p>
        </w:tc>
        <w:tc>
          <w:tcPr>
            <w:tcW w:type="dxa" w:w="4309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内容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位置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报告一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SAGNN 复现报告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reports/SAGNN复现报告.docx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报告二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领域知识抽取复现报告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reports/领域知识抽取复现报告.docx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两个子项目源码、脚本、配置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sagnn/、kg-extraction/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本文件 + README + docs/reproduction.md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结果</w:t>
            </w:r>
          </w:p>
        </w:tc>
        <w:tc>
          <w:tcPr>
            <w:tcW w:type="dxa" w:w="4309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MUTAG/ZINC CSV、KG summary、Flask JSON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docs/results/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Times New Roman" w:hAnsi="Times New Roman" w:eastAsia="黑体"/>
          <w:b/>
          <w:sz w:val="27"/>
        </w:rPr>
        <w:t>2 代码结构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SAGNN 子项目分为两部分：sagnn/core/ 是模型、预处理、位置编码和训练工具；sagnn/dgl_repro/ 保留原 DGL 管线和 DGL 2.2 适配补丁；sagnn/train_mutag.py、train_zinc.py、train_mutag_cv.py 是本次新增的训练入口。知识抽取子项目分为 crawlers/、annotation/、training/、flask/、data/ 和 legacy/ 六个目录。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72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目录 / 文件</w:t>
            </w:r>
          </w:p>
        </w:tc>
        <w:tc>
          <w:tcPr>
            <w:tcW w:type="dxa" w:w="30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作用</w:t>
            </w:r>
          </w:p>
        </w:tc>
        <w:tc>
          <w:tcPr>
            <w:tcW w:type="dxa" w:w="3175"/>
            <w:shd w:val="clear" w:color="auto" w:fill="D9E2F3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关键内容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sagnn/core/model.py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SAGNN 模型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双通道消息传递、池化、输出层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sagnn/core/transform.py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子图预处理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Ego/Cut 子图、hop indicator、RWPE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sagnn/core/PE_init.py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位置编码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Laplacian PE / 随机游走返回概率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sagnn/core/simple_graph.py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去 DGL 的图容器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邻接矩阵、子图重编号、networkx 互转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sagnn/train_mutag.py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MUTAG 单次划分训练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8:1:1 划分、逐 epoch 指标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sagnn/train_mutag_cv.py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MUTAG 10 折训练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分层 10 折、best val 回测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sagnn/train_zinc.py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ZINC 回归训练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L1 损失、450 epochs、MAE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sagnn/dgl_repro/run_*.py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原 DGL 管线入口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DGL 2.2 适配、MUTAG/ZINC 复跑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kg-extraction/crawlers/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多平台爬虫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百度、B站、BBC、CNN、Twitter、YouTube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kg-extraction/annotation/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两次标注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LLM API、XML 标签、MySQL 建表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kg-extraction/training/train_smoke.py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小模型训练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LoRA + EWC + 经验回放</w:t>
            </w:r>
          </w:p>
        </w:tc>
      </w:tr>
      <w:tr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kg-extraction/flask/app.py</w:t>
            </w:r>
          </w:p>
        </w:tc>
        <w:tc>
          <w:tcPr>
            <w:tcW w:type="dxa" w:w="3061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Web 系统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/extract、/batch_extract、可视化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Times New Roman" w:hAnsi="Times New Roman" w:eastAsia="黑体"/>
          <w:b/>
          <w:sz w:val="27"/>
        </w:rPr>
        <w:t>3 注释规范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新增和修改的脚本统一采用三类注释：文件头 docstring 说明功能、输入输出和运行示例；函数级注释说明参数、返回值和关键步骤；代码块前用中文分节注释标记训练、验证、保存等阶段。原作者的核心代码保留原有注释，本次修改处（DGL 2.2 适配、路径参数化、L1 损失等）单独加说明，避免覆盖原意。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例如 train_mutag.py 的文件头写明了“单次划分仅用于快速验证、论文 95.2 是 10 折结果”，训练循环前标注了“训练一个 epoch”“验证/测试并按 best val 保存”等步骤；train_zinc.py 在损失函数前注明“官方用 L1，改成 MSE 会明显变差”；train_smoke.py 在 EWC 类、Fisher 计算、批次循环和 Trainer 创建处都有中文说明。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代码中的路径、模型名、批次顺序等易变项集中放在文件头或 argparse 参数里，避免散落在函数内部；需要改环境时优先改环境变量或命令行参数，不改核心逻辑。</w:t>
      </w:r>
    </w:p>
    <w:p>
      <w:pPr>
        <w:spacing w:before="240" w:after="100"/>
      </w:pPr>
      <w:r>
        <w:rPr>
          <w:rFonts w:ascii="Times New Roman" w:hAnsi="Times New Roman" w:eastAsia="黑体"/>
          <w:b/>
          <w:sz w:val="27"/>
        </w:rPr>
        <w:t>4 运行方法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SAGNN：进入 sagnn/，MUTAG 用 `python train_mutag.py --epochs 100 --batch-size 32`，10 折用 `python train_mutag_cv.py --folds 10 --epochs 100 --hidden 128 --layers 4 --hops 2`；ZINC 先 `python download_zinc.py`，再 `python train_zinc.py --epochs 450 --train-limit 10000 --val-limit 1000 --test-limit 1000 --hidden 256 --layers 6 --batch-size 128`。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知识抽取：进入 kg-extraction/，先 `python data/make_sample_data.py` 生成 24 条样本，再 `python training/train_smoke.py --model_path models/Qwen2.5-0.5B-Instruct --data_dir data/train_data --output_dir output/smoke --max_steps 3`；Flask 用 `python flask/app.py`，接口测试用 `python flask/test_client.py`。模型权重不随包提供，按 README 用 ModelScope 下载。</w:t>
      </w:r>
    </w:p>
    <w:p>
      <w:pPr>
        <w:spacing w:before="240" w:after="100"/>
      </w:pPr>
      <w:r>
        <w:rPr>
          <w:rFonts w:ascii="Times New Roman" w:hAnsi="Times New Roman" w:eastAsia="黑体"/>
          <w:b/>
          <w:sz w:val="27"/>
        </w:rPr>
        <w:t>5 提交清单</w:t>
      </w:r>
    </w:p>
    <w:p>
      <w:pPr>
        <w:spacing w:before="0" w:after="120" w:line="336" w:lineRule="auto"/>
        <w:ind w:firstLine="420"/>
      </w:pPr>
      <w:r>
        <w:rPr>
          <w:rFonts w:ascii="Times New Roman" w:hAnsi="Times New Roman" w:eastAsia="宋体"/>
          <w:b w:val="0"/>
          <w:sz w:val="21"/>
        </w:rPr>
        <w:t>（1）两份 Word 报告；（2）代码压缩包 code.zip；（3）GitHub 仓库链接；（4）本说明。报告中的结果、代码中的注释和 README 的运行命令保持一致；模型权重、数据集和训练输出按 README 准备。</w:t>
      </w:r>
    </w:p>
    <w:sectPr w:rsidR="00FC693F" w:rsidRPr="0006063C" w:rsidSect="00034616">
      <w:footerReference w:type="default" r:id="rId9"/>
      <w:pgSz w:w="11906" w:h="16838"/>
      <w:pgMar w:top="1417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sz w:val="18"/>
      </w:rPr>
      <w:t xml:space="preserve">第 </w:t>
    </w:r>
    <w:r>
      <w:rPr>
        <w:rFonts w:ascii="Times New Roman" w:hAnsi="Times New Roman" w:eastAsia="宋体"/>
        <w:b w:val="0"/>
        <w:sz w:val="18"/>
      </w:rPr>
      <w:fldChar w:fldCharType="begin"/>
      <w:instrText xml:space="preserve"> PAGE </w:instrText>
      <w:fldChar w:fldCharType="end"/>
    </w:r>
    <w:r>
      <w:rPr>
        <w:rFonts w:ascii="Times New Roman" w:hAnsi="Times New Roman" w:eastAsia="宋体"/>
        <w:b w:val="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