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center"/>
      </w:pPr>
      <w:r>
        <w:rPr>
          <w:rFonts w:ascii="Times New Roman" w:hAnsi="Times New Roman" w:eastAsia="黑体"/>
          <w:b/>
          <w:sz w:val="36"/>
        </w:rPr>
        <w:t>SAGNN 复现报告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color w:val="404040"/>
          <w:sz w:val="22"/>
        </w:rPr>
        <w:t>——融合多粒度子结构的高维图表征方法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color w:val="595959"/>
          <w:sz w:val="19"/>
        </w:rPr>
        <w:t>复现对象：白东岳（20122947）　　课程复现报告　　2026 年 10 月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sz w:val="28"/>
        </w:rPr>
        <w:t>1 简介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图神经网络（GNN）在分子性质预测、蛋白质功能分类、社交网络分析等任务中已经成为基础工具。主流 GNN 采用消息传递范式：每个节点反复聚合邻居特征，更新自身表示。该范式与一阶 Weisfeiler-Leman（1-WL）图同构测试在数学上高度一致，因此其表达能力被 1-WL 封顶——存在大量结构不同、但 1-WL 无法区分的图。突破这一上限通常有两条路：一是设计高阶 GNN，直接对节点元组建模，但计算和存储开销大；二是引入子结构，把“区分原图”转化为“区分子图”，在较低成本下获得结构信息。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白东岳的论文《融合多粒度子结构的高维图表征方法》采用第二条路线，提出 SAGNN。模型从原图中提取两类子图：以节点为中心的 Ego 子图，以及由 Girvan-Newman 社区划分得到的 Cut 子图；在子图上计算随机游走返回概率作为位置编码，再把编码注入两条消息传递通道。论文在 ZINC、MUTAG、PROTEINS 等数据集上报告了有竞争力的结果，其中 ZINC test MAE 为 0.072±0.001，MUTAG 10 折为 95.2%±3.0。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本次复现以复现代码与实验流程为目标，内容包括原 DGL 管线和去 DGL 的 PyG 版本、MUTAG 10 折交叉验证、ZINC 回归，以及代码整理和 GitHub 仓库。MUTAG 10 折结果为 86.29%（DGL）和 89.92%（PyG）；ZINC 按官方配置使用 L1 损失、450 epochs，test MAE 为 0.0843，与论文的 0.072 处于同一量级。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sz w:val="28"/>
        </w:rPr>
        <w:t>2 方法介绍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2.1 图同构、1-WL 与子结构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设图 G=(V,E)，节点初始颜色为 c_v^0。1-WL 迭代地聚合邻居颜色并哈希：</w:t>
      </w:r>
    </w:p>
    <w:p>
      <w:pPr>
        <w:spacing w:before="40" w:after="80"/>
        <w:jc w:val="center"/>
      </w:pPr>
      <w:r>
        <w:rPr>
          <w:rFonts w:ascii="Times New Roman" w:hAnsi="Times New Roman" w:eastAsia="宋体"/>
          <w:b w:val="0"/>
          <w:sz w:val="21"/>
        </w:rPr>
        <w:t>c_v^(t+1) = HASH( c_v^t, { c_u^t | u ∈ N(v) } )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当颜色不再变化时，比较两个图的颜色直方图：不同则一定不同构，相同则可能同构。消息传递 GNN 的聚合-更新过程与这一迭代同构，因此 1-WL 能区分的图，MPNN 一定能区分；1-WL 不能区分的图，MPNN 也区分不了。典型反例是两个节点数、度序列相同但环结构不同的图。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子结构思路的观察是：原图难区分，并不意味着它的子图也难区分。若对每个节点提取局部子图，子图上的度、环、路径等结构会放大差异；再把子图信息编码回节点，就能让 1-WL 主体获得额外结构信号。SAGNN 的两个关键设计正是“提取什么子图”和“如何编码子图”。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2.2 子图提取与随机游走编码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第一类是 Ego 子图。对节点 v，定义其 k 跳邻居集合 N_k(v)，以 v 为根、N_k(v) 为节点集、两端都在 N_k(v) 中的边为边集，得到诱导子图 Ego_k(v)。k 越大，子图覆盖的上下文越广，但计算量也越大；论文默认 k=2 或 3。Ego 子图数量等于节点数，保留了每个节点的局部邻域结构。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第二类是 Cut 子图。先计算每条边的边介数中心性（EBC）：对所有节点对的最短路径计数，经过某条边的最短路径越多，该边的 EBC 越高。Girvan-Newman 算法每次移除 EBC 最高的边，直到图被分成 b 个连通块；包含节点 v 的连通块记为 Cut(v)_b。b=1 时 Cut 子图就是原图，b 增大时子图变小、信息变少。Ego 子图强调局部，Cut 子图强调社区和全局连接，两者互补。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在子图上，模型计算随机游走返回概率。设子图邻接矩阵为 A、度矩阵为 D，转移矩阵 P=D^(-1)A；从节点 v 出发走 s 步回到 v 的概率为 (P^s)_(v,v)。取 1 到 S 步组成向量：</w:t>
      </w:r>
    </w:p>
    <w:p>
      <w:pPr>
        <w:spacing w:before="40" w:after="80"/>
        <w:jc w:val="center"/>
      </w:pPr>
      <w:r>
        <w:rPr>
          <w:rFonts w:ascii="Times New Roman" w:hAnsi="Times New Roman" w:eastAsia="宋体"/>
          <w:b w:val="0"/>
          <w:sz w:val="21"/>
        </w:rPr>
        <w:t>p_v = [ R_1(v,v), R_2(v,v), ..., R_S(v,v) ]^T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该向量经线性层得到子图隐藏表示 h_v^Ego、h_v^Cut。随后，模型把节点原始特征 x_v、子图表示和全局图表示 h_v^G 拼接，分别送入 Ego 通道和 Cut 通道：</w:t>
      </w:r>
    </w:p>
    <w:p>
      <w:pPr>
        <w:spacing w:before="40" w:after="80"/>
        <w:jc w:val="center"/>
      </w:pPr>
      <w:r>
        <w:rPr>
          <w:rFonts w:ascii="Times New Roman" w:hAnsi="Times New Roman" w:eastAsia="宋体"/>
          <w:b w:val="0"/>
          <w:sz w:val="21"/>
        </w:rPr>
        <w:t>h_v^(E,0) = [ x_v, h_v^Ego, h_v^G ]，h_v^(C,0) = [ x_v, h_v^Cut, h_v^G ]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两条通道各自做消息传递、残差和归一化，最后把节点表示池化成图级向量，拼接后经输出层得到预测。直观上，Ego 通道回答“这个节点周围长什么样”，Cut 通道回答“这个节点属于哪个社区”，两者与原始特征融合后，模型获得的信息多于单一 1-WL 消息传递。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2.3 算法流程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SAGNN 的完整流程如下：（1）读入图数据，得到节点特征 X、边索引 E 和边特征；（2）对每个节点提取 k 跳 Ego 子图，得到节点掩码、边掩码和跳数指示器；（3）用 Girvan-Newman 算法计算 EBC、移除桥边，得到 Cut 子图；（4）分别计算全图、Ego、Cut 的随机游走返回概率编码；（5）把三类编码投影到隐藏维度，与节点特征拼接；（6）Ego 通道和 Cut 通道分别做 L 层消息传递，残差连接，BatchNorm；（7）图级池化，拼接两个通道的图表示；（8）计算损失，反向传播，更新参数。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训练目标按任务选择：图分类用交叉熵，图回归用 L1 或 MSE。优化器为 Adam，学习率 1e-3，StepLR 每 50 个 epoch 衰减一次；ZINC 默认 450 epochs，MUTAG 默认 100 epochs。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sz w:val="28"/>
        </w:rPr>
        <w:t>3 代码实践及运行效果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3.1 代码结构与环境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代码整理在 GitHub 仓库 https://github.com/uFang0706/repro-bachelor-theses 的 sagnn/ 目录（当前为私有仓库，可按需转公开或添加协作者）。sagnn/core/ 是模型、预处理、位置编码和训练工具；sagnn/train_mutag.py、train_zinc.py、train_mutag_cv.py 是本次新增的训练入口；sagnn/dgl_repro/ 保留原 DGL 管线和 DGL 2.2 适配补丁；sagnn/legacy/ 保留原作者脚本，仅作对照。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9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版本</w:t>
            </w:r>
          </w:p>
        </w:tc>
        <w:tc>
          <w:tcPr>
            <w:tcW w:type="dxa" w:w="36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环境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关键依赖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原 DGL 管线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Python 3.10 / torch 2.3.1+cu121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DGL 2.2.1、torch_scatter、torch_sparse、PyG 2.6.1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PyG 重写版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Python 3.9 / torch 2.6.0+cu124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PyG 2.6.1、SciPy、NetworkX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3.2 实验设置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MUTAG 共 188 张图、2 类、节点特征 7 维。采用分层 10 折交叉验证，每折训练 100 epochs，hidden=128、4 层 GINEConv、batch=32、学习率 1e-3；验证集从训练折中再切 10%，按 best val 回测 test。ZINC 使用 10000/1000/1000 的 train/val/test 划分，6 层、hidden=256、GINEConv、hops=3、batch=128、L1 损失、450 epochs。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需要说明的是，ZINC 官方 PyG 下载地址指向 Dropbox，本机不可达；复现数据来自 HuggingFace 镜像 graphs-datasets/ZINC 的 JSONL，字段与 PyG 版本一致（node_feat、edge_index、edge_attr、y、num_nodes），但子集顺序与官方 10k 索引不同。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3.3 实验结果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MUTAG 10 折结果如下。原 DGL 管线为 86.29%±9.76%，PyG 重写版为 89.92%±9.69%，论文报告为 95.2%±3.0%；本次结果与论文相差 5–9 个百分点，主要与数据划分有关。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835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实现</w:t>
            </w:r>
          </w:p>
        </w:tc>
        <w:tc>
          <w:tcPr>
            <w:tcW w:type="dxa" w:w="2494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10 折均值</w:t>
            </w:r>
          </w:p>
        </w:tc>
        <w:tc>
          <w:tcPr>
            <w:tcW w:type="dxa" w:w="19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论文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与论文差异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原 DGL 管线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86.29% ± 9.76%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95.2% ± 3.0%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8.9 个点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PyG 重写版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89.92% ± 9.69%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95.2% ± 3.0%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5.3 个点</w:t>
            </w:r>
          </w:p>
        </w:tc>
      </w:tr>
    </w:tbl>
    <w:p>
      <w:pPr>
        <w:spacing w:after="40"/>
      </w:pP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ZINC 结果如下。最初按白东岳代码用 MSE、100 epochs，test MAE 为 0.1352；对照官方 SAGNN 仓库后发现 train/zinc.py 使用 L1 损失、zinc.yaml 为 450 epochs，改成官方设置后 test MAE 降到 0.0843（best val 0.1020），已接近论文的 0.072±0.001。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608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设置</w:t>
            </w:r>
          </w:p>
        </w:tc>
        <w:tc>
          <w:tcPr>
            <w:tcW w:type="dxa" w:w="2154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test MAE</w:t>
            </w:r>
          </w:p>
        </w:tc>
        <w:tc>
          <w:tcPr>
            <w:tcW w:type="dxa" w:w="2154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论文</w:t>
            </w:r>
          </w:p>
        </w:tc>
        <w:tc>
          <w:tcPr>
            <w:tcW w:type="dxa" w:w="2041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MSE + 100 epochs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0.1352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0.072 ± 0.001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白东岳原代码设置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L1 + 450 epochs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0.0843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0.072 ± 0.001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官方 train/zinc.py 设置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3.4 情况说明与分析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从实验设置看，MUTAG 的差异主要与数据划分有关。原 MUTAG.py 使用作者本地的 train/val/test.pickle 和 index 文件，本次使用 PyG 的 MUTAG 重新做分层 10 折，划分与论文不同；论文的 95.2 对应其原始划分。我们尝试了原 DGL 和 PyG 两种实现、4 层 128 维和 6 层 256 维两组配置，均值在 86–90% 之间，后续拿到作者划分文件后可进一步对齐。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ZINC 的差异主要来自训练配置。原代码使用 MSE、100 epochs，本次对照官方 train/zinc.py 改为 L1、450 epochs，test MAE 从 0.1352 降到 0.0843，与论文的 0.072 接近。后续使用官方 10k 子集索引并做多次运行平均，可进一步缩小差异。EXP/CEXP 数据集作为后续工作，在补齐作者数据后继续验证。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复现中还处理了几类工程适配：DGL 2.2.1 的 Windows wheel 按 torch 2.3.0 编译，torch 2.3.1 下需要把 graphbolt_pytorch_2.3.0.dll、dgl_sparse_pytorch_2.3.0.dll 复制成 2.3.1；DGL 2.2 的邻接矩阵接口改为 adjacency_matrix().to_dense()，度数用 in_degrees().cpu().numpy()；torch_geometric.data.DataLoader 旧接口换成 torch_geometric.loader.DataLoader；部分源文件是 GBK 编码，转为 UTF-8。PyG 版本则把 DGL 的图容器、子图提取和邻接矩阵访问替换为自写 SimpleGraph，torch_scatter 换成 PyG 的 scatter，k-hop 子图换成 SciPy 稀疏矩阵，模型结构和公式保持一致。</w:t>
      </w:r>
    </w:p>
    <w:p>
      <w:pPr>
        <w:keepNext/>
        <w:spacing w:before="200" w:after="80"/>
      </w:pPr>
      <w:r>
        <w:rPr>
          <w:rFonts w:ascii="Times New Roman" w:hAnsi="Times New Roman" w:eastAsia="黑体"/>
          <w:b/>
          <w:sz w:val="23"/>
        </w:rPr>
        <w:t>3.5 复现结论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综合来看，SAGNN 两条管线均已跑通，ZINC 结果与论文接近，MUTAG 结果与论文存在一定差异；EXP/CEXP 作为后续工作，在补齐作者数据后继续验证。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sz w:val="28"/>
        </w:rPr>
        <w:t>4 小结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本次复现完成了 SAGNN 的本地化运行、环境适配和结果整理，验证了 Ego/Cut 子图、随机游走编码和双通道注入的完整链路。ZINC 的结果表明训练配置对 MAE 影响显著：L1 + 450 epochs 相比 MSE + 100 epochs 有明显提升。MUTAG 的结果表明数据划分对 10 折均值影响较大，后续可优先对齐作者划分。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后续可继续对齐作者本地 MUTAG 数据、官方 ZINC 10k 子集索引，并通过多次运行平均提升稳定性；当前结果作为阶段性复现，已能支撑方法链路与实验流程的说明。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sz w:val="28"/>
        </w:rPr>
        <w:t>5 参考文献</w:t>
      </w:r>
    </w:p>
    <w:p>
      <w:pPr>
        <w:spacing w:after="60" w:line="288" w:lineRule="auto"/>
      </w:pPr>
      <w:r>
        <w:rPr>
          <w:rFonts w:ascii="Times New Roman" w:hAnsi="Times New Roman" w:eastAsia="宋体"/>
          <w:b w:val="0"/>
          <w:sz w:val="18"/>
        </w:rPr>
        <w:t>[1] Zeng D, Liu W, Chen W, et al. Substructure Aware Graph Neural Networks[C]//Proceedings of the AAAI Conference on Artificial Intelligence, 2023, 37(9): 11129-11137.</w:t>
      </w:r>
    </w:p>
    <w:p>
      <w:pPr>
        <w:spacing w:after="60" w:line="288" w:lineRule="auto"/>
      </w:pPr>
      <w:r>
        <w:rPr>
          <w:rFonts w:ascii="Times New Roman" w:hAnsi="Times New Roman" w:eastAsia="宋体"/>
          <w:b w:val="0"/>
          <w:sz w:val="18"/>
        </w:rPr>
        <w:t>[2] 白东岳. 融合多粒度子结构的高维图表征方法[D]. 上海: 上海大学, 2024.</w:t>
      </w:r>
    </w:p>
    <w:p>
      <w:pPr>
        <w:spacing w:after="60" w:line="288" w:lineRule="auto"/>
      </w:pPr>
      <w:r>
        <w:rPr>
          <w:rFonts w:ascii="Times New Roman" w:hAnsi="Times New Roman" w:eastAsia="宋体"/>
          <w:b w:val="0"/>
          <w:sz w:val="18"/>
        </w:rPr>
        <w:t>[3] Fey M, Lenssen J E. Fast Graph Representation Learning with PyTorch Geometric[EB/OL]. arXiv:1903.02428, 2019.</w:t>
      </w:r>
    </w:p>
    <w:p>
      <w:pPr>
        <w:spacing w:after="60" w:line="288" w:lineRule="auto"/>
      </w:pPr>
      <w:r>
        <w:rPr>
          <w:rFonts w:ascii="Times New Roman" w:hAnsi="Times New Roman" w:eastAsia="宋体"/>
          <w:b w:val="0"/>
          <w:sz w:val="18"/>
        </w:rPr>
        <w:t>[4] Wang M, Zheng D, Ye Z, et al. Deep Graph Library: A Graph-Centric, Highly-Performant Package for Graph Neural Networks[EB/OL]. arXiv:1909.01315, 2019.</w:t>
      </w:r>
    </w:p>
    <w:p>
      <w:pPr>
        <w:spacing w:after="60" w:line="288" w:lineRule="auto"/>
      </w:pPr>
      <w:r>
        <w:rPr>
          <w:rFonts w:ascii="Times New Roman" w:hAnsi="Times New Roman" w:eastAsia="宋体"/>
          <w:b w:val="0"/>
          <w:sz w:val="18"/>
        </w:rPr>
        <w:t>[5] 复现代码仓库. https://github.com/uFang0706/repro-bachelor-theses.</w:t>
      </w:r>
    </w:p>
    <w:sectPr w:rsidR="00FC693F" w:rsidRPr="0006063C" w:rsidSect="00034616">
      <w:footerReference w:type="default" r:id="rId9"/>
      <w:pgSz w:w="11906" w:h="16838"/>
      <w:pgMar w:top="1417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t xml:space="preserve">第 </w:t>
    </w:r>
    <w:r>
      <w:rPr>
        <w:rFonts w:ascii="Times New Roman" w:hAnsi="Times New Roman" w:eastAsia="宋体"/>
        <w:b w:val="0"/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/>
        <w:b w:val="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