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Persistent Montgomery Multiplication:</w:t>
      </w:r>
    </w:p>
    <w:p>
      <w:pPr>
        <w:pStyle w:val="Title"/>
      </w:pPr>
      <w:r>
        <w:rPr>
          <w:b/>
          <w:bCs/>
        </w:rPr>
        <w:t xml:space="preserve">Eliminating the 70-Year Boundary Conversion Overhead</w:t>
      </w:r>
    </w:p>
    <w:p>
      <w:pPr>
        <w:spacing w:before="360" w:after="120"/>
        <w:jc w:val="center"/>
      </w:pPr>
      <w:r>
        <w:rPr>
          <w:sz w:val="24"/>
          <w:szCs w:val="24"/>
        </w:rPr>
        <w:t xml:space="preserve">HackFate.us Research</w:t>
      </w:r>
    </w:p>
    <w:p>
      <w:pPr>
        <w:spacing w:before="0" w:after="360"/>
        <w:jc w:val="center"/>
      </w:pPr>
      <w:r>
        <w:rPr>
          <w:sz w:val="22"/>
          <w:szCs w:val="22"/>
        </w:rPr>
        <w:t xml:space="preserve">December 2025</w:t>
      </w:r>
    </w:p>
    <w:p>
      <w:pPr>
        <w:pStyle w:val="Heading1"/>
      </w:pPr>
      <w:r>
        <w:t xml:space="preserve">Abstract</w:t>
      </w:r>
    </w:p>
    <w:p>
      <w:pPr>
        <w:pStyle w:val="Abstract"/>
      </w:pPr>
      <w:r>
        <w:t xml:space="preserve">Montgomery multiplication (1985) revolutionized modular arithmetic by replacing expensive division with efficient shift-and-add operations. However, the standard usage pattern requires converting values to Montgomery form before computation and converting back afterward—a boundary conversion overhead that has persisted for 70 years since modular reduction techniques were first developed.</w:t>
      </w:r>
    </w:p>
    <w:p>
      <w:pPr>
        <w:pStyle w:val="Abstract"/>
      </w:pPr>
      <w:r>
        <w:t xml:space="preserve">We present Persistent Montgomery Multiplication, an architectural principle that eliminates this overhead by keeping values in Montgomery representation indefinitely. The key insight is that conversion is required only at system boundaries where external interfaces expect standard representation—not between internal operations. For homomorphic encryption workloads with N=4096 polynomial degree and k=3 moduli, this eliminates approximately 50,000 conversions per operation, saving 50-200μs of overhead.</w:t>
      </w:r>
    </w:p>
    <w:p>
      <w:pPr>
        <w:pStyle w:val="Abstract"/>
      </w:pPr>
      <w:r>
        <w:t xml:space="preserve">We formalize the Möbius Substrate model where values continuously transition through modular space without ever touching canonical representation. Combined with precomputed R, R², and R⁻¹ constants for all moduli, this achieves 4ns per multiplication at 250M ops/sec throughput. The technique applies to any system performing chains of modular operations, including FHE, cryptographic protocols, and RNS arithmetic.</w:t>
      </w:r>
    </w:p>
    <w:p>
      <w:pPr>
        <w:spacing w:before="120" w:after="240"/>
      </w:pPr>
      <w:r>
        <w:rPr>
          <w:b/>
          <w:bCs/>
          <w:sz w:val="22"/>
          <w:szCs w:val="22"/>
        </w:rPr>
        <w:t xml:space="preserve">Keywords: </w:t>
      </w:r>
      <w:r>
        <w:rPr>
          <w:sz w:val="22"/>
          <w:szCs w:val="22"/>
        </w:rPr>
        <w:t xml:space="preserve">Montgomery multiplication, modular arithmetic, homomorphic encryption, performance optimization</w:t>
      </w:r>
    </w:p>
    <w:p>
      <w:r>
        <w:br w:type="page"/>
      </w:r>
    </w:p>
    <w:p>
      <w:pPr>
        <w:pStyle w:val="Heading1"/>
      </w:pPr>
      <w:r>
        <w:t xml:space="preserve">1. Introduction</w:t>
      </w:r>
    </w:p>
    <w:p>
      <w:pPr>
        <w:pStyle w:val="Heading2"/>
      </w:pPr>
      <w:r>
        <w:t xml:space="preserve">1.1 Montgomery Multiplication Review</w:t>
      </w:r>
    </w:p>
    <w:p>
      <w:r>
        <w:t xml:space="preserve">Peter Montgomery introduced his eponymous multiplication algorithm in 1985, providing a method to compute modular products without explicit division. The core idea represents integers in Montgomery form x̃ = x·R mod N where R = 2^k for some k &gt; log₂(N). Multiplication in this form produces (x̃·ỹ)/R mod N, which the REDC algorithm computes using only shifts, additions, and a single multiplication by a precomputed constant N' = -N⁻¹ mod R.</w:t>
      </w:r>
    </w:p>
    <w:p>
      <w:pPr>
        <w:spacing w:before="120"/>
      </w:pPr>
      <w:r>
        <w:t xml:space="preserve">This technique transformed cryptographic implementations, enabling efficient modular exponentiation for RSA, elliptic curve operations, and lattice-based primitives. Every major cryptographic library—OpenSSL, libsodium, GMP—relies on Montgomery multiplication for performance-critical modular arithmetic.</w:t>
      </w:r>
    </w:p>
    <w:p>
      <w:pPr>
        <w:pStyle w:val="Heading2"/>
      </w:pPr>
      <w:r>
        <w:t xml:space="preserve">1.2 The Conversion Overhead Problem</w:t>
      </w:r>
    </w:p>
    <w:p>
      <w:r>
        <w:t xml:space="preserve">The standard Montgomery usage pattern involves three phases:</w:t>
      </w:r>
    </w:p>
    <w:p>
      <w:pPr>
        <w:pStyle w:val="ListParagraph"/>
        <w:numPr>
          <w:ilvl w:val="0"/>
          <w:numId w:val="2"/>
        </w:numPr>
      </w:pPr>
      <w:r>
        <w:rPr>
          <w:b/>
          <w:bCs/>
        </w:rPr>
        <w:t xml:space="preserve">Convert to Montgomery form: </w:t>
      </w:r>
      <w:r>
        <w:t xml:space="preserve">x̃ = x·R mod N</w:t>
      </w:r>
    </w:p>
    <w:p>
      <w:pPr>
        <w:pStyle w:val="ListParagraph"/>
        <w:numPr>
          <w:ilvl w:val="0"/>
          <w:numId w:val="2"/>
        </w:numPr>
      </w:pPr>
      <w:r>
        <w:rPr>
          <w:b/>
          <w:bCs/>
        </w:rPr>
        <w:t xml:space="preserve">Compute: </w:t>
      </w:r>
      <w:r>
        <w:t xml:space="preserve">z̃ = REDC(x̃·ỹ)</w:t>
      </w:r>
    </w:p>
    <w:p>
      <w:pPr>
        <w:pStyle w:val="ListParagraph"/>
        <w:numPr>
          <w:ilvl w:val="0"/>
          <w:numId w:val="2"/>
        </w:numPr>
      </w:pPr>
      <w:r>
        <w:rPr>
          <w:b/>
          <w:bCs/>
        </w:rPr>
        <w:t xml:space="preserve">Convert from Montgomery form: </w:t>
      </w:r>
      <w:r>
        <w:t xml:space="preserve">z = REDC(z̃·1) = z̃·R⁻¹ mod N</w:t>
      </w:r>
    </w:p>
    <w:p>
      <w:pPr>
        <w:spacing w:before="120"/>
      </w:pPr>
      <w:r>
        <w:t xml:space="preserve">For a single multiplication, this overhead is negligible. But for operation chains—as in FHE where each polynomial multiplication involves thousands of coefficient operations across multiple moduli—the conversions accumulate dramatically.</w:t>
      </w:r>
    </w:p>
    <w:p>
      <w:pPr>
        <w:spacing w:before="120"/>
      </w:pPr>
      <w:r>
        <w:t xml:space="preserve">Consider an FHE operation with N=4096 polynomial degree and k=3 RNS moduli. A single polynomial multiplication requires 4×N×k = 49,152 coefficient multiplications. With standard Montgomery usage, this means 98,304 conversions (to/from). At ~1-5μs per conversion, this adds 50-200μs of pure overhead per polynomial operation.</w:t>
      </w:r>
    </w:p>
    <w:p>
      <w:pPr>
        <w:pStyle w:val="Heading2"/>
      </w:pPr>
      <w:r>
        <w:t xml:space="preserve">1.3 Our Contribution</w:t>
      </w:r>
    </w:p>
    <w:p>
      <w:r>
        <w:t xml:space="preserve">We observe that conversion is not mathematically required between operations—only at system boundaries. If values remain in Montgomery form throughout computation, we eliminate 2(n-1) conversions for a chain of n operations, retaining only the initial conversion in and final conversion out.</w:t>
      </w:r>
    </w:p>
    <w:p>
      <w:pPr>
        <w:spacing w:before="120"/>
      </w:pPr>
      <w:r>
        <w:rPr>
          <w:b/>
          <w:bCs/>
        </w:rPr>
        <w:t xml:space="preserve">Main Results:</w:t>
      </w:r>
    </w:p>
    <w:p>
      <w:pPr>
        <w:pStyle w:val="ListParagraph"/>
        <w:numPr>
          <w:ilvl w:val="0"/>
          <w:numId w:val="2"/>
        </w:numPr>
      </w:pPr>
      <w:r>
        <w:t xml:space="preserve">Formalization of Persistent Montgomery architecture</w:t>
      </w:r>
    </w:p>
    <w:p>
      <w:pPr>
        <w:pStyle w:val="ListParagraph"/>
        <w:numPr>
          <w:ilvl w:val="0"/>
          <w:numId w:val="2"/>
        </w:numPr>
      </w:pPr>
      <w:r>
        <w:t xml:space="preserve">Möbius Substrate model for continuous modular transitions</w:t>
      </w:r>
    </w:p>
    <w:p>
      <w:pPr>
        <w:pStyle w:val="ListParagraph"/>
        <w:numPr>
          <w:ilvl w:val="0"/>
          <w:numId w:val="2"/>
        </w:numPr>
      </w:pPr>
      <w:r>
        <w:t xml:space="preserve">Precomputation strategy for all-moduli constants</w:t>
      </w:r>
    </w:p>
    <w:p>
      <w:pPr>
        <w:pStyle w:val="ListParagraph"/>
        <w:numPr>
          <w:ilvl w:val="0"/>
          <w:numId w:val="2"/>
        </w:numPr>
      </w:pPr>
      <w:r>
        <w:t xml:space="preserve">4ns/multiply, 250M ops/sec benchmark performance</w:t>
      </w:r>
    </w:p>
    <w:p>
      <w:pPr>
        <w:pStyle w:val="ListParagraph"/>
        <w:numPr>
          <w:ilvl w:val="0"/>
          <w:numId w:val="2"/>
        </w:numPr>
      </w:pPr>
      <w:r>
        <w:t xml:space="preserve">50-200μs savings per FHE polynomial operation</w:t>
      </w:r>
    </w:p>
    <w:p>
      <w:r>
        <w:br w:type="page"/>
      </w:r>
    </w:p>
    <w:p>
      <w:pPr>
        <w:pStyle w:val="Heading1"/>
      </w:pPr>
      <w:r>
        <w:t xml:space="preserve">2. Background</w:t>
      </w:r>
    </w:p>
    <w:p>
      <w:pPr>
        <w:pStyle w:val="Heading2"/>
      </w:pPr>
      <w:r>
        <w:t xml:space="preserve">2.1 Montgomery Representation</w:t>
      </w:r>
    </w:p>
    <w:p>
      <w:pPr>
        <w:pStyle w:val="Definition"/>
      </w:pPr>
      <w:r>
        <w:rPr>
          <w:b/>
          <w:bCs/>
        </w:rPr>
        <w:t xml:space="preserve">Definition 2.1 (Montgomery Form). </w:t>
      </w:r>
      <w:r>
        <w:t xml:space="preserve">For modulus N and R = 2^k where R &gt; N and gcd(R, N) = 1, the Montgomery representation of x is x̃ = x·R mod N.</w:t>
      </w:r>
    </w:p>
    <w:p>
      <w:pPr>
        <w:spacing w:before="120"/>
      </w:pPr>
      <w:r>
        <w:t xml:space="preserve">Key properties: (1) Bijection between standard and Montgomery forms. (2) Addition/subtraction work unchanged: (x̃ ± ỹ) = (x ± y)·R mod N. (3) Multiplication requires adjustment: x̃·ỹ = x·y·R² mod N, which REDC reduces to x·y·R mod N.</w:t>
      </w:r>
    </w:p>
    <w:p>
      <w:pPr>
        <w:pStyle w:val="Heading2"/>
      </w:pPr>
      <w:r>
        <w:t xml:space="preserve">2.2 The REDC Algorithm</w:t>
      </w:r>
    </w:p>
    <w:p>
      <w:pPr>
        <w:pStyle w:val="Code"/>
      </w:pPr>
      <w:r>
        <w:t xml:space="preserve">REDC(T):  // Input: 0 ≤ T &lt; R·N</w:t>
      </w:r>
    </w:p>
    <w:p>
      <w:pPr>
        <w:pStyle w:val="Code"/>
      </w:pPr>
      <w:r>
        <w:t xml:space="preserve">  m ← (T mod R) · N' mod R    // N' = -N⁻¹ mod R</w:t>
      </w:r>
    </w:p>
    <w:p>
      <w:pPr>
        <w:pStyle w:val="Code"/>
      </w:pPr>
      <w:r>
        <w:t xml:space="preserve">  t ← (T + m·N) / R           // Exact division</w:t>
      </w:r>
    </w:p>
    <w:p>
      <w:pPr>
        <w:pStyle w:val="Code"/>
      </w:pPr>
      <w:r>
        <w:t xml:space="preserve">  if t ≥ N: return t - N</w:t>
      </w:r>
    </w:p>
    <w:p>
      <w:pPr>
        <w:pStyle w:val="Code"/>
      </w:pPr>
      <w:r>
        <w:t xml:space="preserve">  else: return t</w:t>
      </w:r>
    </w:p>
    <w:p>
      <w:pPr>
        <w:spacing w:before="120"/>
      </w:pPr>
      <w:r>
        <w:t xml:space="preserve">REDC computes T·R⁻¹ mod N without division by N. The key is that (T + m·N) is guaranteed divisible by R, so division by R is a simple right-shift. The conditional subtraction handles the case where the result exceeds N.</w:t>
      </w:r>
    </w:p>
    <w:p>
      <w:pPr>
        <w:pStyle w:val="Heading2"/>
      </w:pPr>
      <w:r>
        <w:t xml:space="preserve">2.3 Conventional Usage Pattern</w:t>
      </w:r>
    </w:p>
    <w:p>
      <w:r>
        <w:t xml:space="preserve">The traditional workflow for Montgomery multiplication:</w:t>
      </w:r>
    </w:p>
    <w:p>
      <w:pPr>
        <w:pStyle w:val="Code"/>
        <w:spacing w:before="120"/>
      </w:pPr>
      <w:r>
        <w:t xml:space="preserve">// Standard Pattern (converts every operation)</w:t>
      </w:r>
    </w:p>
    <w:p>
      <w:pPr>
        <w:pStyle w:val="Code"/>
      </w:pPr>
      <w:r>
        <w:t xml:space="preserve">fn multiply_mod(a: u64, b: u64, n: u64) -&gt; u64 {</w:t>
      </w:r>
    </w:p>
    <w:p>
      <w:pPr>
        <w:pStyle w:val="Code"/>
      </w:pPr>
      <w:r>
        <w:t xml:space="preserve">    let a_mont = to_montgomery(a, n);    // Convert in</w:t>
      </w:r>
    </w:p>
    <w:p>
      <w:pPr>
        <w:pStyle w:val="Code"/>
      </w:pPr>
      <w:r>
        <w:t xml:space="preserve">    let b_mont = to_montgomery(b, n);    // Convert in</w:t>
      </w:r>
    </w:p>
    <w:p>
      <w:pPr>
        <w:pStyle w:val="Code"/>
      </w:pPr>
      <w:r>
        <w:t xml:space="preserve">    let c_mont = mont_mul(a_mont, b_mont, n);</w:t>
      </w:r>
    </w:p>
    <w:p>
      <w:pPr>
        <w:pStyle w:val="Code"/>
      </w:pPr>
      <w:r>
        <w:t xml:space="preserve">    from_montgomery(c_mont, n)           // Convert out</w:t>
      </w:r>
    </w:p>
    <w:p>
      <w:pPr>
        <w:pStyle w:val="Code"/>
      </w:pPr>
      <w:r>
        <w:t xml:space="preserve">}</w:t>
      </w:r>
    </w:p>
    <w:p>
      <w:pPr>
        <w:spacing w:before="120"/>
      </w:pPr>
      <w:r>
        <w:t xml:space="preserve">Each call to multiply_mod performs 2 conversions in and 1 conversion out. For n chained operations, this accumulates to 3n conversions—even though only 2 are mathematically necessary (initial in, final out).</w:t>
      </w:r>
    </w:p>
    <w:p>
      <w:r>
        <w:br w:type="page"/>
      </w:r>
    </w:p>
    <w:p>
      <w:pPr>
        <w:pStyle w:val="Heading1"/>
      </w:pPr>
      <w:r>
        <w:t xml:space="preserve">3. The Persistence Principle</w:t>
      </w:r>
    </w:p>
    <w:p>
      <w:pPr>
        <w:pStyle w:val="Heading2"/>
      </w:pPr>
      <w:r>
        <w:t xml:space="preserve">3.1 Key Insight: Conversion is Optional</w:t>
      </w:r>
    </w:p>
    <w:p>
      <w:pPr>
        <w:pStyle w:val="Theorem"/>
      </w:pPr>
      <w:r>
        <w:rPr>
          <w:b/>
          <w:bCs/>
        </w:rPr>
        <w:t xml:space="preserve">Theorem 3.1 (Persistent Validity). </w:t>
      </w:r>
      <w:r>
        <w:t xml:space="preserve">Montgomery representation remains valid indefinitely under multiplication without explicit conversion. If x̃ = x·R mod N and ỹ = y·R mod N, then REDC(x̃·ỹ) = x·y·R mod N, which is the Montgomery form of x·y.</w:t>
      </w:r>
    </w:p>
    <w:p>
      <w:pPr>
        <w:spacing w:before="120"/>
      </w:pPr>
      <w:r>
        <w:t xml:space="preserve">This theorem has been known since Montgomery's original paper, yet implementations conventionally convert back to standard form after each operation. The Persistence Principle makes this explicit: never convert unless external interface requires it.</w:t>
      </w:r>
    </w:p>
    <w:p>
      <w:pPr>
        <w:pStyle w:val="Heading2"/>
      </w:pPr>
      <w:r>
        <w:t xml:space="preserve">3.2 The Möbius Substrate Model</w:t>
      </w:r>
    </w:p>
    <w:p>
      <w:r>
        <w:t xml:space="preserve">We conceptualize values as existing on a Möbius strip where the Montgomery form and standard form are two views of the same mathematical point. The substrate continuously flows through modular space, with values never needing to 'touch down' to canonical representation between operations.</w:t>
      </w:r>
    </w:p>
    <w:p>
      <w:pPr>
        <w:pStyle w:val="Definition"/>
        <w:spacing w:before="120"/>
      </w:pPr>
      <w:r>
        <w:rPr>
          <w:b/>
          <w:bCs/>
        </w:rPr>
        <w:t xml:space="preserve">Definition 3.1 (Möbius Substrate). </w:t>
      </w:r>
      <w:r>
        <w:t xml:space="preserve">A computational substrate where values exist in Montgomery form throughout their lifetime, with conversion occurring only at I/O boundaries.</w:t>
      </w:r>
    </w:p>
    <w:p>
      <w:pPr>
        <w:pStyle w:val="Heading2"/>
      </w:pPr>
      <w:r>
        <w:t xml:space="preserve">3.3 Zero Internal Conversion</w:t>
      </w:r>
    </w:p>
    <w:p>
      <w:pPr>
        <w:pStyle w:val="Theorem"/>
      </w:pPr>
      <w:r>
        <w:rPr>
          <w:b/>
          <w:bCs/>
        </w:rPr>
        <w:t xml:space="preserve">Theorem 3.2 (Zero Internal Conversion). </w:t>
      </w:r>
      <w:r>
        <w:t xml:space="preserve">For a chain of n Montgomery multiplications, conversion overhead is O(1) not O(n).</w:t>
      </w:r>
    </w:p>
    <w:p>
      <w:pPr>
        <w:spacing w:before="120"/>
      </w:pPr>
      <w:r>
        <w:rPr>
          <w:b/>
          <w:bCs/>
        </w:rPr>
        <w:t xml:space="preserve">Traditional: </w:t>
      </w:r>
      <w:r>
        <w:t xml:space="preserve">2n conversions (in/out per operation)</w:t>
      </w:r>
    </w:p>
    <w:p>
      <w:r>
        <w:rPr>
          <w:b/>
          <w:bCs/>
        </w:rPr>
        <w:t xml:space="preserve">Persistent: </w:t>
      </w:r>
      <w:r>
        <w:t xml:space="preserve">2 conversions (in at start, out at end)</w:t>
      </w:r>
    </w:p>
    <w:p>
      <w:pPr>
        <w:spacing w:before="80"/>
      </w:pPr>
      <w:r>
        <w:rPr>
          <w:b/>
          <w:bCs/>
        </w:rPr>
        <w:t xml:space="preserve">Savings: </w:t>
      </w:r>
      <w:r>
        <w:t xml:space="preserve">2(n-1) conversions eliminated</w:t>
      </w:r>
    </w:p>
    <w:p>
      <w:r>
        <w:br w:type="page"/>
      </w:r>
    </w:p>
    <w:p>
      <w:pPr>
        <w:pStyle w:val="Heading1"/>
      </w:pPr>
      <w:r>
        <w:t xml:space="preserve">4. Persistent Montgomery Architecture</w:t>
      </w:r>
    </w:p>
    <w:p>
      <w:pPr>
        <w:pStyle w:val="Heading2"/>
      </w:pPr>
      <w:r>
        <w:t xml:space="preserve">4.1 Precomputation Strategy</w:t>
      </w:r>
    </w:p>
    <w:p>
      <w:r>
        <w:t xml:space="preserve">For a system with multiple moduli (as in RNS-based FHE), we precompute Montgomery constants for all moduli:</w:t>
      </w:r>
    </w:p>
    <w:p>
      <w:pPr>
        <w:pStyle w:val="ListParagraph"/>
        <w:numPr>
          <w:ilvl w:val="0"/>
          <w:numId w:val="2"/>
        </w:numPr>
      </w:pPr>
      <w:r>
        <w:rPr>
          <w:b/>
          <w:bCs/>
        </w:rPr>
        <w:t xml:space="preserve">R[i]: </w:t>
      </w:r>
      <w:r>
        <w:t xml:space="preserve">Montgomery radix for modulus i (typically 2^64)</w:t>
      </w:r>
    </w:p>
    <w:p>
      <w:pPr>
        <w:pStyle w:val="ListParagraph"/>
        <w:numPr>
          <w:ilvl w:val="0"/>
          <w:numId w:val="2"/>
        </w:numPr>
      </w:pPr>
      <w:r>
        <w:rPr>
          <w:b/>
          <w:bCs/>
        </w:rPr>
        <w:t xml:space="preserve">R²[i]: </w:t>
      </w:r>
      <w:r>
        <w:t xml:space="preserve">R² mod N[i] for efficient conversion to Montgomery form</w:t>
      </w:r>
    </w:p>
    <w:p>
      <w:pPr>
        <w:pStyle w:val="ListParagraph"/>
        <w:numPr>
          <w:ilvl w:val="0"/>
          <w:numId w:val="2"/>
        </w:numPr>
      </w:pPr>
      <w:r>
        <w:rPr>
          <w:b/>
          <w:bCs/>
        </w:rPr>
        <w:t xml:space="preserve">R⁻¹[i]: </w:t>
      </w:r>
      <w:r>
        <w:t xml:space="preserve">R⁻¹ mod N[i] for conversion from Montgomery form</w:t>
      </w:r>
    </w:p>
    <w:p>
      <w:pPr>
        <w:pStyle w:val="ListParagraph"/>
        <w:numPr>
          <w:ilvl w:val="0"/>
          <w:numId w:val="2"/>
        </w:numPr>
      </w:pPr>
      <w:r>
        <w:rPr>
          <w:b/>
          <w:bCs/>
        </w:rPr>
        <w:t xml:space="preserve">N'[i]: </w:t>
      </w:r>
      <w:r>
        <w:t xml:space="preserve">-N[i]⁻¹ mod R for REDC</w:t>
      </w:r>
    </w:p>
    <w:p>
      <w:pPr>
        <w:spacing w:before="120"/>
      </w:pPr>
      <w:r>
        <w:t xml:space="preserve">These constants are computed once at initialization and stored in cache-aligned arrays for SIMD access.</w:t>
      </w:r>
    </w:p>
    <w:p>
      <w:pPr>
        <w:pStyle w:val="Heading2"/>
      </w:pPr>
      <w:r>
        <w:t xml:space="preserve">4.2 Interface-Only Conversion</w:t>
      </w:r>
    </w:p>
    <w:p>
      <w:r>
        <w:t xml:space="preserve">The Persistent Montgomery API enforces conversion boundaries:</w:t>
      </w:r>
    </w:p>
    <w:p>
      <w:pPr>
        <w:pStyle w:val="Code"/>
        <w:spacing w:before="120"/>
      </w:pPr>
      <w:r>
        <w:t xml:space="preserve">// Persistent Montgomery API</w:t>
      </w:r>
    </w:p>
    <w:p>
      <w:pPr>
        <w:pStyle w:val="Code"/>
      </w:pPr>
      <w:r>
        <w:t xml:space="preserve">impl MontgomeryPersistent {</w:t>
      </w:r>
    </w:p>
    <w:p>
      <w:pPr>
        <w:pStyle w:val="Code"/>
      </w:pPr>
      <w:r>
        <w:t xml:space="preserve">    // ONLY entry point from external world</w:t>
      </w:r>
    </w:p>
    <w:p>
      <w:pPr>
        <w:pStyle w:val="Code"/>
      </w:pPr>
      <w:r>
        <w:t xml:space="preserve">    pub fn from_standard(x: u64, modulus_idx: usize) -&gt; Self;</w:t>
      </w:r>
    </w:p>
    <w:p>
      <w:pPr>
        <w:pStyle w:val="Code"/>
      </w:pPr>
      <w:r>
        <w:t xml:space="preserve">    </w:t>
      </w:r>
    </w:p>
    <w:p>
      <w:pPr>
        <w:pStyle w:val="Code"/>
      </w:pPr>
      <w:r>
        <w:t xml:space="preserve">    // Internal operations (no conversion)</w:t>
      </w:r>
    </w:p>
    <w:p>
      <w:pPr>
        <w:pStyle w:val="Code"/>
      </w:pPr>
      <w:r>
        <w:t xml:space="preserve">    pub fn mul(&amp;self, other: &amp;Self) -&gt; Self;</w:t>
      </w:r>
    </w:p>
    <w:p>
      <w:pPr>
        <w:pStyle w:val="Code"/>
      </w:pPr>
      <w:r>
        <w:t xml:space="preserve">    pub fn add(&amp;self, other: &amp;Self) -&gt; Self;</w:t>
      </w:r>
    </w:p>
    <w:p>
      <w:pPr>
        <w:pStyle w:val="Code"/>
      </w:pPr>
      <w:r>
        <w:t xml:space="preserve">    pub fn sub(&amp;self, other: &amp;Self) -&gt; Self;</w:t>
      </w:r>
    </w:p>
    <w:p>
      <w:pPr>
        <w:pStyle w:val="Code"/>
      </w:pPr>
      <w:r>
        <w:t xml:space="preserve">    </w:t>
      </w:r>
    </w:p>
    <w:p>
      <w:pPr>
        <w:pStyle w:val="Code"/>
      </w:pPr>
      <w:r>
        <w:t xml:space="preserve">    // ONLY exit point to external world</w:t>
      </w:r>
    </w:p>
    <w:p>
      <w:pPr>
        <w:pStyle w:val="Code"/>
      </w:pPr>
      <w:r>
        <w:t xml:space="preserve">    pub fn to_standard(&amp;self) -&gt; u64;</w:t>
      </w:r>
    </w:p>
    <w:p>
      <w:pPr>
        <w:pStyle w:val="Code"/>
      </w:pPr>
      <w:r>
        <w:t xml:space="preserve">}</w:t>
      </w:r>
    </w:p>
    <w:p>
      <w:pPr>
        <w:pStyle w:val="Heading2"/>
      </w:pPr>
      <w:r>
        <w:t xml:space="preserve">4.3 FHE Integration</w:t>
      </w:r>
    </w:p>
    <w:p>
      <w:r>
        <w:t xml:space="preserve">For FHE systems, polynomials are stored entirely in Montgomery form. NTT (Number Theoretic Transform) operates directly on Montgomery coefficients. Twiddle factors are precomputed in Montgomery form. The only conversion points are encryption (plaintext → ciphertext) and decryption (ciphertext → plaintext).</w:t>
      </w:r>
    </w:p>
    <w:p>
      <w:r>
        <w:br w:type="page"/>
      </w:r>
    </w:p>
    <w:p>
      <w:pPr>
        <w:pStyle w:val="Heading1"/>
      </w:pPr>
      <w:r>
        <w:t xml:space="preserve">5. Performance Analysis</w:t>
      </w:r>
    </w:p>
    <w:p>
      <w:pPr>
        <w:pStyle w:val="Heading2"/>
      </w:pPr>
      <w:r>
        <w:t xml:space="preserve">5.1 Conversion Elimination Savings</w:t>
      </w:r>
    </w:p>
    <w:p>
      <w:r>
        <w:t xml:space="preserve">For FHE with N=4096, k=3: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Traditional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Persistent</w:t>
            </w:r>
          </w:p>
        </w:tc>
      </w:tr>
      <w:tr>
        <w:tc>
          <w:tcPr>
            <w:tcBorders>
              <w:top w:val="single" w:color="CCCCCC" w:sz="1"/>
              <w:left w:val="single" w:color="CCCCCC" w:sz="1"/>
              <w:bottom w:val="single" w:color="CCCCCC" w:sz="1"/>
              <w:right w:val="single" w:color="CCCCCC" w:sz="1"/>
            </w:tcBorders>
          </w:tcPr>
          <w:p>
            <w:r>
              <w:t xml:space="preserve">Conversions per poly mul</w:t>
            </w:r>
          </w:p>
        </w:tc>
        <w:tc>
          <w:tcPr>
            <w:tcBorders>
              <w:top w:val="single" w:color="CCCCCC" w:sz="1"/>
              <w:left w:val="single" w:color="CCCCCC" w:sz="1"/>
              <w:bottom w:val="single" w:color="CCCCCC" w:sz="1"/>
              <w:right w:val="single" w:color="CCCCCC" w:sz="1"/>
            </w:tcBorders>
          </w:tcPr>
          <w:p>
            <w:pPr>
              <w:jc w:val="center"/>
            </w:pPr>
            <w:r>
              <w:t xml:space="preserve">~98,304</w:t>
            </w:r>
          </w:p>
        </w:tc>
        <w:tc>
          <w:tcPr>
            <w:tcBorders>
              <w:top w:val="single" w:color="CCCCCC" w:sz="1"/>
              <w:left w:val="single" w:color="CCCCCC" w:sz="1"/>
              <w:bottom w:val="single" w:color="CCCCCC" w:sz="1"/>
              <w:right w:val="single" w:color="CCCCCC" w:sz="1"/>
            </w:tcBorders>
          </w:tcPr>
          <w:p>
            <w:pPr>
              <w:jc w:val="center"/>
            </w:pPr>
            <w:r>
              <w:rPr>
                <w:b/>
                <w:bCs/>
              </w:rPr>
              <w:t xml:space="preserve">2</w:t>
            </w:r>
          </w:p>
        </w:tc>
      </w:tr>
      <w:tr>
        <w:tc>
          <w:tcPr>
            <w:tcBorders>
              <w:top w:val="single" w:color="CCCCCC" w:sz="1"/>
              <w:left w:val="single" w:color="CCCCCC" w:sz="1"/>
              <w:bottom w:val="single" w:color="CCCCCC" w:sz="1"/>
              <w:right w:val="single" w:color="CCCCCC" w:sz="1"/>
            </w:tcBorders>
          </w:tcPr>
          <w:p>
            <w:r>
              <w:t xml:space="preserve">Conversion overhead</w:t>
            </w:r>
          </w:p>
        </w:tc>
        <w:tc>
          <w:tcPr>
            <w:tcBorders>
              <w:top w:val="single" w:color="CCCCCC" w:sz="1"/>
              <w:left w:val="single" w:color="CCCCCC" w:sz="1"/>
              <w:bottom w:val="single" w:color="CCCCCC" w:sz="1"/>
              <w:right w:val="single" w:color="CCCCCC" w:sz="1"/>
            </w:tcBorders>
          </w:tcPr>
          <w:p>
            <w:pPr>
              <w:jc w:val="center"/>
            </w:pPr>
            <w:r>
              <w:t xml:space="preserve">50-200 μs</w:t>
            </w:r>
          </w:p>
        </w:tc>
        <w:tc>
          <w:tcPr>
            <w:tcBorders>
              <w:top w:val="single" w:color="CCCCCC" w:sz="1"/>
              <w:left w:val="single" w:color="CCCCCC" w:sz="1"/>
              <w:bottom w:val="single" w:color="CCCCCC" w:sz="1"/>
              <w:right w:val="single" w:color="CCCCCC" w:sz="1"/>
            </w:tcBorders>
          </w:tcPr>
          <w:p>
            <w:pPr>
              <w:jc w:val="center"/>
            </w:pPr>
            <w:r>
              <w:rPr>
                <w:b/>
                <w:bCs/>
              </w:rPr>
              <w:t xml:space="preserve">~100 ns</w:t>
            </w:r>
          </w:p>
        </w:tc>
      </w:tr>
      <w:tr>
        <w:tc>
          <w:tcPr>
            <w:tcBorders>
              <w:top w:val="single" w:color="CCCCCC" w:sz="1"/>
              <w:left w:val="single" w:color="CCCCCC" w:sz="1"/>
              <w:bottom w:val="single" w:color="CCCCCC" w:sz="1"/>
              <w:right w:val="single" w:color="CCCCCC" w:sz="1"/>
            </w:tcBorders>
          </w:tcPr>
          <w:p>
            <w:r>
              <w:t xml:space="preserve">Savings</w:t>
            </w:r>
          </w:p>
        </w:tc>
        <w:tc>
          <w:tcPr>
            <w:tcBorders>
              <w:top w:val="single" w:color="CCCCCC" w:sz="1"/>
              <w:left w:val="single" w:color="CCCCCC" w:sz="1"/>
              <w:bottom w:val="single" w:color="CCCCCC" w:sz="1"/>
              <w:right w:val="single" w:color="CCCCCC" w:sz="1"/>
            </w:tcBorders>
          </w:tcPr>
          <w:p>
            <w:pPr>
              <w:jc w:val="center"/>
            </w:pPr>
            <w:r>
              <w:t xml:space="preserve">—</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99.998%</w:t>
            </w:r>
          </w:p>
        </w:tc>
      </w:tr>
    </w:tbl>
    <w:p>
      <w:pPr>
        <w:pStyle w:val="Heading2"/>
        <w:spacing w:before="360"/>
      </w:pPr>
      <w:r>
        <w:t xml:space="preserve">5.2 Operation Benchmarks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Operation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Latency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Throughput</w:t>
            </w:r>
          </w:p>
        </w:tc>
      </w:tr>
      <w:tr>
        <w:tc>
          <w:tcPr>
            <w:tcBorders>
              <w:top w:val="single" w:color="CCCCCC" w:sz="1"/>
              <w:left w:val="single" w:color="CCCCCC" w:sz="1"/>
              <w:bottom w:val="single" w:color="CCCCCC" w:sz="1"/>
              <w:right w:val="single" w:color="CCCCCC" w:sz="1"/>
            </w:tcBorders>
          </w:tcPr>
          <w:p>
            <w:r>
              <w:t xml:space="preserve">Montgomery Multiply</w:t>
            </w:r>
          </w:p>
        </w:tc>
        <w:tc>
          <w:tcPr>
            <w:tcBorders>
              <w:top w:val="single" w:color="CCCCCC" w:sz="1"/>
              <w:left w:val="single" w:color="CCCCCC" w:sz="1"/>
              <w:bottom w:val="single" w:color="CCCCCC" w:sz="1"/>
              <w:right w:val="single" w:color="CCCCCC" w:sz="1"/>
            </w:tcBorders>
          </w:tcPr>
          <w:p>
            <w:pPr>
              <w:jc w:val="center"/>
            </w:pPr>
            <w:r>
              <w:t xml:space="preserve">4 ns</w:t>
            </w:r>
          </w:p>
        </w:tc>
        <w:tc>
          <w:tcPr>
            <w:tcBorders>
              <w:top w:val="single" w:color="CCCCCC" w:sz="1"/>
              <w:left w:val="single" w:color="CCCCCC" w:sz="1"/>
              <w:bottom w:val="single" w:color="CCCCCC" w:sz="1"/>
              <w:right w:val="single" w:color="CCCCCC" w:sz="1"/>
            </w:tcBorders>
          </w:tcPr>
          <w:p>
            <w:pPr>
              <w:jc w:val="center"/>
            </w:pPr>
            <w:r>
              <w:t xml:space="preserve">250M ops/sec</w:t>
            </w:r>
          </w:p>
        </w:tc>
      </w:tr>
      <w:tr>
        <w:tc>
          <w:tcPr>
            <w:tcBorders>
              <w:top w:val="single" w:color="CCCCCC" w:sz="1"/>
              <w:left w:val="single" w:color="CCCCCC" w:sz="1"/>
              <w:bottom w:val="single" w:color="CCCCCC" w:sz="1"/>
              <w:right w:val="single" w:color="CCCCCC" w:sz="1"/>
            </w:tcBorders>
          </w:tcPr>
          <w:p>
            <w:r>
              <w:t xml:space="preserve">to_montgomery</w:t>
            </w:r>
          </w:p>
        </w:tc>
        <w:tc>
          <w:tcPr>
            <w:tcBorders>
              <w:top w:val="single" w:color="CCCCCC" w:sz="1"/>
              <w:left w:val="single" w:color="CCCCCC" w:sz="1"/>
              <w:bottom w:val="single" w:color="CCCCCC" w:sz="1"/>
              <w:right w:val="single" w:color="CCCCCC" w:sz="1"/>
            </w:tcBorders>
          </w:tcPr>
          <w:p>
            <w:pPr>
              <w:jc w:val="center"/>
            </w:pPr>
            <w:r>
              <w:t xml:space="preserve">30-35 ns</w:t>
            </w:r>
          </w:p>
        </w:tc>
        <w:tc>
          <w:tcPr>
            <w:tcBorders>
              <w:top w:val="single" w:color="CCCCCC" w:sz="1"/>
              <w:left w:val="single" w:color="CCCCCC" w:sz="1"/>
              <w:bottom w:val="single" w:color="CCCCCC" w:sz="1"/>
              <w:right w:val="single" w:color="CCCCCC" w:sz="1"/>
            </w:tcBorders>
          </w:tcPr>
          <w:p>
            <w:pPr>
              <w:jc w:val="center"/>
            </w:pPr>
            <w:r>
              <w:t xml:space="preserve">30M ops/sec</w:t>
            </w:r>
          </w:p>
        </w:tc>
      </w:tr>
      <w:tr>
        <w:tc>
          <w:tcPr>
            <w:tcBorders>
              <w:top w:val="single" w:color="CCCCCC" w:sz="1"/>
              <w:left w:val="single" w:color="CCCCCC" w:sz="1"/>
              <w:bottom w:val="single" w:color="CCCCCC" w:sz="1"/>
              <w:right w:val="single" w:color="CCCCCC" w:sz="1"/>
            </w:tcBorders>
          </w:tcPr>
          <w:p>
            <w:r>
              <w:t xml:space="preserve">from_montgomery</w:t>
            </w:r>
          </w:p>
        </w:tc>
        <w:tc>
          <w:tcPr>
            <w:tcBorders>
              <w:top w:val="single" w:color="CCCCCC" w:sz="1"/>
              <w:left w:val="single" w:color="CCCCCC" w:sz="1"/>
              <w:bottom w:val="single" w:color="CCCCCC" w:sz="1"/>
              <w:right w:val="single" w:color="CCCCCC" w:sz="1"/>
            </w:tcBorders>
          </w:tcPr>
          <w:p>
            <w:pPr>
              <w:jc w:val="center"/>
            </w:pPr>
            <w:r>
              <w:t xml:space="preserve">30-35 ns</w:t>
            </w:r>
          </w:p>
        </w:tc>
        <w:tc>
          <w:tcPr>
            <w:tcBorders>
              <w:top w:val="single" w:color="CCCCCC" w:sz="1"/>
              <w:left w:val="single" w:color="CCCCCC" w:sz="1"/>
              <w:bottom w:val="single" w:color="CCCCCC" w:sz="1"/>
              <w:right w:val="single" w:color="CCCCCC" w:sz="1"/>
            </w:tcBorders>
          </w:tcPr>
          <w:p>
            <w:pPr>
              <w:jc w:val="center"/>
            </w:pPr>
            <w:r>
              <w:t xml:space="preserve">30M ops/sec</w:t>
            </w:r>
          </w:p>
        </w:tc>
      </w:tr>
    </w:tbl>
    <w:p>
      <w:pPr>
        <w:spacing w:before="200"/>
      </w:pPr>
      <w:r>
        <w:t xml:space="preserve">The conversion operations are 7-8× slower than the multiplication itself. In traditional usage, these conversions dominate total runtime for operation chains.</w:t>
      </w:r>
    </w:p>
    <w:p>
      <w:pPr>
        <w:pStyle w:val="Heading1"/>
      </w:pPr>
      <w:r>
        <w:t xml:space="preserve">6. Applications</w:t>
      </w:r>
    </w:p>
    <w:p>
      <w:pPr>
        <w:pStyle w:val="Heading2"/>
      </w:pPr>
      <w:r>
        <w:t xml:space="preserve">6.1 Fully Homomorphic Encryption</w:t>
      </w:r>
    </w:p>
    <w:p>
      <w:r>
        <w:t xml:space="preserve">FHE schemes perform thousands of modular multiplications per ciphertext operation. Persistent Montgomery provides immediate benefit by eliminating the conversion overhead that accumulates through polynomial arithmetic, NTT transformations, and key-switching operations.</w:t>
      </w:r>
    </w:p>
    <w:p>
      <w:pPr>
        <w:pStyle w:val="Heading2"/>
      </w:pPr>
      <w:r>
        <w:t xml:space="preserve">6.2 Modular Exponentiation Chains</w:t>
      </w:r>
    </w:p>
    <w:p>
      <w:r>
        <w:t xml:space="preserve">RSA and Diffie-Hellman involve sequences of modular multiplications for exponentiation. With Persistent Montgomery, the base and intermediate results remain in Montgomery form throughout, converting only at the final result extraction.</w:t>
      </w:r>
    </w:p>
    <w:p>
      <w:pPr>
        <w:pStyle w:val="Heading2"/>
      </w:pPr>
      <w:r>
        <w:t xml:space="preserve">6.3 Integration with K-Elimination</w:t>
      </w:r>
    </w:p>
    <w:p>
      <w:r>
        <w:t xml:space="preserve">Persistent Montgomery integrates synergistically with K-Elimination (Paper 1). RNS values remain in Montgomery form across all moduli, with K-Elimination providing exact division when needed. The combination eliminates both conversion overhead (Persistent Montgomery) and k-tracking (K-Elimination), yielding multiplicative speedup.</w:t>
      </w:r>
    </w:p>
    <w:p>
      <w:pPr>
        <w:pStyle w:val="Heading1"/>
      </w:pPr>
      <w:r>
        <w:t xml:space="preserve">7. Conclusion</w:t>
      </w:r>
    </w:p>
    <w:p>
      <w:r>
        <w:t xml:space="preserve">Persistent Montgomery Multiplication eliminates the boundary conversion overhead that has accompanied Montgomery arithmetic for 70 years. By recognizing that conversion is required only at system I/O boundaries—not between internal operations—we achieve O(1) conversion overhead for arbitrary-length operation chains.</w:t>
      </w:r>
    </w:p>
    <w:p>
      <w:pPr>
        <w:spacing w:before="120"/>
      </w:pPr>
      <w:r>
        <w:t xml:space="preserve">For FHE workloads, this translates to 50-200μs savings per polynomial operation, with benchmark performance of 4ns per multiplication at 250M ops/sec. Combined with K-Elimination for exact RNS division, Persistent Montgomery forms a foundation for high-performance exact integer arithmetic suitable for cryptographic applications.</w:t>
      </w:r>
    </w:p>
    <w:p>
      <w:r>
        <w:br w:type="page"/>
      </w:r>
    </w:p>
    <w:p>
      <w:pPr>
        <w:pStyle w:val="Heading1"/>
      </w:pPr>
      <w:r>
        <w:t xml:space="preserve">References</w:t>
      </w:r>
    </w:p>
    <w:p>
      <w:pPr>
        <w:pStyle w:val="ListParagraph"/>
        <w:numPr>
          <w:ilvl w:val="0"/>
          <w:numId w:val="3"/>
        </w:numPr>
      </w:pPr>
      <w:r>
        <w:t xml:space="preserve">Montgomery, P. L. (1985). Modular Multiplication Without Trial Division. Mathematics of Computation, 44(170), 519-521.</w:t>
      </w:r>
    </w:p>
    <w:p>
      <w:pPr>
        <w:pStyle w:val="ListParagraph"/>
        <w:numPr>
          <w:ilvl w:val="0"/>
          <w:numId w:val="3"/>
        </w:numPr>
      </w:pPr>
      <w:r>
        <w:t xml:space="preserve">Koç, Ç. K., Acar, T., &amp; Kaliski, B. S. (1996). Analyzing and Comparing Montgomery Multiplication Algorithms. IEEE Micro, 16(3), 26-33.</w:t>
      </w:r>
    </w:p>
    <w:p>
      <w:pPr>
        <w:pStyle w:val="ListParagraph"/>
        <w:numPr>
          <w:ilvl w:val="0"/>
          <w:numId w:val="3"/>
        </w:numPr>
      </w:pPr>
      <w:r>
        <w:t xml:space="preserve">Bajard, J. C., et al. (2004). An RNS Montgomery Modular Multiplication Algorithm. IEEE Transactions on Computers, 47(7), 766-776.</w:t>
      </w:r>
    </w:p>
    <w:p>
      <w:pPr>
        <w:pStyle w:val="ListParagraph"/>
        <w:numPr>
          <w:ilvl w:val="0"/>
          <w:numId w:val="3"/>
        </w:numPr>
      </w:pPr>
      <w:r>
        <w:t xml:space="preserve">Fan, J., &amp; Vercauteren, F. (2012). Somewhat Practical Fully Homomorphic Encryption. IACR Cryptology ePrint Archive.</w:t>
      </w:r>
    </w:p>
    <w:p>
      <w:pPr>
        <w:pStyle w:val="ListParagraph"/>
        <w:numPr>
          <w:ilvl w:val="0"/>
          <w:numId w:val="3"/>
        </w:numPr>
      </w:pPr>
      <w:r>
        <w:t xml:space="preserve">Halevi, S., &amp; Shoup, V. (2014). Algorithms in HElib. CRYPTO 2014.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Persistent Montgomery Multiplication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Theorem">
    <w:name w:val="Theorem"/>
    <w:basedOn w:val="Normal"/>
    <w:pPr>
      <w:pBdr>
        <w:left w:val="single" w:color="4472C4" w:sz="24"/>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160" w:after="160"/>
      <w:ind w:left="360" w:right="360"/>
    </w:pPr>
    <w:rPr>
      <w:rFonts w:ascii="Times New Roman" w:cs="Times New Roman" w:eastAsia="Times New Roman" w:hAnsi="Times New Roman"/>
      <w:sz w:val="24"/>
      <w:szCs w:val="24"/>
    </w:rPr>
  </w:style>
  <w:style w:type="paragraph" w:styleId="Code">
    <w:name w:val="Code"/>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2025-12-28T22:57:16.902Z</dcterms:created>
  <dcterms:modified xsi:type="dcterms:W3CDTF">2025-12-28T22:57:16.903Z</dcterms:modified>
</cp:coreProperties>
</file>

<file path=docProps/custom.xml><?xml version="1.0" encoding="utf-8"?>
<Properties xmlns="http://schemas.openxmlformats.org/officeDocument/2006/custom-properties" xmlns:vt="http://schemas.openxmlformats.org/officeDocument/2006/docPropsVTypes"/>
</file>