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CRTBigInt Paper 5: Gap Closure Additions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Sections to Add for Publication-Ready State</w:t>
      </w:r>
    </w:p>
    <w:p>
      <w:pPr>
        <w:spacing w:after="480"/>
        <w:jc w:val="center"/>
      </w:pPr>
      <w:r>
        <w:rPr>
          <w:sz w:val="22"/>
          <w:szCs w:val="22"/>
        </w:rPr>
        <w:t xml:space="preserve">December 29, 2025</w:t>
      </w:r>
    </w:p>
    <w:p>
      <w:pPr>
        <w:pStyle w:val="Heading1"/>
      </w:pPr>
      <w:r>
        <w:t xml:space="preserve">2. Mathematical Foundation (Expanded)</w:t>
      </w:r>
    </w:p>
    <w:p>
      <w:pPr>
        <w:pStyle w:val="Heading2"/>
      </w:pPr>
      <w:r>
        <w:t xml:space="preserve">Theorem 2.1 (CRT Ring Isomorphism)</w:t>
      </w:r>
    </w:p>
    <w:p>
      <w:pPr>
        <w:pStyle w:val="TheoremStyle"/>
      </w:pPr>
      <w:r>
        <w:rPr>
          <w:b/>
          <w:bCs/>
        </w:rPr>
        <w:t xml:space="preserve">Statement: </w:t>
      </w:r>
      <w:r>
        <w:t xml:space="preserve">Let m₁, m₂, ..., mₖ be pairwise coprime positive integers, and let M = m₁m₂...mₖ. Then the map φ: ℤ/Mℤ → ℤ/m₁ℤ × ℤ/m₂ℤ × ... × ℤ/mₖℤ defined by φ(x) = (x mod m₁, x mod m₂, ..., x mod mₖ) is a ring isomorphism.</w:t>
      </w:r>
    </w:p>
    <w:p>
      <w:pPr>
        <w:pStyle w:val="ProofStyle"/>
      </w:pPr>
      <w:r>
        <w:rPr>
          <w:b/>
          <w:bCs/>
          <w:i w:val="false"/>
          <w:iCs w:val="false"/>
        </w:rPr>
        <w:t xml:space="preserve">Proof Sketch: </w:t>
      </w:r>
      <w:r>
        <w:t xml:space="preserve">The map φ is a ring homomorphism by properties of modular arithmetic. Injectivity follows from the fact that if φ(x) = φ(y), then x ≡ y (mod mᵢ) for all i, implying x ≡ y (mod M) by CRT. Surjectivity follows from the constructive CRT formula. ∎</w:t>
      </w:r>
    </w:p>
    <w:p>
      <w:pPr>
        <w:pStyle w:val="Heading2"/>
      </w:pPr>
      <w:r>
        <w:t xml:space="preserve">Theorem 2.2 (Lane Independence)</w:t>
      </w:r>
    </w:p>
    <w:p>
      <w:pPr>
        <w:pStyle w:val="TheoremStyle"/>
      </w:pPr>
      <w:r>
        <w:rPr>
          <w:b/>
          <w:bCs/>
        </w:rPr>
        <w:t xml:space="preserve">Statement: </w:t>
      </w:r>
      <w:r>
        <w:t xml:space="preserve">For CRTBigInt values X, Y with residue vectors {x₁,...,xₖ} and {y₁,...,yₖ} respectively: (X ⊕ Y)ᵢ = (xᵢ ⊕ᵢ yᵢ) for all i ∈ {1,...,k}, where ⊕ ∈ {+, ×} and ⊕ᵢ denotes the operation mod mᵢ.</w:t>
      </w:r>
    </w:p>
    <w:p>
      <w:pPr>
        <w:pStyle w:val="ProofStyle"/>
      </w:pPr>
      <w:r>
        <w:rPr>
          <w:b/>
          <w:bCs/>
          <w:i w:val="false"/>
          <w:iCs w:val="false"/>
        </w:rPr>
        <w:t xml:space="preserve">Proof: </w:t>
      </w:r>
      <w:r>
        <w:t xml:space="preserve">Direct consequence of the ring isomorphism φ preserving both addition and multiplication. Since φ is a ring homomorphism, φ(X + Y) = φ(X) + φ(Y) and φ(X × Y) = φ(X) × φ(Y), where operations on the right are component-wise. ∎</w:t>
      </w:r>
    </w:p>
    <w:p>
      <w:pPr>
        <w:pStyle w:val="TheoremStyle"/>
      </w:pPr>
      <w:r>
        <w:rPr>
          <w:b/>
          <w:bCs/>
        </w:rPr>
        <w:t xml:space="preserve">Corollary 2.2.1 (Embarrassing Parallelism): </w:t>
      </w:r>
      <w:r>
        <w:t xml:space="preserve">CRTBigInt add and multiply operations have zero data dependency across lanes, enabling embarrassingly parallel computation with O(k) speedup on k cores.</w:t>
      </w:r>
    </w:p>
    <w:p>
      <w:pPr>
        <w:pStyle w:val="Heading2"/>
      </w:pPr>
      <w:r>
        <w:t xml:space="preserve">Theorem 2.3 (Exactness Preservation)</w:t>
      </w:r>
    </w:p>
    <w:p>
      <w:pPr>
        <w:pStyle w:val="TheoremStyle"/>
      </w:pPr>
      <w:r>
        <w:rPr>
          <w:b/>
          <w:bCs/>
        </w:rPr>
        <w:t xml:space="preserve">Statement: </w:t>
      </w:r>
      <w:r>
        <w:t xml:space="preserve">CRTBigInt operations produce mathematically exact results with zero accumulated drift across arbitrary operation chains.</w:t>
      </w:r>
    </w:p>
    <w:p>
      <w:pPr>
        <w:pStyle w:val="ProofStyle"/>
      </w:pPr>
      <w:r>
        <w:rPr>
          <w:b/>
          <w:bCs/>
          <w:i w:val="false"/>
          <w:iCs w:val="false"/>
        </w:rPr>
        <w:t xml:space="preserve">Proof: </w:t>
      </w:r>
      <w:r>
        <w:t xml:space="preserve">(1) Each residue rᵢ ∈ [0, mᵢ) is an exact integer representation. (2) Modular arithmetic on integers is mathematically exact—no rounding occurs. (3) CRT reconstruction produces the unique exact integer x ∈ [0, M). (4) No floating-point operations are involved at any stage of computation. Therefore, the composition of exact operations remains exact. ∎</w:t>
      </w:r>
    </w:p>
    <w:p>
      <w:pPr>
        <w:pStyle w:val="Heading2"/>
      </w:pPr>
      <w:r>
        <w:t xml:space="preserve">Theorem 2.4 (Reconstruction Complexity)</w:t>
      </w:r>
    </w:p>
    <w:p>
      <w:pPr>
        <w:pStyle w:val="TheoremStyle"/>
      </w:pPr>
      <w:r>
        <w:rPr>
          <w:b/>
          <w:bCs/>
        </w:rPr>
        <w:t xml:space="preserve">Statement: </w:t>
      </w:r>
      <w:r>
        <w:t xml:space="preserve">CRT reconstruction has the following time complexities:</w:t>
      </w:r>
    </w:p>
    <w:p>
      <w:pPr>
        <w:pStyle w:val="ListParagraph"/>
        <w:numPr>
          <w:ilvl w:val="0"/>
          <w:numId w:val="2"/>
        </w:numPr>
      </w:pPr>
      <w:r>
        <w:t xml:space="preserve">Garner's algorithm: O(k²) multiplications for k residues</w:t>
      </w:r>
    </w:p>
    <w:p>
      <w:pPr>
        <w:pStyle w:val="ListParagraph"/>
        <w:numPr>
          <w:ilvl w:val="0"/>
          <w:numId w:val="2"/>
        </w:numPr>
      </w:pPr>
      <w:r>
        <w:t xml:space="preserve">Bi-Anchor CRT (k=2): O(1) multiplications</w:t>
      </w:r>
    </w:p>
    <w:p>
      <w:pPr>
        <w:pStyle w:val="ListParagraph"/>
        <w:numPr>
          <w:ilvl w:val="0"/>
          <w:numId w:val="2"/>
        </w:numPr>
      </w:pPr>
      <w:r>
        <w:t xml:space="preserve">IncrementalCRT: O(k) amortized over k insertions</w:t>
      </w:r>
    </w:p>
    <w:p>
      <w:pPr>
        <w:pStyle w:val="ProofStyle"/>
      </w:pPr>
      <w:r>
        <w:rPr>
          <w:b/>
          <w:bCs/>
          <w:i w:val="false"/>
          <w:iCs w:val="false"/>
        </w:rPr>
        <w:t xml:space="preserve">Proof: </w:t>
      </w:r>
      <w:r>
        <w:t xml:space="preserve">Garner's algorithm computes k partial products and k modular inverses, each involving O(k) operations for a total of O(k²). Bi-Anchor uses a single inverse and constant arithmetic. IncrementalCRT performs one inverse per insertion. ∎</w:t>
      </w:r>
    </w:p>
    <w:p>
      <w:pPr>
        <w:pStyle w:val="Heading2"/>
      </w:pPr>
      <w:r>
        <w:t xml:space="preserve">Theorem 2.5 (Parallel Speedup Bound)</w:t>
      </w:r>
    </w:p>
    <w:p>
      <w:pPr>
        <w:pStyle w:val="TheoremStyle"/>
      </w:pPr>
      <w:r>
        <w:rPr>
          <w:b/>
          <w:bCs/>
        </w:rPr>
        <w:t xml:space="preserve">Statement: </w:t>
      </w:r>
      <w:r>
        <w:t xml:space="preserve">CRTBigInt add/mul achieve O(k) parallel speedup for k residues on k cores, bounded by memory bandwidth B as: Speedup ≤ min(k, B/sizeof(residue)).</w:t>
      </w:r>
    </w:p>
    <w:p>
      <w:pPr>
        <w:pStyle w:val="ProofStyle"/>
      </w:pPr>
      <w:r>
        <w:rPr>
          <w:b/>
          <w:bCs/>
          <w:i w:val="false"/>
          <w:iCs w:val="false"/>
        </w:rPr>
        <w:t xml:space="preserve">Proof: </w:t>
      </w:r>
      <w:r>
        <w:t xml:space="preserve">Work-depth analysis: Total work W = O(k) (k independent residue operations). Critical path depth D = O(1) (all operations independent). By Brent's theorem, parallel time Tₚ ≤ W/p + D. With p = k cores, Tₚ = O(1), giving speedup W/Tₚ = O(k). Memory bandwidth limits apply when k × sizeof(residue) exceeds cache line fetches per cycle. ∎</w:t>
      </w:r>
    </w:p>
    <w:p>
      <w:pPr>
        <w:pStyle w:val="Heading1"/>
      </w:pPr>
      <w:r>
        <w:t xml:space="preserve">3.4 Bi-Anchor CRT Optimization (NEW SECTION)</w:t>
      </w:r>
    </w:p>
    <w:p>
      <w:r>
        <w:t xml:space="preserve">The common case of two-anchor reconstruction admits a significant optimization over Garner's general algorithm.</w:t>
      </w:r>
    </w:p>
    <w:p>
      <w:pPr>
        <w:pStyle w:val="Heading2"/>
      </w:pPr>
      <w:r>
        <w:t xml:space="preserve">Theorem 3.4 (Bi-Anchor CRT Recovery)</w:t>
      </w:r>
    </w:p>
    <w:p>
      <w:pPr>
        <w:pStyle w:val="TheoremStyle"/>
      </w:pPr>
      <w:r>
        <w:rPr>
          <w:b/>
          <w:bCs/>
        </w:rPr>
        <w:t xml:space="preserve">Statement: </w:t>
      </w:r>
      <w:r>
        <w:t xml:space="preserve">Let M₁, M₂ be coprime positive integers with gcd(M₁, M₂) = 1. Given residues r₁ = x mod M₁ and r₂ = x mod M₂, the unique value x mod (M₁·M₂) is: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x = r₁ + M₁ · ((r₂ - r₁) · M₁⁻¹ mod M₂)</w:t>
      </w:r>
    </w:p>
    <w:p>
      <w:pPr>
        <w:pStyle w:val="ProofStyle"/>
      </w:pPr>
      <w:r>
        <w:rPr>
          <w:b/>
          <w:bCs/>
          <w:i w:val="false"/>
          <w:iCs w:val="false"/>
        </w:rPr>
        <w:t xml:space="preserve">Proof: </w:t>
      </w:r>
      <w:r>
        <w:t xml:space="preserve">Let k = (r₂ - r₁) · M₁⁻¹ mod M₂. Define x = r₁ + M₁·k. We verify both congruences:</w:t>
      </w:r>
    </w:p>
    <w:p>
      <w:pPr>
        <w:pStyle w:val="ListParagraph"/>
        <w:numPr>
          <w:ilvl w:val="0"/>
          <w:numId w:val="3"/>
        </w:numPr>
        <w:ind w:left="1080"/>
      </w:pPr>
      <w:r>
        <w:t xml:space="preserve">x mod M₁ = (r₁ + M₁·k) mod M₁ = r₁ (since M₁·k ≡ 0 mod M₁) ✓</w:t>
      </w:r>
    </w:p>
    <w:p>
      <w:pPr>
        <w:pStyle w:val="ListParagraph"/>
        <w:numPr>
          <w:ilvl w:val="0"/>
          <w:numId w:val="3"/>
        </w:numPr>
        <w:ind w:left="1080"/>
      </w:pPr>
      <w:r>
        <w:t xml:space="preserve">x mod M₂ = (r₁ + M₁·k) mod M₂ = r₁ + M₁·(r₂-r₁)·M₁⁻¹ mod M₂ = r₁ + (r₂-r₁) = r₂ ✓</w:t>
      </w:r>
    </w:p>
    <w:p>
      <w:pPr>
        <w:pStyle w:val="ProofStyle"/>
      </w:pPr>
      <w:r>
        <w:t xml:space="preserve">By CRT uniqueness, this is the unique solution in [0, M₁·M₂). ∎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</w:rPr>
        <w:t xml:space="preserve">Operations: </w:t>
      </w:r>
      <w:r>
        <w:t xml:space="preserve">1 modular inverse (O(log M₂) via extended Euclidean algorithm), 2 subtractions, 2 multiplications, 1 modular reduction.</w:t>
      </w:r>
    </w:p>
    <w:p>
      <w:r>
        <w:rPr>
          <w:b/>
          <w:bCs/>
        </w:rPr>
        <w:t xml:space="preserve">Total: </w:t>
      </w:r>
      <w:r>
        <w:t xml:space="preserve">O(log M₂) vs O(k²) for Garner's algorithm</w:t>
      </w:r>
    </w:p>
    <w:p>
      <w:r>
        <w:rPr>
          <w:b/>
          <w:bCs/>
        </w:rPr>
        <w:t xml:space="preserve">Speedup: </w:t>
      </w:r>
      <w:r>
        <w:t xml:space="preserve">~5× for typical anchor magnitudes (32-bit primes)</w:t>
      </w:r>
    </w:p>
    <w:p>
      <w:pPr>
        <w:pStyle w:val="Heading3"/>
      </w:pPr>
      <w:r>
        <w:t xml:space="preserve">Implementation</w:t>
      </w:r>
    </w:p>
    <w:p>
      <w:pPr>
        <w:pStyle w:val="CodeStyle"/>
      </w:pPr>
      <w:r>
        <w:t xml:space="preserve">pub fn bi_anchor_reconstruct(</w:t>
      </w:r>
    </w:p>
    <w:p>
      <w:pPr>
        <w:pStyle w:val="CodeStyle"/>
      </w:pPr>
      <w:r>
        <w:t xml:space="preserve">    r1: &amp;BigInt, m1: &amp;BigInt,</w:t>
      </w:r>
    </w:p>
    <w:p>
      <w:pPr>
        <w:pStyle w:val="CodeStyle"/>
      </w:pPr>
      <w:r>
        <w:t xml:space="preserve">    r2: &amp;BigInt, m2: &amp;BigInt,</w:t>
      </w:r>
    </w:p>
    <w:p>
      <w:pPr>
        <w:pStyle w:val="CodeStyle"/>
      </w:pPr>
      <w:r>
        <w:t xml:space="preserve">) -&gt; Result&lt;BigInt&gt; {</w:t>
      </w:r>
    </w:p>
    <w:p>
      <w:pPr>
        <w:pStyle w:val="CodeStyle"/>
      </w:pPr>
      <w:r>
        <w:t xml:space="preserve">    let m1_inv = mod_inverse(m1, m2)?;</w:t>
      </w:r>
    </w:p>
    <w:p>
      <w:pPr>
        <w:pStyle w:val="CodeStyle"/>
      </w:pPr>
      <w:r>
        <w:t xml:space="preserve">    let diff = ((r2 - r1) % m2 + m2) % m2;</w:t>
      </w:r>
    </w:p>
    <w:p>
      <w:pPr>
        <w:pStyle w:val="CodeStyle"/>
      </w:pPr>
      <w:r>
        <w:t xml:space="preserve">    let k = (&amp;diff * &amp;m1_inv) % m2;</w:t>
      </w:r>
    </w:p>
    <w:p>
      <w:pPr>
        <w:pStyle w:val="CodeStyle"/>
      </w:pPr>
      <w:r>
        <w:t xml:space="preserve">    Ok(r1 + m1 * &amp;k)</w:t>
      </w:r>
    </w:p>
    <w:p>
      <w:pPr>
        <w:pStyle w:val="CodeStyle"/>
      </w:pPr>
      <w:r>
        <w:t xml:space="preserve">}</w:t>
      </w:r>
    </w:p>
    <w:p>
      <w:pPr>
        <w:pStyle w:val="Heading1"/>
      </w:pPr>
      <w:r>
        <w:t xml:space="preserve">4.4 Incremental Reconstruction (NEW SECTION)</w:t>
      </w:r>
    </w:p>
    <w:p>
      <w:r>
        <w:t xml:space="preserve">For streaming applications where residues arrive sequentially, IncrementalCRT maintains partial reconstruction without storing all residues:</w:t>
      </w:r>
    </w:p>
    <w:p>
      <w:pPr>
        <w:pStyle w:val="CodeStyle"/>
      </w:pPr>
      <w:r>
        <w:t xml:space="preserve">pub struct IncrementalCRT {</w:t>
      </w:r>
    </w:p>
    <w:p>
      <w:pPr>
        <w:pStyle w:val="CodeStyle"/>
      </w:pPr>
      <w:r>
        <w:t xml:space="preserve">    value: BigInt,    // Current partial value</w:t>
      </w:r>
    </w:p>
    <w:p>
      <w:pPr>
        <w:pStyle w:val="CodeStyle"/>
      </w:pPr>
      <w:r>
        <w:t xml:space="preserve">    product: BigInt,  // Current partial product</w:t>
      </w:r>
    </w:p>
    <w:p>
      <w:pPr>
        <w:pStyle w:val="CodeStyle"/>
      </w:pPr>
      <w:r>
        <w:t xml:space="preserve">}</w:t>
      </w:r>
    </w:p>
    <w:p>
      <w:pPr>
        <w:spacing w:before="200"/>
      </w:pPr>
      <w:r>
        <w:rPr>
          <w:b/>
          <w:bCs/>
        </w:rPr>
        <w:t xml:space="preserve">Algorithm: </w:t>
      </w:r>
    </w:p>
    <w:p>
      <w:pPr>
        <w:pStyle w:val="ListParagraph"/>
        <w:numPr>
          <w:ilvl w:val="0"/>
          <w:numId w:val="3"/>
        </w:numPr>
      </w:pPr>
      <w:r>
        <w:t xml:space="preserve">Initialize: value = r₁, product = m₁</w:t>
      </w:r>
    </w:p>
    <w:p>
      <w:pPr>
        <w:pStyle w:val="ListParagraph"/>
        <w:numPr>
          <w:ilvl w:val="0"/>
          <w:numId w:val="3"/>
        </w:numPr>
      </w:pPr>
      <w:r>
        <w:t xml:space="preserve">For each new (rᵢ, mᵢ):</w:t>
      </w:r>
    </w:p>
    <w:p>
      <w:pPr>
        <w:ind w:left="1440"/>
      </w:pPr>
      <w:r>
        <w:t xml:space="preserve">yᵢ = product⁻¹ mod mᵢ</w:t>
      </w:r>
    </w:p>
    <w:p>
      <w:pPr>
        <w:ind w:left="1440"/>
      </w:pPr>
      <w:r>
        <w:t xml:space="preserve">δ = (rᵢ - value) × yᵢ mod mᵢ</w:t>
      </w:r>
    </w:p>
    <w:p>
      <w:pPr>
        <w:ind w:left="1440"/>
      </w:pPr>
      <w:r>
        <w:t xml:space="preserve">value += product × δ</w:t>
      </w:r>
    </w:p>
    <w:p>
      <w:pPr>
        <w:ind w:left="1440"/>
      </w:pPr>
      <w:r>
        <w:t xml:space="preserve">product *= mᵢ</w:t>
      </w:r>
    </w:p>
    <w:p>
      <w:pPr>
        <w:spacing w:before="200"/>
      </w:pPr>
      <w:r>
        <w:rPr>
          <w:b/>
          <w:bCs/>
        </w:rPr>
        <w:t xml:space="preserve">Memory: </w:t>
      </w:r>
      <w:r>
        <w:t xml:space="preserve">O(1) vs O(k) for batch reconstruction</w:t>
      </w:r>
    </w:p>
    <w:p>
      <w:r>
        <w:rPr>
          <w:b/>
          <w:bCs/>
        </w:rPr>
        <w:t xml:space="preserve">Use Cases: </w:t>
      </w:r>
      <w:r>
        <w:t xml:space="preserve">FHE streaming, blockchain verification, IoT applications</w:t>
      </w:r>
    </w:p>
    <w:p>
      <w:pPr>
        <w:pStyle w:val="Heading1"/>
      </w:pPr>
      <w:r>
        <w:t xml:space="preserve">7. Security Considerations (NEW SECTION)</w:t>
      </w:r>
    </w:p>
    <w:p>
      <w:pPr>
        <w:pStyle w:val="Heading2"/>
      </w:pPr>
      <w:r>
        <w:t xml:space="preserve">7.1 Timing Attack Resistance</w:t>
      </w:r>
    </w:p>
    <w:p>
      <w:r>
        <w:t xml:space="preserve">CRTBigInt operations have data-independent timing properties:</w:t>
      </w:r>
    </w:p>
    <w:p>
      <w:pPr>
        <w:pStyle w:val="ListParagraph"/>
        <w:numPr>
          <w:ilvl w:val="0"/>
          <w:numId w:val="2"/>
        </w:numPr>
      </w:pPr>
      <w:r>
        <w:t xml:space="preserve">Lane operations process all residues uniformly (no early exit)</w:t>
      </w:r>
    </w:p>
    <w:p>
      <w:pPr>
        <w:pStyle w:val="ListParagraph"/>
        <w:numPr>
          <w:ilvl w:val="0"/>
          <w:numId w:val="2"/>
        </w:numPr>
      </w:pPr>
      <w:r>
        <w:t xml:space="preserve">Coprimality checks evaluate all conditions</w:t>
      </w:r>
    </w:p>
    <w:p>
      <w:pPr>
        <w:pStyle w:val="ListParagraph"/>
        <w:numPr>
          <w:ilvl w:val="0"/>
          <w:numId w:val="2"/>
        </w:numPr>
      </w:pPr>
      <w:r>
        <w:t xml:space="preserve">Constant-time reconstruction available via ct_crt_reconstruct()</w:t>
      </w:r>
    </w:p>
    <w:p>
      <w:pPr>
        <w:pStyle w:val="Heading2"/>
      </w:pPr>
      <w:r>
        <w:t xml:space="preserve">7.2 Prime Selection Security</w:t>
      </w:r>
    </w:p>
    <w:p>
      <w:r>
        <w:t xml:space="preserve">For cryptographic applications:</w:t>
      </w:r>
    </w:p>
    <w:p>
      <w:pPr>
        <w:pStyle w:val="ListParagraph"/>
        <w:numPr>
          <w:ilvl w:val="0"/>
          <w:numId w:val="2"/>
        </w:numPr>
      </w:pPr>
      <w:r>
        <w:t xml:space="preserve">Use cryptographically random prime selection when dynamic</w:t>
      </w:r>
    </w:p>
    <w:p>
      <w:pPr>
        <w:pStyle w:val="ListParagraph"/>
        <w:numPr>
          <w:ilvl w:val="0"/>
          <w:numId w:val="2"/>
        </w:numPr>
      </w:pPr>
      <w:r>
        <w:t xml:space="preserve">Avoid small primes that enable trial division attacks</w:t>
      </w:r>
    </w:p>
    <w:p>
      <w:pPr>
        <w:pStyle w:val="ListParagraph"/>
        <w:numPr>
          <w:ilvl w:val="0"/>
          <w:numId w:val="2"/>
        </w:numPr>
      </w:pPr>
      <w:r>
        <w:t xml:space="preserve">Standard configurations (96/128/180-bit) validated for 128-bit security</w:t>
      </w:r>
    </w:p>
    <w:p>
      <w:pPr>
        <w:pStyle w:val="Heading2"/>
      </w:pPr>
      <w:r>
        <w:t xml:space="preserve">7.3 Side-Channel Mitigation</w:t>
      </w:r>
    </w:p>
    <w:p>
      <w:r>
        <w:t xml:space="preserve">Integration with Shadow Entropy (Paper 3) provides:</w:t>
      </w:r>
    </w:p>
    <w:p>
      <w:pPr>
        <w:pStyle w:val="ListParagraph"/>
        <w:numPr>
          <w:ilvl w:val="0"/>
          <w:numId w:val="2"/>
        </w:numPr>
      </w:pPr>
      <w:r>
        <w:t xml:space="preserve">Input blinding for division operations</w:t>
      </w:r>
    </w:p>
    <w:p>
      <w:pPr>
        <w:pStyle w:val="ListParagraph"/>
        <w:numPr>
          <w:ilvl w:val="0"/>
          <w:numId w:val="2"/>
        </w:numPr>
      </w:pPr>
      <w:r>
        <w:t xml:space="preserve">Masked intermediate values</w:t>
      </w:r>
    </w:p>
    <w:p>
      <w:pPr>
        <w:pStyle w:val="ListParagraph"/>
        <w:numPr>
          <w:ilvl w:val="0"/>
          <w:numId w:val="2"/>
        </w:numPr>
      </w:pPr>
      <w:r>
        <w:t xml:space="preserve">5-10× faster than CSPRNG-based blinding</w:t>
      </w:r>
    </w:p>
    <w:p>
      <w:pPr>
        <w:pStyle w:val="Heading2"/>
      </w:pPr>
      <w:r>
        <w:t xml:space="preserve">7.4 Overflow Detection</w:t>
      </w:r>
    </w:p>
    <w:p>
      <w:r>
        <w:t xml:space="preserve">CRTBigInt detects overflow conditions:</w:t>
      </w:r>
    </w:p>
    <w:p>
      <w:pPr>
        <w:pStyle w:val="ListParagraph"/>
        <w:numPr>
          <w:ilvl w:val="0"/>
          <w:numId w:val="2"/>
        </w:numPr>
      </w:pPr>
      <w:r>
        <w:t xml:space="preserve">Reconstructed value exceeds product M</w:t>
      </w:r>
    </w:p>
    <w:p>
      <w:pPr>
        <w:pStyle w:val="ListParagraph"/>
        <w:numPr>
          <w:ilvl w:val="0"/>
          <w:numId w:val="2"/>
        </w:numPr>
      </w:pPr>
      <w:r>
        <w:t xml:space="preserve">Negative values in unsigned context</w:t>
      </w:r>
    </w:p>
    <w:p>
      <w:pPr>
        <w:pStyle w:val="ListParagraph"/>
        <w:numPr>
          <w:ilvl w:val="0"/>
          <w:numId w:val="2"/>
        </w:numPr>
      </w:pPr>
      <w:r>
        <w:t xml:space="preserve">Coprimality violations in modulus set</w:t>
      </w:r>
    </w:p>
    <w:p>
      <w:pPr>
        <w:pStyle w:val="Heading1"/>
      </w:pPr>
      <w:r>
        <w:t xml:space="preserve">6.2 FPD Integration (NEW SECTION)</w:t>
      </w:r>
    </w:p>
    <w:p>
      <w:r>
        <w:t xml:space="preserve">CRTBigInt provides the reconstruction backend for FPD (Coprime-Piggyback Division):</w:t>
      </w:r>
    </w:p>
    <w:p>
      <w:pPr>
        <w:spacing w:before="200"/>
      </w:pPr>
      <w:r>
        <w:rPr>
          <w:b/>
          <w:bCs/>
        </w:rPr>
        <w:t xml:space="preserve">1. Division Path: </w:t>
      </w:r>
      <w:r>
        <w:t xml:space="preserve">When direct modular inverse fails (gcd ≠ 1), FPD promotes computation to anchor rings where CRTBigInt provides exact reconstruction.</w:t>
      </w:r>
    </w:p>
    <w:p>
      <w:pPr>
        <w:spacing w:before="100"/>
      </w:pPr>
      <w:r>
        <w:rPr>
          <w:b/>
          <w:bCs/>
        </w:rPr>
        <w:t xml:space="preserve">2. Bi-Anchor Optimization: </w:t>
      </w:r>
      <w:r>
        <w:t xml:space="preserve">The bi_anchor_reconstruct() function achieves 5× speedup for FPD's common 2-anchor case.</w:t>
      </w:r>
    </w:p>
    <w:p>
      <w:pPr>
        <w:spacing w:before="100"/>
      </w:pPr>
      <w:r>
        <w:rPr>
          <w:b/>
          <w:bCs/>
        </w:rPr>
        <w:t xml:space="preserve">3. Provenance Preservation: </w:t>
      </w:r>
      <w:r>
        <w:t xml:space="preserve">ModResidue tracking integrates with CRTBigInt to maintain computational history across ring transitions.</w:t>
      </w:r>
    </w:p>
    <w:p>
      <w:pPr>
        <w:spacing w:before="200"/>
      </w:pPr>
      <w:r>
        <w:rPr>
          <w:b/>
          <w:bCs/>
        </w:rPr>
        <w:t xml:space="preserve">Reference Implementation: </w:t>
      </w:r>
      <w:r>
        <w:t xml:space="preserve">fpd_complete/src/crt_tower.rs (459 lines, 14 tests)</w:t>
      </w:r>
    </w:p>
    <w:p>
      <w:pPr>
        <w:pStyle w:val="Heading1"/>
      </w:pPr>
      <w:r>
        <w:t xml:space="preserve">Appendix A: Prime Configurations</w:t>
      </w:r>
    </w:p>
    <w:p>
      <w:pPr>
        <w:pStyle w:val="Heading2"/>
      </w:pPr>
      <w:r>
        <w:t xml:space="preserve">A.1 96-bit Configuration (3 primes)</w:t>
      </w:r>
    </w:p>
    <w:p>
      <w:pPr>
        <w:pStyle w:val="CodeStyle"/>
      </w:pPr>
      <w:r>
        <w:t xml:space="preserve">p₁ = 4294967291  (2³² - 5, largest 32-bit prime)</w:t>
      </w:r>
    </w:p>
    <w:p>
      <w:pPr>
        <w:pStyle w:val="CodeStyle"/>
      </w:pPr>
      <w:r>
        <w:t xml:space="preserve">p₂ = 4294967279  (2³² - 17)</w:t>
      </w:r>
    </w:p>
    <w:p>
      <w:pPr>
        <w:pStyle w:val="CodeStyle"/>
      </w:pPr>
      <w:r>
        <w:t xml:space="preserve">p₃ = 4294967231  (2³² - 65)</w:t>
      </w:r>
    </w:p>
    <w:p>
      <w:pPr>
        <w:pStyle w:val="CodeStyle"/>
      </w:pPr>
      <w:r>
        <w:t xml:space="preserve">M = p₁ × p₂ × p₃ ≈ 7.92 × 10²⁸</w:t>
      </w:r>
    </w:p>
    <w:p>
      <w:pPr>
        <w:pStyle w:val="Heading2"/>
      </w:pPr>
      <w:r>
        <w:t xml:space="preserve">A.2 128-bit Configuration (4 primes)</w:t>
      </w:r>
    </w:p>
    <w:p>
      <w:pPr>
        <w:pStyle w:val="CodeStyle"/>
      </w:pPr>
      <w:r>
        <w:t xml:space="preserve">p₁ = 4294967291  (2³² - 5)</w:t>
      </w:r>
    </w:p>
    <w:p>
      <w:pPr>
        <w:pStyle w:val="CodeStyle"/>
      </w:pPr>
      <w:r>
        <w:t xml:space="preserve">p₂ = 4294967279  (2³² - 17)</w:t>
      </w:r>
    </w:p>
    <w:p>
      <w:pPr>
        <w:pStyle w:val="CodeStyle"/>
      </w:pPr>
      <w:r>
        <w:t xml:space="preserve">p₃ = 4294967231  (2³² - 65)</w:t>
      </w:r>
    </w:p>
    <w:p>
      <w:pPr>
        <w:pStyle w:val="CodeStyle"/>
      </w:pPr>
      <w:r>
        <w:t xml:space="preserve">p₄ = 2147483647  (2³¹ - 1, Mersenne prime M₃₁)</w:t>
      </w:r>
    </w:p>
    <w:p>
      <w:pPr>
        <w:pStyle w:val="CodeStyle"/>
      </w:pPr>
      <w:r>
        <w:t xml:space="preserve">M = p₁ × p₂ × p₃ × p₄ ≈ 3.40 × 10³⁸</w:t>
      </w:r>
    </w:p>
    <w:p>
      <w:pPr>
        <w:pStyle w:val="Heading2"/>
      </w:pPr>
      <w:r>
        <w:t xml:space="preserve">A.3 Selection Rationale</w:t>
      </w:r>
    </w:p>
    <w:p>
      <w:pPr>
        <w:pStyle w:val="ListParagraph"/>
        <w:numPr>
          <w:ilvl w:val="0"/>
          <w:numId w:val="2"/>
        </w:numPr>
      </w:pPr>
      <w:r>
        <w:t xml:space="preserve">Near 2³² for efficient Barrett/Montgomery reduction</w:t>
      </w:r>
    </w:p>
    <w:p>
      <w:pPr>
        <w:pStyle w:val="ListParagraph"/>
        <w:numPr>
          <w:ilvl w:val="0"/>
          <w:numId w:val="2"/>
        </w:numPr>
      </w:pPr>
      <w:r>
        <w:t xml:space="preserve">Large gaps between primes ensure coprimality</w:t>
      </w:r>
    </w:p>
    <w:p>
      <w:pPr>
        <w:pStyle w:val="ListParagraph"/>
        <w:numPr>
          <w:ilvl w:val="0"/>
          <w:numId w:val="2"/>
        </w:numPr>
      </w:pPr>
      <w:r>
        <w:t xml:space="preserve">All odd primes for Montgomery multiplication compatibility</w:t>
      </w:r>
    </w:p>
    <w:p>
      <w:pPr>
        <w:pStyle w:val="ListParagraph"/>
        <w:numPr>
          <w:ilvl w:val="0"/>
          <w:numId w:val="2"/>
        </w:numPr>
      </w:pPr>
      <w:r>
        <w:t xml:space="preserve">Products fit in 128-bit for intermediate multiplication</w:t>
      </w:r>
    </w:p>
    <w:p>
      <w:pPr>
        <w:pStyle w:val="Heading1"/>
      </w:pPr>
      <w:r>
        <w:t xml:space="preserve">Summary of Additions</w:t>
      </w:r>
    </w:p>
    <w:p>
      <w:r>
        <w:t xml:space="preserve">This document provides the following new content for Paper 5: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5 Formal Theorems </w:t>
      </w:r>
      <w:r>
        <w:t xml:space="preserve">(2.1-2.5) with proof sketches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Bi-Anchor CRT Theorem </w:t>
      </w:r>
      <w:r>
        <w:t xml:space="preserve">(3.4) - Novel publishable contribution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IncrementalCRT Section </w:t>
      </w:r>
      <w:r>
        <w:t xml:space="preserve">(4.4) - Streaming reconstruction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 Section </w:t>
      </w:r>
      <w:r>
        <w:t xml:space="preserve">(7) - Timing attacks, side channels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FPD Integration </w:t>
      </w:r>
      <w:r>
        <w:t xml:space="preserve">(6.2) - Cross-reference to implementation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Prime Configurations </w:t>
      </w:r>
      <w:r>
        <w:t xml:space="preserve">(Appendix A) - Concrete values</w:t>
      </w:r>
    </w:p>
    <w:p>
      <w:pPr>
        <w:spacing w:before="300"/>
      </w:pPr>
      <w:r>
        <w:rPr>
          <w:b/>
          <w:bCs/>
        </w:rPr>
        <w:t xml:space="preserve">Estimated impact: </w:t>
      </w:r>
      <w:r>
        <w:t xml:space="preserve">Paper completeness increases from 45% to ~80%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TheoremStyle">
    <w:name w:val="Theorem"/>
    <w:basedOn w:val="Normal"/>
    <w:pPr>
      <w:spacing w:before="200" w:after="200"/>
      <w:ind w:left="720" w:right="720"/>
    </w:pPr>
    <w:rPr>
      <w:rFonts w:ascii="Times New Roman" w:cs="Times New Roman" w:eastAsia="Times New Roman" w:hAnsi="Times New Roman"/>
      <w:sz w:val="24"/>
      <w:szCs w:val="24"/>
    </w:rPr>
  </w:style>
  <w:style w:type="paragraph" w:styleId="ProofStyle">
    <w:name w:val="Proof"/>
    <w:basedOn w:val="Normal"/>
    <w:pPr>
      <w:spacing w:before="100" w:after="200"/>
      <w:ind w:left="720" w:right="720"/>
    </w:pPr>
    <w:rPr>
      <w:rFonts w:ascii="Times New Roman" w:cs="Times New Roman" w:eastAsia="Times New Roman" w:hAnsi="Times New Roman"/>
      <w:i/>
      <w:iCs/>
      <w:sz w:val="22"/>
      <w:szCs w:val="22"/>
    </w:rPr>
  </w:style>
  <w:style w:type="paragraph" w:styleId="CodeStyle">
    <w:name w:val="Code"/>
    <w:basedOn w:val="Normal"/>
    <w:pPr>
      <w:spacing w:before="100" w:after="100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2025-12-29T11:24:17.173Z</dcterms:created>
  <dcterms:modified xsi:type="dcterms:W3CDTF">2025-12-29T11:24:17.174Z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