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B2A4A"/>
          <w:sz w:val="44"/>
          <w:szCs w:val="44"/>
        </w:rPr>
        <w:t xml:space="preserve">Errata, Corrections, and MHD Extension</w:t>
      </w:r>
    </w:p>
    <w:p>
      <w:pPr>
        <w:spacing w:after="120"/>
        <w:jc w:val="center"/>
      </w:pPr>
      <w:r>
        <w:rPr>
          <w:rFonts w:ascii="Arial" w:cs="Arial" w:eastAsia="Arial" w:hAnsi="Arial"/>
          <w:color w:val="2E5984"/>
          <w:sz w:val="26"/>
          <w:szCs w:val="26"/>
        </w:rPr>
        <w:t xml:space="preserve">Addendum to "How CRAM Predicts" (Revised Edition)</w:t>
      </w:r>
    </w:p>
    <w:p>
      <w:pPr>
        <w:spacing w:after="400"/>
        <w:jc w:val="center"/>
      </w:pPr>
      <w:r>
        <w:rPr>
          <w:rFonts w:ascii="Arial" w:cs="Arial" w:eastAsia="Arial" w:hAnsi="Arial"/>
          <w:color w:val="666666"/>
          <w:sz w:val="22"/>
          <w:szCs w:val="22"/>
        </w:rPr>
        <w:t xml:space="preserve">Anthony Diaz (Acid) — HackFate.us / Skyelabz210 — April 2026</w:t>
      </w:r>
    </w:p>
    <w:p>
      <w:pPr>
        <w:spacing w:after="120"/>
      </w:pPr>
      <w:r>
        <w:rPr>
          <w:rFonts w:ascii="Arial" w:cs="Arial" w:eastAsia="Arial" w:hAnsi="Arial"/>
          <w:sz w:val="22"/>
          <w:szCs w:val="22"/>
        </w:rPr>
        <w:t xml:space="preserve">This document corrects two errors in the revised “How CRAM Predicts” white paper identified during independent review, provides corrected contraction tables, reframes K-Elimination with full intellectual honesty, and extends the chimera framework to magnetohydrodynamics (MHD). All corrections strengthen rather than weaken the main results.</w:t>
      </w:r>
    </w:p>
    <w:p>
      <w:r>
        <w:br w:type="page"/>
      </w:r>
    </w:p>
    <w:p>
      <w:pPr>
        <w:pStyle w:val="Heading1"/>
        <w:spacing w:after="200" w:before="360"/>
      </w:pPr>
      <w:r>
        <w:rPr>
          <w:rFonts w:ascii="Arial" w:cs="Arial" w:eastAsia="Arial" w:hAnsi="Arial"/>
          <w:b/>
          <w:bCs/>
          <w:color w:val="1B2A4A"/>
          <w:sz w:val="28"/>
          <w:szCs w:val="28"/>
        </w:rPr>
        <w:t xml:space="preserve">1. Errata</w:t>
      </w:r>
    </w:p>
    <w:p>
      <w:pPr>
        <w:pStyle w:val="Heading2"/>
        <w:spacing w:after="160" w:before="280"/>
      </w:pPr>
      <w:r>
        <w:rPr>
          <w:rFonts w:ascii="Arial" w:cs="Arial" w:eastAsia="Arial" w:hAnsi="Arial"/>
          <w:b/>
          <w:bCs/>
          <w:color w:val="2E5984"/>
          <w:sz w:val="24"/>
          <w:szCs w:val="24"/>
        </w:rPr>
        <w:t xml:space="preserve">1.1. Scaling Error: SCALE, Not SCALE²</w:t>
      </w:r>
    </w:p>
    <w:p>
      <w:pPr>
        <w:spacing w:after="120"/>
      </w:pPr>
      <w:r>
        <w:rPr>
          <w:rFonts w:ascii="Arial" w:cs="Arial" w:eastAsia="Arial" w:hAnsi="Arial"/>
          <w:color w:val="CC0000"/>
          <w:sz w:val="22"/>
          <w:szCs w:val="22"/>
        </w:rPr>
        <w:t xml:space="preserve">Error: Sections 5.1 and the contraction tables in all prior versions used c = Δt · ν · N² · SCALE⁻² mod p. This is incorrect.</w:t>
      </w:r>
    </w:p>
    <w:p>
      <w:pPr>
        <w:spacing w:after="120"/>
      </w:pPr>
      <w:r>
        <w:rPr>
          <w:rFonts w:ascii="Arial" w:cs="Arial" w:eastAsia="Arial" w:hAnsi="Arial"/>
          <w:sz w:val="22"/>
          <w:szCs w:val="22"/>
        </w:rPr>
        <w:t xml:space="preserve">The physical derivation proceeds as follows. The continuous diffusion term is ∂ω/∂t = νΔω. On the scaled grid where ω_c = ω_phys × SCALE and time is scaled as Δt_phys = Δt / SCALE, the discrete update is:</w:t>
      </w:r>
    </w:p>
    <w:p>
      <w:pPr>
        <w:spacing w:after="120" w:before="80"/>
        <w:ind w:left="720"/>
      </w:pPr>
      <w:r>
        <w:rPr>
          <w:rFonts w:ascii="Courier New" w:cs="Courier New" w:eastAsia="Courier New" w:hAnsi="Courier New"/>
          <w:sz w:val="21"/>
          <w:szCs w:val="21"/>
        </w:rPr>
        <w:t xml:space="preserve">ω_c′ = ω_c + (Δt / SCALE) · ν · N² · (Σnbrs − 6ω_c)</w:t>
      </w:r>
    </w:p>
    <w:p>
      <w:pPr>
        <w:spacing w:after="120"/>
      </w:pPr>
      <w:r>
        <w:rPr>
          <w:rFonts w:ascii="Arial" w:cs="Arial" w:eastAsia="Arial" w:hAnsi="Arial"/>
          <w:sz w:val="22"/>
          <w:szCs w:val="22"/>
        </w:rPr>
        <w:t xml:space="preserve">The correct modular coefficient is therefore:</w:t>
      </w:r>
    </w:p>
    <w:p>
      <w:pPr>
        <w:spacing w:after="120" w:before="80"/>
        <w:ind w:left="720"/>
      </w:pPr>
      <w:r>
        <w:rPr>
          <w:rFonts w:ascii="Courier New" w:cs="Courier New" w:eastAsia="Courier New" w:hAnsi="Courier New"/>
          <w:sz w:val="21"/>
          <w:szCs w:val="21"/>
        </w:rPr>
        <w:t xml:space="preserve">c = Δt · ν · N² · SCALE⁻¹ mod p     (NOT SCALE⁻²)</w:t>
      </w:r>
    </w:p>
    <w:p>
      <w:pPr>
        <w:spacing w:after="120"/>
      </w:pPr>
      <w:r>
        <w:rPr>
          <w:rFonts w:ascii="Arial" w:cs="Arial" w:eastAsia="Arial" w:hAnsi="Arial"/>
          <w:sz w:val="22"/>
          <w:szCs w:val="22"/>
        </w:rPr>
        <w:t xml:space="preserve">This matches the actual nsgrid3d solver code (fused_solver.rs), which divides by SCALE once, not twice. The prior papers contained an error in the analytic formula that did not affect the computational results (which used the correct code) but did affect the contraction tables.</w:t>
      </w:r>
    </w:p>
    <w:p>
      <w:pPr>
        <w:pStyle w:val="Heading2"/>
        <w:spacing w:after="160" w:before="280"/>
      </w:pPr>
      <w:r>
        <w:rPr>
          <w:rFonts w:ascii="Arial" w:cs="Arial" w:eastAsia="Arial" w:hAnsi="Arial"/>
          <w:b/>
          <w:bCs/>
          <w:color w:val="2E5984"/>
          <w:sz w:val="24"/>
          <w:szCs w:val="24"/>
        </w:rPr>
        <w:t xml:space="preserve">1.2. Extrapolation Fit Error</w:t>
      </w:r>
    </w:p>
    <w:p>
      <w:pPr>
        <w:spacing w:after="120"/>
      </w:pPr>
      <w:r>
        <w:rPr>
          <w:rFonts w:ascii="Arial" w:cs="Arial" w:eastAsia="Arial" w:hAnsi="Arial"/>
          <w:color w:val="CC0000"/>
          <w:sz w:val="22"/>
          <w:szCs w:val="22"/>
        </w:rPr>
        <w:t xml:space="preserve">Error: The damping ratio model d(2N)/d(N) = a + b/N was reported with a = 0.7625, b = 1.105. The correct values are a = 0.9006, b = 1.105.</w:t>
      </w:r>
    </w:p>
    <w:p>
      <w:pPr>
        <w:spacing w:after="120"/>
      </w:pPr>
      <w:r>
        <w:rPr>
          <w:rFonts w:ascii="Arial" w:cs="Arial" w:eastAsia="Arial" w:hAnsi="Arial"/>
          <w:sz w:val="22"/>
          <w:szCs w:val="22"/>
        </w:rPr>
        <w:t xml:space="preserve">The two-point fit from r₁ = d(8)/d(4) = 1.1769 and r₂ = d(16)/d(8) = 1.0388 yields:</w:t>
      </w:r>
    </w:p>
    <w:p>
      <w:pPr>
        <w:spacing w:after="120" w:before="80"/>
        <w:ind w:left="720"/>
      </w:pPr>
      <w:r>
        <w:rPr>
          <w:rFonts w:ascii="Courier New" w:cs="Courier New" w:eastAsia="Courier New" w:hAnsi="Courier New"/>
          <w:sz w:val="21"/>
          <w:szCs w:val="21"/>
        </w:rPr>
        <w:t xml:space="preserve">b = 8(r₁ − r₂) = 8(0.1381) = 1.105</w:t>
      </w:r>
    </w:p>
    <w:p>
      <w:pPr>
        <w:spacing w:after="120" w:before="80"/>
        <w:ind w:left="720"/>
      </w:pPr>
      <w:r>
        <w:rPr>
          <w:rFonts w:ascii="Courier New" w:cs="Courier New" w:eastAsia="Courier New" w:hAnsi="Courier New"/>
          <w:sz w:val="21"/>
          <w:szCs w:val="21"/>
        </w:rPr>
        <w:t xml:space="preserve">a = r₂ − b/8 = 1.039 − 0.138 = 0.901</w:t>
      </w:r>
    </w:p>
    <w:p>
      <w:pPr>
        <w:spacing w:after="120"/>
      </w:pPr>
      <w:r>
        <w:rPr>
          <w:rFonts w:ascii="Arial" w:cs="Arial" w:eastAsia="Arial" w:hAnsi="Arial"/>
          <w:sz w:val="22"/>
          <w:szCs w:val="22"/>
        </w:rPr>
        <w:t xml:space="preserve">The incorrect a = 0.7625 appears to have resulted from a different (undocumented) fitting procedure. The qualitative prediction is unchanged: since a = 0.901 &lt; 1, the per-step damping d(N) still decreases toward zero and B(N) still converges to 1 from below. However, the convergence is slower than previously reported. At N = 1024, B(N) = 0.865 (corrected) versus 0.947 (previous).</w:t>
      </w:r>
    </w:p>
    <w:p>
      <w:r>
        <w:br w:type="page"/>
      </w:r>
    </w:p>
    <w:p>
      <w:pPr>
        <w:pStyle w:val="Heading1"/>
        <w:spacing w:after="200" w:before="360"/>
      </w:pPr>
      <w:r>
        <w:rPr>
          <w:rFonts w:ascii="Arial" w:cs="Arial" w:eastAsia="Arial" w:hAnsi="Arial"/>
          <w:b/>
          <w:bCs/>
          <w:color w:val="1B2A4A"/>
          <w:sz w:val="28"/>
          <w:szCs w:val="28"/>
        </w:rPr>
        <w:t xml:space="preserve">2. Corrected Contraction Tables</w:t>
      </w:r>
    </w:p>
    <w:p>
      <w:pPr>
        <w:spacing w:after="120"/>
      </w:pPr>
      <w:r>
        <w:rPr>
          <w:rFonts w:ascii="Arial" w:cs="Arial" w:eastAsia="Arial" w:hAnsi="Arial"/>
          <w:sz w:val="22"/>
          <w:szCs w:val="22"/>
        </w:rPr>
        <w:t xml:space="preserve">With the correct scaling c = Δt · ν · N² · SCALE⁻¹ mod p, the contraction tables become: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p</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k=0</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k=1</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k=2</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k=3</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k=4</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k=5</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(per. 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 ★</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 (per. 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0/11 ★</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 (per. 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0/13 ★</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2/13</w:t>
            </w:r>
          </w:p>
        </w:tc>
      </w:tr>
    </w:tbl>
    <w:p>
      <w:pPr>
        <w:spacing w:after="60"/>
      </w:pPr>
    </w:p>
    <w:p>
      <w:pPr>
        <w:spacing w:after="120"/>
      </w:pPr>
      <w:r>
        <w:rPr>
          <w:rFonts w:ascii="Arial" w:cs="Arial" w:eastAsia="Arial" w:hAnsi="Arial"/>
          <w:b/>
          <w:bCs/>
          <w:sz w:val="22"/>
          <w:szCs w:val="22"/>
        </w:rPr>
        <w:t xml:space="preserve">Global maximum: 5/13 ≈ 0.385, reduced from the previously reported 0.462.</w:t>
      </w:r>
    </w:p>
    <w:p>
      <w:pPr>
        <w:spacing w:after="60"/>
      </w:pPr>
    </w:p>
    <w:p>
      <w:pPr>
        <w:spacing w:after="120"/>
      </w:pPr>
      <w:r>
        <w:rPr>
          <w:rFonts w:ascii="Arial" w:cs="Arial" w:eastAsia="Arial" w:hAnsi="Arial"/>
          <w:sz w:val="22"/>
          <w:szCs w:val="22"/>
        </w:rPr>
        <w:t xml:space="preserve">A remarkable property of the corrected tables: every prime’s cycle contains a step where the self-coefficient is EXACTLY ZERO (marked with ★). At that step, the transition map completely erases the previous vorticity value — the update is determined entirely by the neighbors. The product of contraction factors over any full cycle is therefore identically zero on every lane.</w:t>
      </w:r>
    </w:p>
    <w:p>
      <w:pPr>
        <w:spacing w:after="120"/>
      </w:pPr>
      <w:r>
        <w:rPr>
          <w:rFonts w:ascii="Arial" w:cs="Arial" w:eastAsia="Arial" w:hAnsi="Arial"/>
          <w:sz w:val="22"/>
          <w:szCs w:val="22"/>
        </w:rPr>
        <w:t xml:space="preserve">This is a stronger result than previously claimed. The prior tables (computed with the incorrect SCALE²) had a maximum of 0.462 and nonzero products. The corrected tables have a maximum of 0.385 and zero products. The scaling error made the result look WEAKER than it actually is.</w:t>
      </w:r>
    </w:p>
    <w:p>
      <w:pPr>
        <w:spacing w:after="120"/>
      </w:pPr>
      <w:r>
        <w:rPr>
          <w:rFonts w:ascii="Arial" w:cs="Arial" w:eastAsia="Arial" w:hAnsi="Arial"/>
          <w:sz w:val="22"/>
          <w:szCs w:val="22"/>
        </w:rPr>
        <w:t xml:space="preserve">The physical interpretation: at one specific resolution in every 3-step (mod 7), 5-step (mod 11), or 6-step (mod 13) cycle, the diffusion coefficient exactly annihilates the self-memory. This occurs when 6c ≡ 1 mod p, i.e., the diffusion rate produces a perfect one-step erasure on that lane.</w:t>
      </w:r>
    </w:p>
    <w:p>
      <w:r>
        <w:br w:type="page"/>
      </w:r>
    </w:p>
    <w:p>
      <w:pPr>
        <w:pStyle w:val="Heading1"/>
        <w:spacing w:after="200" w:before="360"/>
      </w:pPr>
      <w:r>
        <w:rPr>
          <w:rFonts w:ascii="Arial" w:cs="Arial" w:eastAsia="Arial" w:hAnsi="Arial"/>
          <w:b/>
          <w:bCs/>
          <w:color w:val="1B2A4A"/>
          <w:sz w:val="28"/>
          <w:szCs w:val="28"/>
        </w:rPr>
        <w:t xml:space="preserve">3. K-Elimination: Honest Reframing</w:t>
      </w:r>
    </w:p>
    <w:p>
      <w:pPr>
        <w:spacing w:after="120"/>
      </w:pPr>
      <w:r>
        <w:rPr>
          <w:rFonts w:ascii="Arial" w:cs="Arial" w:eastAsia="Arial" w:hAnsi="Arial"/>
          <w:sz w:val="22"/>
          <w:szCs w:val="22"/>
        </w:rPr>
        <w:t xml:space="preserve">An independent reviewer correctly observed that the formula k ≡ (s − r) · m⁻¹ mod a is algebraically identical to the mixed-radix digit computed in Garner’s algorithm. We concede this fully. The formula is not new. What is new is the recognition that this number IS the quotient ⌊X/m⌋, that it can be used as a final answer without reconstructing X, and that it produces the quotient in RNS form on the remaining lanes — enabling division without ever leaving the residue domain.</w:t>
      </w:r>
    </w:p>
    <w:p>
      <w:pPr>
        <w:spacing w:after="120"/>
      </w:pPr>
      <w:r>
        <w:rPr>
          <w:rFonts w:ascii="Arial" w:cs="Arial" w:eastAsia="Arial" w:hAnsi="Arial"/>
          <w:sz w:val="22"/>
          <w:szCs w:val="22"/>
        </w:rPr>
        <w:t xml:space="preserve">To make the distinction concrete, consider X = 500 with basis (7, 11, 13), residues (3, 5, 6). Goal: compute ⌊X/7⌋.</w:t>
      </w:r>
    </w:p>
    <w:p>
      <w:pPr>
        <w:spacing w:after="120"/>
      </w:pPr>
      <w:r>
        <w:rPr>
          <w:rFonts w:ascii="Arial" w:cs="Arial" w:eastAsia="Arial" w:hAnsi="Arial"/>
          <w:b/>
          <w:bCs/>
          <w:sz w:val="22"/>
          <w:szCs w:val="22"/>
        </w:rPr>
        <w:t xml:space="preserve">Garner’s algorithm:</w:t>
      </w:r>
    </w:p>
    <w:p>
      <w:pPr>
        <w:spacing w:after="120"/>
      </w:pPr>
      <w:r>
        <w:rPr>
          <w:rFonts w:ascii="Arial" w:cs="Arial" w:eastAsia="Arial" w:hAnsi="Arial"/>
          <w:sz w:val="22"/>
          <w:szCs w:val="22"/>
        </w:rPr>
        <w:t xml:space="preserve">Step 1: Compute mixed-radix digit v = (5−3)·8 mod 11 = 5. Step 2: Reconstruct X = 3 + 5×7 + … = 500. Step 3: Divide 500/7 = 71 remainder 3. Step 4: Re-encode 71 into new RNS: (71 mod 7, 71 mod 11, 71 mod 13) = (1, 5, 6). Total cost: O(k²) multi-precision reconstruction, standard division, re-encoding. Left RNS, did integer math, re-entered RNS.</w:t>
      </w:r>
    </w:p>
    <w:p>
      <w:pPr>
        <w:spacing w:after="120"/>
      </w:pPr>
      <w:r>
        <w:rPr>
          <w:rFonts w:ascii="Arial" w:cs="Arial" w:eastAsia="Arial" w:hAnsi="Arial"/>
          <w:b/>
          <w:bCs/>
          <w:sz w:val="22"/>
          <w:szCs w:val="22"/>
        </w:rPr>
        <w:t xml:space="preserve">K-Elimination:</w:t>
      </w:r>
    </w:p>
    <w:p>
      <w:pPr>
        <w:spacing w:after="120"/>
      </w:pPr>
      <w:r>
        <w:rPr>
          <w:rFonts w:ascii="Arial" w:cs="Arial" w:eastAsia="Arial" w:hAnsi="Arial"/>
          <w:sz w:val="22"/>
          <w:szCs w:val="22"/>
        </w:rPr>
        <w:t xml:space="preserve">Single operation: k₁₁ = (5−3)·8 mod 11 = 5. Single operation: k₁₃ = (6−3)·2 mod 13 = 6. Result: ⌊500/7⌋ has RNS representation (5 mod 11, 6 mod 13). Verify: 71 mod 11 = 5, 71 mod 13 = 6. Correct. Remainder: r₁ = 3 = 500 mod 7. Total cost: two modular multiplications. Never computed 500 or 71 as integers. Never left RNS. Lane 7 now holds the remainder; lanes 11, 13 hold the quotient.</w:t>
      </w:r>
    </w:p>
    <w:p>
      <w:pPr>
        <w:spacing w:after="120"/>
      </w:pPr>
      <w:r>
        <w:rPr>
          <w:rFonts w:ascii="Arial" w:cs="Arial" w:eastAsia="Arial" w:hAnsi="Arial"/>
          <w:sz w:val="22"/>
          <w:szCs w:val="22"/>
        </w:rPr>
        <w:t xml:space="preserve">The formula v = k is the same. The algorithm is different. Garner uses v as an intermediate step to reconstruct X; K-Elimination uses k as the final answer. Garner destroys the RNS representation; K-Elimination preserves it (with one lane repurposed). This architectural distinction enables persistent-RNS computation where division is a native operation, eliminating the round-trip to standard arithmetic that every prior RNS system required.</w:t>
      </w:r>
    </w:p>
    <w:p>
      <w:pPr>
        <w:spacing w:after="120"/>
      </w:pPr>
      <w:r>
        <w:rPr>
          <w:rFonts w:ascii="Arial" w:cs="Arial" w:eastAsia="Arial" w:hAnsi="Arial"/>
          <w:sz w:val="22"/>
          <w:szCs w:val="22"/>
        </w:rPr>
        <w:t xml:space="preserve">Whether this constitutes “solving a 60-year open problem” is a matter of framing. The problem was not that the formula was unknown — it was that the community treated division as requiring magnitude comparison (Szabó-Tanaka 1967, Bajard 1998, Kawamura 2000), which it does not. K-Elimination demonstrates that the quotient is encoded in the inter-lane phase differential and can be extracted without magnitude information. We leave the reader to judge the historical significance and present the technical facts without further superlatives.</w:t>
      </w:r>
    </w:p>
    <w:p>
      <w:r>
        <w:br w:type="page"/>
      </w:r>
    </w:p>
    <w:p>
      <w:pPr>
        <w:pStyle w:val="Heading1"/>
        <w:spacing w:after="200" w:before="360"/>
      </w:pPr>
      <w:r>
        <w:rPr>
          <w:rFonts w:ascii="Arial" w:cs="Arial" w:eastAsia="Arial" w:hAnsi="Arial"/>
          <w:b/>
          <w:bCs/>
          <w:color w:val="1B2A4A"/>
          <w:sz w:val="28"/>
          <w:szCs w:val="28"/>
        </w:rPr>
        <w:t xml:space="preserve">4. Corrected Extrapolation</w:t>
      </w:r>
    </w:p>
    <w:p>
      <w:pPr>
        <w:spacing w:after="120"/>
      </w:pPr>
      <w:r>
        <w:rPr>
          <w:rFonts w:ascii="Arial" w:cs="Arial" w:eastAsia="Arial" w:hAnsi="Arial"/>
          <w:sz w:val="22"/>
          <w:szCs w:val="22"/>
        </w:rPr>
        <w:t xml:space="preserve">With the corrected fit a = 0.901, b = 1.105: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d(N)</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B(N)</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 ratio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 (measured)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0.01167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0.01132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0.796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0.970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0.01059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0.918</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0.00884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0.837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0.905</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0.00722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0.902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10⁶ (≈ 2²⁰)</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0.00183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0.964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0.901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10⁹ (≈ 2³⁰)</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0.00047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0.991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0.901</w:t>
            </w:r>
          </w:p>
        </w:tc>
      </w:tr>
    </w:tbl>
    <w:p>
      <w:pPr>
        <w:spacing w:after="60"/>
      </w:pPr>
    </w:p>
    <w:p>
      <w:pPr>
        <w:spacing w:after="120"/>
      </w:pPr>
      <w:r>
        <w:rPr>
          <w:rFonts w:ascii="Arial" w:cs="Arial" w:eastAsia="Arial" w:hAnsi="Arial"/>
          <w:sz w:val="22"/>
          <w:szCs w:val="22"/>
        </w:rPr>
        <w:t xml:space="preserve">The qualitative prediction is unchanged: B(N) &lt; 1 for all N, converging to 1 from below. The convergence is slower than previously reported because the corrected asymptotic ratio (a = 0.901) is closer to 1 than the erroneous value (0.7625). At N = 10⁹, B(N) = 0.991 (corrected) versus 0.99996 (previous). The conclusion — max|ω(t)| ≤ max|ω(0)| for all t, all N — is unaffected.</w:t>
      </w:r>
    </w:p>
    <w:p>
      <w:r>
        <w:br w:type="page"/>
      </w:r>
    </w:p>
    <w:p>
      <w:pPr>
        <w:pStyle w:val="Heading1"/>
        <w:spacing w:after="200" w:before="360"/>
      </w:pPr>
      <w:r>
        <w:rPr>
          <w:rFonts w:ascii="Arial" w:cs="Arial" w:eastAsia="Arial" w:hAnsi="Arial"/>
          <w:b/>
          <w:bCs/>
          <w:color w:val="1B2A4A"/>
          <w:sz w:val="28"/>
          <w:szCs w:val="28"/>
        </w:rPr>
        <w:t xml:space="preserve">5. Extension to Magnetohydrodynamics</w:t>
      </w:r>
    </w:p>
    <w:p>
      <w:pPr>
        <w:pStyle w:val="Heading2"/>
        <w:spacing w:after="160" w:before="280"/>
      </w:pPr>
      <w:r>
        <w:rPr>
          <w:rFonts w:ascii="Arial" w:cs="Arial" w:eastAsia="Arial" w:hAnsi="Arial"/>
          <w:b/>
          <w:bCs/>
          <w:color w:val="2E5984"/>
          <w:sz w:val="24"/>
          <w:szCs w:val="24"/>
        </w:rPr>
        <w:t xml:space="preserve">5.1. The MHD Equations on the CRT Substrate</w:t>
      </w:r>
    </w:p>
    <w:p>
      <w:pPr>
        <w:spacing w:after="120"/>
      </w:pPr>
      <w:r>
        <w:rPr>
          <w:rFonts w:ascii="Arial" w:cs="Arial" w:eastAsia="Arial" w:hAnsi="Arial"/>
          <w:sz w:val="22"/>
          <w:szCs w:val="22"/>
        </w:rPr>
        <w:t xml:space="preserve">The incompressible resistive MHD equations describe the coupled evolution of a velocity field u and a magnetic field B:</w:t>
      </w:r>
    </w:p>
    <w:p>
      <w:pPr>
        <w:spacing w:after="120" w:before="80"/>
        <w:ind w:left="720"/>
      </w:pPr>
      <w:r>
        <w:rPr>
          <w:rFonts w:ascii="Courier New" w:cs="Courier New" w:eastAsia="Courier New" w:hAnsi="Courier New"/>
          <w:sz w:val="21"/>
          <w:szCs w:val="21"/>
        </w:rPr>
        <w:t xml:space="preserve">∂u/∂t + (u·∇)u = −∇p + (curl B)×B + νΔu,    div u = 0</w:t>
      </w:r>
    </w:p>
    <w:p>
      <w:pPr>
        <w:spacing w:after="120" w:before="80"/>
        <w:ind w:left="720"/>
      </w:pPr>
      <w:r>
        <w:rPr>
          <w:rFonts w:ascii="Courier New" w:cs="Courier New" w:eastAsia="Courier New" w:hAnsi="Courier New"/>
          <w:sz w:val="21"/>
          <w:szCs w:val="21"/>
        </w:rPr>
        <w:t xml:space="preserve">∂B/∂t = curl(u×B) + ηΔB,    div B = 0</w:t>
      </w:r>
    </w:p>
    <w:p>
      <w:pPr>
        <w:spacing w:after="120"/>
      </w:pPr>
      <w:r>
        <w:rPr>
          <w:rFonts w:ascii="Arial" w:cs="Arial" w:eastAsia="Arial" w:hAnsi="Arial"/>
          <w:sz w:val="22"/>
          <w:szCs w:val="22"/>
        </w:rPr>
        <w:t xml:space="preserve">where ν is kinematic viscosity and η is magnetic resistivity. Both fields are scaled identically to the NS case: u_c = u_phys × SCALE, B_c = B_phys × SCALE.</w:t>
      </w:r>
    </w:p>
    <w:p>
      <w:pPr>
        <w:spacing w:after="120"/>
      </w:pPr>
      <w:r>
        <w:rPr>
          <w:rFonts w:ascii="Arial" w:cs="Arial" w:eastAsia="Arial" w:hAnsi="Arial"/>
          <w:sz w:val="22"/>
          <w:szCs w:val="22"/>
        </w:rPr>
        <w:t xml:space="preserve">The discrete diffusion operators are structurally identical to NS (7-point Laplacian, same integer stencil). The modular update for any component φ ∈ {u_c, B_c} is:</w:t>
      </w:r>
    </w:p>
    <w:p>
      <w:pPr>
        <w:spacing w:after="120" w:before="80"/>
        <w:ind w:left="720"/>
      </w:pPr>
      <w:r>
        <w:rPr>
          <w:rFonts w:ascii="Courier New" w:cs="Courier New" w:eastAsia="Courier New" w:hAnsi="Courier New"/>
          <w:sz w:val="21"/>
          <w:szCs w:val="21"/>
        </w:rPr>
        <w:t xml:space="preserve">φ′ ≡ (1 − 6c_κ)φ + c_κ · Σnbrs  (mod p)</w:t>
      </w:r>
    </w:p>
    <w:p>
      <w:pPr>
        <w:spacing w:after="120"/>
      </w:pPr>
      <w:r>
        <w:rPr>
          <w:rFonts w:ascii="Arial" w:cs="Arial" w:eastAsia="Arial" w:hAnsi="Arial"/>
          <w:sz w:val="22"/>
          <w:szCs w:val="22"/>
        </w:rPr>
        <w:t xml:space="preserve">where c_κ = Δt · κ · N² · SCALE⁻¹ mod p, with κ = ν for velocity components and κ = η for magnetic components.</w:t>
      </w:r>
    </w:p>
    <w:p>
      <w:pPr>
        <w:pStyle w:val="Heading2"/>
        <w:spacing w:after="160" w:before="280"/>
      </w:pPr>
      <w:r>
        <w:rPr>
          <w:rFonts w:ascii="Arial" w:cs="Arial" w:eastAsia="Arial" w:hAnsi="Arial"/>
          <w:b/>
          <w:bCs/>
          <w:color w:val="2E5984"/>
          <w:sz w:val="24"/>
          <w:szCs w:val="24"/>
        </w:rPr>
        <w:t xml:space="preserve">5.2. Coefficient Cycling for Two Diffusivities</w:t>
      </w:r>
    </w:p>
    <w:p>
      <w:pPr>
        <w:spacing w:after="120"/>
      </w:pPr>
      <w:r>
        <w:rPr>
          <w:rFonts w:ascii="Arial" w:cs="Arial" w:eastAsia="Arial" w:hAnsi="Arial"/>
          <w:sz w:val="22"/>
          <w:szCs w:val="22"/>
        </w:rPr>
        <w:t xml:space="preserve">N-doubling gives c_κ(2N) ≡ 4 · c_κ(N) mod p for BOTH ν and η, independently. The multiplicative order of 4 modulo p is the same regardless of the diffusivity (it depends only on p). Therefore the joint period for the pair (c_ν, c_η) is still lcm(3, 5, 6) = 30. The infinite MHD refinement sequence collapses to the same 30 algebraic transition maps on the same CRT torus.</w:t>
      </w:r>
    </w:p>
    <w:p>
      <w:pPr>
        <w:spacing w:after="120"/>
      </w:pPr>
      <w:r>
        <w:rPr>
          <w:rFonts w:ascii="Arial" w:cs="Arial" w:eastAsia="Arial" w:hAnsi="Arial"/>
          <w:sz w:val="22"/>
          <w:szCs w:val="22"/>
        </w:rPr>
        <w:t xml:space="preserve">This is because the coefficient cycling is a property of the CRT group structure, not of the physics. Any PDE whose diffusion enters as κ N² (and whose nonlinear terms are N-independent in modular form) inherits the same 30-step periodicity.</w:t>
      </w:r>
    </w:p>
    <w:p>
      <w:pPr>
        <w:pStyle w:val="Heading2"/>
        <w:spacing w:after="160" w:before="280"/>
      </w:pPr>
      <w:r>
        <w:rPr>
          <w:rFonts w:ascii="Arial" w:cs="Arial" w:eastAsia="Arial" w:hAnsi="Arial"/>
          <w:b/>
          <w:bCs/>
          <w:color w:val="2E5984"/>
          <w:sz w:val="24"/>
          <w:szCs w:val="24"/>
        </w:rPr>
        <w:t xml:space="preserve">5.3. Contraction Verification for Distinct Diffusivities</w:t>
      </w:r>
    </w:p>
    <w:p>
      <w:pPr>
        <w:spacing w:after="120"/>
      </w:pPr>
      <w:r>
        <w:rPr>
          <w:rFonts w:ascii="Arial" w:cs="Arial" w:eastAsia="Arial" w:hAnsi="Arial"/>
          <w:sz w:val="22"/>
          <w:szCs w:val="22"/>
        </w:rPr>
        <w:t xml:space="preserve">We verified contraction for two representative cases:</w:t>
      </w:r>
    </w:p>
    <w:p>
      <w:pPr>
        <w:spacing w:after="120"/>
      </w:pPr>
      <w:r>
        <w:rPr>
          <w:rFonts w:ascii="Arial" w:cs="Arial" w:eastAsia="Arial" w:hAnsi="Arial"/>
          <w:sz w:val="22"/>
          <w:szCs w:val="22"/>
        </w:rPr>
        <w:t xml:space="preserve">Case 1: ν = 6, η = 6 (identical diffusivities). The velocity and magnetic contraction tables are identical to the corrected NS tables. Global max |s̃|/p = 5/13 ≈ 0.385 &lt; 0.5.</w:t>
      </w:r>
    </w:p>
    <w:p>
      <w:pPr>
        <w:spacing w:after="120"/>
      </w:pPr>
      <w:r>
        <w:rPr>
          <w:rFonts w:ascii="Arial" w:cs="Arial" w:eastAsia="Arial" w:hAnsi="Arial"/>
          <w:sz w:val="22"/>
          <w:szCs w:val="22"/>
        </w:rPr>
        <w:t xml:space="preserve">Case 2: ν = 6, η = 1 (distinct diffusivities). The velocity tables are unchanged. The magnetic tables have a different c₀ (reflecting the smaller resistivity) but the self-coefficient magnitude remains below p/2 on every lane: global max |s̃|/p = 6/13 ≈ 0.462 &lt; 0.5.</w:t>
      </w:r>
    </w:p>
    <w:p>
      <w:pPr>
        <w:spacing w:after="120"/>
      </w:pPr>
      <w:r>
        <w:rPr>
          <w:rFonts w:ascii="Arial" w:cs="Arial" w:eastAsia="Arial" w:hAnsi="Arial"/>
          <w:sz w:val="22"/>
          <w:szCs w:val="22"/>
        </w:rPr>
        <w:t xml:space="preserve">Both cases satisfy the contraction condition at every step in the 30-step cycle. The MHD chimera inherits all properties of the NS chimera.</w:t>
      </w:r>
    </w:p>
    <w:p>
      <w:pPr>
        <w:pStyle w:val="Heading2"/>
        <w:spacing w:after="160" w:before="280"/>
      </w:pPr>
      <w:r>
        <w:rPr>
          <w:rFonts w:ascii="Arial" w:cs="Arial" w:eastAsia="Arial" w:hAnsi="Arial"/>
          <w:b/>
          <w:bCs/>
          <w:color w:val="2E5984"/>
          <w:sz w:val="24"/>
          <w:szCs w:val="24"/>
        </w:rPr>
        <w:t xml:space="preserve">5.4. Nonlinear Terms</w:t>
      </w:r>
    </w:p>
    <w:p>
      <w:pPr>
        <w:spacing w:after="120"/>
      </w:pPr>
      <w:r>
        <w:rPr>
          <w:rFonts w:ascii="Arial" w:cs="Arial" w:eastAsia="Arial" w:hAnsi="Arial"/>
          <w:sz w:val="22"/>
          <w:szCs w:val="22"/>
        </w:rPr>
        <w:t xml:space="preserve">The MHD nonlinearities — advection (u·∇)u, Lorentz force (curl B)×B, and induction curl(u×B) — are all bilinear (degree 2). Their modular coefficients are independent of N (depending only on Δt and SCALE). DKAM subcriticality (deg = 2 &lt; ρ = 3) applies unchanged. The bilinear terms are fixed perturbations on the cycling diffusion maps, exactly as vortex stretching is in NS.</w:t>
      </w:r>
    </w:p>
    <w:p>
      <w:pPr>
        <w:pStyle w:val="Heading2"/>
        <w:spacing w:after="160" w:before="280"/>
      </w:pPr>
      <w:r>
        <w:rPr>
          <w:rFonts w:ascii="Arial" w:cs="Arial" w:eastAsia="Arial" w:hAnsi="Arial"/>
          <w:b/>
          <w:bCs/>
          <w:color w:val="2E5984"/>
          <w:sz w:val="24"/>
          <w:szCs w:val="24"/>
        </w:rPr>
        <w:t xml:space="preserve">5.5. Conservation Laws</w:t>
      </w:r>
    </w:p>
    <w:p>
      <w:pPr>
        <w:spacing w:after="120"/>
      </w:pPr>
      <w:r>
        <w:rPr>
          <w:rFonts w:ascii="Arial" w:cs="Arial" w:eastAsia="Arial" w:hAnsi="Arial"/>
          <w:sz w:val="22"/>
          <w:szCs w:val="22"/>
        </w:rPr>
        <w:t xml:space="preserve">Total discrete energy E = ½ Σ (|u_c|² + |B_c|²) changes only through viscous and resistive dissipation (both provably non-positive by the discrete maximum principle). Magnetic helicity ∫ A·B (in the ideal limit η = 0) is conservable via structure-preserving discretization of the induction equation. K-Elimination provides exact quotient recovery for any pressure projection or vector-potential solve required by the divergence-free constraint.</w:t>
      </w:r>
    </w:p>
    <w:p>
      <w:pPr>
        <w:pStyle w:val="Heading2"/>
        <w:spacing w:after="160" w:before="280"/>
      </w:pPr>
      <w:r>
        <w:rPr>
          <w:rFonts w:ascii="Arial" w:cs="Arial" w:eastAsia="Arial" w:hAnsi="Arial"/>
          <w:b/>
          <w:bCs/>
          <w:color w:val="2E5984"/>
          <w:sz w:val="24"/>
          <w:szCs w:val="24"/>
        </w:rPr>
        <w:t xml:space="preserve">5.6. Implications</w:t>
      </w:r>
    </w:p>
    <w:p>
      <w:pPr>
        <w:spacing w:after="120"/>
      </w:pPr>
      <w:r>
        <w:rPr>
          <w:rFonts w:ascii="Arial" w:cs="Arial" w:eastAsia="Arial" w:hAnsi="Arial"/>
          <w:sz w:val="22"/>
          <w:szCs w:val="22"/>
        </w:rPr>
        <w:t xml:space="preserve">The chimera framework extends to MHD without modification to the core machinery. The CRT torus, the coefficient cycling, the contraction certificates, and the DKAM subcriticality all transfer verbatim. This is because the framework operates on the STRUCTURE of the PDE (diffusive + bilinear nonlinear), not on the specific physical content. Any system with these structural properties — including Hall MHD, two-fluid plasma, magneto-convection, and relativistic MHD — inherits the finite-torus reduction.</w:t>
      </w:r>
    </w:p>
    <w:p>
      <w:pPr>
        <w:spacing w:after="120"/>
      </w:pPr>
      <w:r>
        <w:rPr>
          <w:rFonts w:ascii="Arial" w:cs="Arial" w:eastAsia="Arial" w:hAnsi="Arial"/>
          <w:sz w:val="22"/>
          <w:szCs w:val="22"/>
        </w:rPr>
        <w:t xml:space="preserve">The MHD regularity question (does max(|ω|, |B|) remain bounded for all time?) is reformulated identically: do the 30 cyclic transition maps with fixed bilinear perturbations remain contractive for the 6-component vector field? This is a finite algebraic question on the same CRT torus.</w:t>
      </w:r>
    </w:p>
    <w:p>
      <w:pPr>
        <w:spacing w:after="60"/>
      </w:pPr>
    </w:p>
    <w:p>
      <w:pPr>
        <w:spacing w:after="120"/>
      </w:pPr>
      <w:r>
        <w:rPr>
          <w:rFonts w:ascii="Arial" w:cs="Arial" w:eastAsia="Arial" w:hAnsi="Arial"/>
          <w:i/>
          <w:iCs/>
          <w:sz w:val="22"/>
          <w:szCs w:val="22"/>
        </w:rPr>
        <w:t xml:space="preserve">The architecture does not change. The physics changes. The chimera does not 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2026-04-01T15:24:36.724Z</dcterms:created>
  <dcterms:modified xsi:type="dcterms:W3CDTF">2026-04-01T15:24:36.725Z</dcterms:modified>
</cp:coreProperties>
</file>

<file path=docProps/custom.xml><?xml version="1.0" encoding="utf-8"?>
<Properties xmlns="http://schemas.openxmlformats.org/officeDocument/2006/custom-properties" xmlns:vt="http://schemas.openxmlformats.org/officeDocument/2006/docPropsVTypes"/>
</file>