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val="0"/>
      </w:pPr>
      <w:r>
        <w:t>Aegis-Intent 开发分工文档</w:t>
      </w:r>
    </w:p>
    <w:p>
      <w:pPr>
        <w:pStyle w:val="Subtitle"/>
        <w:keepLines w:val="0"/>
      </w:pPr>
      <w:r>
        <w:t>中国国际大学生创新大赛 · 1558方向 · 共通底座之后的实施计划</w:t>
      </w:r>
    </w:p>
    <w:p>
      <w:pPr>
        <w:pStyle w:val="Meta"/>
        <w:keepLines w:val="0"/>
      </w:pPr>
      <w:r>
        <w:t>计划区间：2026年9月28日—10月31日｜10月15日晚形成现场展示版，10月16日完成拷贝与现场复核；其余日期为内部计划日期，最终提交截止以正式通知为准</w:t>
      </w:r>
    </w:p>
    <w:p>
      <w:pPr>
        <w:pStyle w:val="Heading1"/>
      </w:pPr>
      <w:r>
        <w:t>创新大赛要完成的全部内容</w:t>
      </w:r>
    </w:p>
    <w:p>
      <w:pPr>
        <w:keepLines w:val="0"/>
      </w:pPr>
      <w:r>
        <w:t>作品定位：Aegis-Intent——基于可信任务契约与行为序列的轻量化意图偏移检测和动态纠偏系统。核心问题是“当前行为是否仍服务于用户认可的目标，以及偏离后怎样安全恢复”。最终作品由完整共通底座、意图检测与纠偏模块、测试与轻量化结果、面向命题场景的解决方案及展示材料构成。</w:t>
      </w:r>
    </w:p>
    <w:p>
      <w:pPr>
        <w:keepLines w:val="0"/>
      </w:pPr>
      <w:r>
        <w:t>本计划以你此前整理的1558要求为依据，不把未核实的赛题细则或内部日期写成官方要求。已有Aegis能力按实际代码验收；本文不表示代码已经完成或实验结果已经得到。</w:t>
      </w:r>
    </w:p>
    <w:p>
      <w:pPr>
        <w:pStyle w:val="Heading2"/>
      </w:pPr>
      <w:r>
        <w:t>C1—C7：完整继承的共通内容</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FD7E2"/>
          <w:left w:val="single" w:sz="4" w:color="CFD7E2"/>
          <w:bottom w:val="single" w:sz="4" w:color="CFD7E2"/>
          <w:right w:val="single" w:sz="4" w:color="CFD7E2"/>
          <w:insideH w:val="single" w:sz="4" w:color="CFD7E2"/>
          <w:insideV w:val="single" w:sz="4" w:color="CFD7E2"/>
        </w:tblBorders>
      </w:tblPr>
      <w:tblGrid>
        <w:gridCol w:w="850"/>
        <w:gridCol w:w="8510"/>
      </w:tblGrid>
      <w:tr>
        <w:trPr>
          <w:cantSplit/>
          <w:tblHeader/>
        </w:trPr>
        <w:tc>
          <w:tcPr>
            <w:tcW w:type="dxa" w:w="850"/>
            <w:shd w:fill="E8EEF5"/>
          </w:tcPr>
          <w:p>
            <w:r>
              <w:t>编号</w:t>
            </w:r>
          </w:p>
        </w:tc>
        <w:tc>
          <w:tcPr>
            <w:tcW w:type="dxa" w:w="8510"/>
            <w:shd w:fill="E8EEF5"/>
          </w:tcPr>
          <w:p>
            <w:r>
              <w:t>必须具备的内容</w:t>
            </w:r>
          </w:p>
        </w:tc>
      </w:tr>
      <w:tr>
        <w:trPr>
          <w:cantSplit/>
        </w:trPr>
        <w:tc>
          <w:tcPr>
            <w:tcW w:type="dxa" w:w="850"/>
          </w:tcPr>
          <w:p>
            <w:r>
              <w:t>C1</w:t>
            </w:r>
          </w:p>
        </w:tc>
        <w:tc>
          <w:tcPr>
            <w:tcW w:type="dxa" w:w="8510"/>
          </w:tcPr>
          <w:p>
            <w:r>
              <w:t>基线版本、已知限制、回归测试、信任边界与网关覆盖核查。</w:t>
            </w:r>
          </w:p>
        </w:tc>
      </w:tr>
      <w:tr>
        <w:trPr>
          <w:cantSplit/>
        </w:trPr>
        <w:tc>
          <w:tcPr>
            <w:tcW w:type="dxa" w:w="850"/>
          </w:tcPr>
          <w:p>
            <w:r>
              <w:t>C2</w:t>
            </w:r>
          </w:p>
        </w:tc>
        <w:tc>
          <w:tcPr>
            <w:tcW w:type="dxa" w:w="8510"/>
          </w:tcPr>
          <w:p>
            <w:r>
              <w:t>TaskContract 2.0：原始请求、目标、资源、权限、完成条件、可信确认与版本历史。</w:t>
            </w:r>
          </w:p>
        </w:tc>
      </w:tr>
      <w:tr>
        <w:trPr>
          <w:cantSplit/>
        </w:trPr>
        <w:tc>
          <w:tcPr>
            <w:tcW w:type="dxa" w:w="850"/>
          </w:tcPr>
          <w:p>
            <w:r>
              <w:t>C3</w:t>
            </w:r>
          </w:p>
        </w:tc>
        <w:tc>
          <w:tcPr>
            <w:tcW w:type="dxa" w:w="8510"/>
          </w:tcPr>
          <w:p>
            <w:r>
              <w:t>Skill—Tool—Resource权限模型；用户、Skill、契约和策略四者权限交集。</w:t>
            </w:r>
          </w:p>
        </w:tc>
      </w:tr>
      <w:tr>
        <w:trPr>
          <w:cantSplit/>
        </w:trPr>
        <w:tc>
          <w:tcPr>
            <w:tcW w:type="dxa" w:w="850"/>
          </w:tcPr>
          <w:p>
            <w:r>
              <w:t>C4</w:t>
            </w:r>
          </w:p>
        </w:tc>
        <w:tc>
          <w:tcPr>
            <w:tcW w:type="dxa" w:w="8510"/>
          </w:tcPr>
          <w:p>
            <w:r>
              <w:t>统一网关与决策；文件、Memory、受限执行适配器；确认和执行前阻断。</w:t>
            </w:r>
          </w:p>
        </w:tc>
      </w:tr>
      <w:tr>
        <w:trPr>
          <w:cantSplit/>
        </w:trPr>
        <w:tc>
          <w:tcPr>
            <w:tcW w:type="dxa" w:w="850"/>
          </w:tcPr>
          <w:p>
            <w:r>
              <w:t>C5</w:t>
            </w:r>
          </w:p>
        </w:tc>
        <w:tc>
          <w:tcPr>
            <w:tcW w:type="dxa" w:w="8510"/>
          </w:tcPr>
          <w:p>
            <w:r>
              <w:t>统一事件、来源引用、执行状态、失败／取消／回滚和任务顺序重建。</w:t>
            </w:r>
          </w:p>
        </w:tc>
      </w:tr>
      <w:tr>
        <w:trPr>
          <w:cantSplit/>
        </w:trPr>
        <w:tc>
          <w:tcPr>
            <w:tcW w:type="dxa" w:w="850"/>
          </w:tcPr>
          <w:p>
            <w:r>
              <w:t>C6</w:t>
            </w:r>
          </w:p>
        </w:tc>
        <w:tc>
          <w:tcPr>
            <w:tcW w:type="dxa" w:w="8510"/>
          </w:tcPr>
          <w:p>
            <w:r>
              <w:t>规范化摘要、真实签名验签、关键状态绑定、哈希链、外部检查点和独立验证器。</w:t>
            </w:r>
          </w:p>
        </w:tc>
      </w:tr>
      <w:tr>
        <w:trPr>
          <w:cantSplit/>
        </w:trPr>
        <w:tc>
          <w:tcPr>
            <w:tcW w:type="dxa" w:w="850"/>
          </w:tcPr>
          <w:p>
            <w:r>
              <w:t>C7</w:t>
            </w:r>
          </w:p>
        </w:tc>
        <w:tc>
          <w:tcPr>
            <w:tcW w:type="dxa" w:w="8510"/>
          </w:tcPr>
          <w:p>
            <w:r>
              <w:t>公共页面、确认交互、时间线、导出、离线测试、模拟及真实适配器、统计及双配置。</w:t>
            </w:r>
          </w:p>
        </w:tc>
      </w:tr>
    </w:tbl>
    <w:p>
      <w:pPr>
        <w:pStyle w:val="TableCitation"/>
        <w:keepLines w:val="0"/>
      </w:pPr>
      <w:r>
        <w:t>以上七项按原共通计划全部实现；本文件从9月28日开始安排接收、复核和新增开发，不重复安排共通开发工时。</w:t>
      </w:r>
    </w:p>
    <w:p>
      <w:pPr>
        <w:pStyle w:val="Heading2"/>
      </w:pPr>
      <w:r>
        <w:t>整体交付的判断标准</w:t>
      </w:r>
    </w:p>
    <w:p>
      <w:pPr>
        <w:keepLines w:val="0"/>
      </w:pPr>
      <w:r>
        <w:t>系统既能拦截明确越权，也能识别“权限合法但目标偏离”的行为；恢复过程不扩大授权；正常任务保持可用；实验能够区分契约抽取、检测和纠偏各自的贡献。已有通用Agent规划与权限控制不能替代本分支新增成果。</w:t>
      </w:r>
    </w:p>
    <w:p>
      <w:pPr>
        <w:pStyle w:val="Heading1"/>
        <w:pageBreakBefore/>
      </w:pPr>
      <w:r>
        <w:t>新增内容｜任务契约与意图检测</w:t>
      </w:r>
    </w:p>
    <w:p>
      <w:pPr>
        <w:pStyle w:val="Heading2"/>
      </w:pPr>
      <w:r>
        <w:t>I1  典型场景、需求映射与验收定义</w:t>
      </w:r>
    </w:p>
    <w:p>
      <w:pPr>
        <w:keepLines w:val="0"/>
      </w:pPr>
      <w:r>
        <w:t>固定“资料整理与报告生成助手”：读取指定合成文件、检索参考资料、生成报告、使用任务记忆，在确认后向模拟端点发送。建立赛题要求—模块—指标—交付物映射，写清任务成功、偏移、合法目标修改和不可逆动作。</w:t>
      </w:r>
    </w:p>
    <w:p>
      <w:r>
        <w:t>验收：正常与异常任务采用一致工具环境。定义完成条件并保留人工复核依据；不把“生成了任意报告”算作成功。官方截止、材料格式和500M统计口径在V1.0登记核实。</w:t>
      </w:r>
    </w:p>
    <w:p>
      <w:pPr>
        <w:pStyle w:val="Heading2"/>
      </w:pPr>
      <w:r>
        <w:t>I2  契约自动抽取、语义校验与合法变更</w:t>
      </w:r>
    </w:p>
    <w:p>
      <w:pPr>
        <w:keepLines w:val="0"/>
      </w:pPr>
      <w:r>
        <w:t>从自然语言抽取目标、资源、动作、禁止项和完成条件；为字段保存原始请求依据。校验缺失、歧义、矛盾及资源不明确，关键边界通过可信入口确认；合法目标变化形成新版本。共同底座中的手工／模板契约作为回退与对照。</w:t>
      </w:r>
    </w:p>
    <w:p>
      <w:r>
        <w:t>验收：单独评估字段抽取正确率、遗漏和不当扩权；保留人工标准契约。签名仅证明来源及完整性，不证明理解正确。外部文本和模型重规划均不得自动扩大契约。</w:t>
      </w:r>
    </w:p>
    <w:p>
      <w:pPr>
        <w:pStyle w:val="Heading2"/>
      </w:pPr>
      <w:r>
        <w:t>I3  单步、序列和来源结合的轻量检测器</w:t>
      </w:r>
    </w:p>
    <w:p>
      <w:pPr>
        <w:keepLines w:val="0"/>
      </w:pPr>
      <w:r>
        <w:t>硬约束先检查禁止工具、越界资源和未授权外发，不被软分数抵消。语义层结合任务、子目标、工具动作及参数，使用轻量编码器或分类器；序列层使用有界窗口及累计状态，识别资源持续扩张、风险升级、重复无效步骤和长期无进展；来源层使用用户／外部资料／工具／记忆引用提供风险证据。</w:t>
      </w:r>
    </w:p>
    <w:p>
      <w:r>
        <w:t>验收：输出偏移分数、触发维度、证据引用、版本和处置建议；阈值只在验证集选择。合法中间步骤不能仅因与总目标文字相似度低就被拒绝；来源先后关系不能直接宣称因果。</w:t>
      </w:r>
    </w:p>
    <w:p>
      <w:pPr>
        <w:keepLines w:val="0"/>
      </w:pPr>
      <w:r>
        <w:t>检测时只能使用当前及此前可获得的信息，不能把后续工具结果、最终标签或人工标注的首次偏移位置作为在线特征。LLM可辅助抽取和生成候选重规划，但检测结果仍需可解释、可复现，并记录模型与配置版本。</w:t>
      </w:r>
    </w:p>
    <w:p>
      <w:pPr>
        <w:pStyle w:val="Heading1"/>
        <w:pageBreakBefore/>
      </w:pPr>
      <w:r>
        <w:t>新增内容｜处置、纠偏与受控优化</w:t>
      </w:r>
    </w:p>
    <w:p>
      <w:pPr>
        <w:pStyle w:val="Heading2"/>
      </w:pPr>
      <w:r>
        <w:t>I4  动态防御和有界纠偏闭环</w:t>
      </w:r>
    </w:p>
    <w:p>
      <w:pPr>
        <w:keepLines w:val="0"/>
      </w:pPr>
      <w:r>
        <w:t>实现继续、重新规划、请求确认、拦截并按需撤销四类处置。闭环为发现问题、暂停动作、提供结构化原因、恢复可信状态、提出新计划、重新检查、继续或终止。限制纠偏次数与总调用预算；并行任务只暂停受影响动作及必要依赖。</w:t>
      </w:r>
    </w:p>
    <w:p>
      <w:r>
        <w:t>验收：在副作用前真实阻断。原契约内重规划不扩大权限；确需扩大范围时必须由用户批准新契约。恢复使用经确认的状态快照，隔离已识别的不可信内容；无法恢复时安全停止。外发不可回滚。</w:t>
      </w:r>
    </w:p>
    <w:p>
      <w:pPr>
        <w:pStyle w:val="Heading2"/>
      </w:pPr>
      <w:r>
        <w:t>I5  反馈驱动的受控策略调整</w:t>
      </w:r>
    </w:p>
    <w:p>
      <w:pPr>
        <w:keepLines w:val="0"/>
      </w:pPr>
      <w:r>
        <w:t>收集用户确认、人工复核、纠偏结果和任务完成情况；按任务类型分析误报，在独立验证集调整阈值或更新轻量模型。建立反馈来源、模型与策略版本、评估结果、发布记录及回退。</w:t>
      </w:r>
    </w:p>
    <w:p>
      <w:r>
        <w:t>验收：至少演示一次“收集可信反馈—离线评估—批准更新—回归—必要时回退”。不把用户点击继续等同于必然安全标签，不让外部文本生成训练标签，也不自动放宽明确禁止项。</w:t>
      </w:r>
    </w:p>
    <w:p>
      <w:pPr>
        <w:pStyle w:val="Heading2"/>
      </w:pPr>
      <w:r>
        <w:t>I6  数据集、基线与消融实验</w:t>
      </w:r>
    </w:p>
    <w:p>
      <w:pPr>
        <w:keepLines w:val="0"/>
      </w:pPr>
      <w:r>
        <w:t>先做30—50条可人工检查的完整轨迹，覆盖检索诱导、多轮／记忆渐进偏移、失败反馈引出的不当替代计划；同时加入合法目标变化、工具替换和必要多步查询。随后扩展到数百条轨迹作为开发目标，记录首次偏移位置、处置、真实副作用和完成结果。</w:t>
      </w:r>
    </w:p>
    <w:p>
      <w:r>
        <w:t>验收：按任务模板、来源场景及诱导类型划分开发／验证／测试集，同一轨迹的改写不跨集合。模型生成样本需复核；样本量不是赛题硬指标，也不能仅靠大量相似样本证明泛化。</w:t>
      </w:r>
    </w:p>
    <w:p>
      <w:pPr>
        <w:keepLines w:val="0"/>
      </w:pPr>
      <w:r>
        <w:t>基线包括现有运行时、仅单步检测和单步与序列联合检测；移除序列、来源或纠偏形成消融。比较新增检测时固定相同执行网关、工具集合和任务输入，必须包含权限合法但行为偏离目标的任务。</w:t>
      </w:r>
    </w:p>
    <w:p>
      <w:pPr>
        <w:pStyle w:val="Heading1"/>
        <w:pageBreakBefore/>
      </w:pPr>
      <w:r>
        <w:t>新增内容｜轻量化、系统集成与参赛交付</w:t>
      </w:r>
    </w:p>
    <w:p>
      <w:pPr>
        <w:pStyle w:val="Heading2"/>
      </w:pPr>
      <w:r>
        <w:t>I7  评测指标和轻量化实现</w:t>
      </w:r>
    </w:p>
    <w:p>
      <w:pPr>
        <w:keepLines w:val="0"/>
      </w:pPr>
      <w:r>
        <w:t>评估风险召回率、误报率、未授权动作实际完成比例、正常任务成功率、纠偏后安全完成率、检测延迟步数、用户确认频次、额外延迟和峰值内存。优先使用规则快速路径、小型可量化模型、有界窗口、限量缓存和事件落盘。</w:t>
      </w:r>
    </w:p>
    <w:p>
      <w:r>
        <w:t>验收：分别记录安全组件和整套本地原型的内存，包括模型加载、子进程与长轨迹运行。此前提到的500M先作为约束目标，核实MB／MiB及组件范围；远程推理的延迟、费用和依赖单列，不作为无成本“省内存”。</w:t>
      </w:r>
    </w:p>
    <w:p>
      <w:pPr>
        <w:pStyle w:val="Heading2"/>
      </w:pPr>
      <w:r>
        <w:t>I8  运行时集成与专用界面</w:t>
      </w:r>
    </w:p>
    <w:p>
      <w:pPr>
        <w:keepLines w:val="0"/>
      </w:pPr>
      <w:r>
        <w:t>从当前项目基底接入同一契约、网关、状态和事件链；通过明确的 Intent 接口连接任务契约、行为检测、处置和证据。展示契约依据、当前动作、偏移证据、处置、恢复结果、用户确认和策略版本；提供离线复现及配置切换。</w:t>
      </w:r>
    </w:p>
    <w:p>
      <w:r>
        <w:t>验收：检测决定在执行前生效，策略与契约版本变化不能被旧缓存掩盖；首阶段可使用当前项目基底已有的权限、暂停和停止执行能力，最终演示必须证明真实执行路径受到检测结果控制。</w:t>
      </w:r>
    </w:p>
    <w:p>
      <w:pPr>
        <w:pStyle w:val="Heading2"/>
      </w:pPr>
      <w:r>
        <w:t>I9  解决方案、应用价值和可复现作品</w:t>
      </w:r>
    </w:p>
    <w:p>
      <w:pPr>
        <w:keepLines w:val="0"/>
      </w:pPr>
      <w:r>
        <w:t>交付设计／解决方案报告、可运行原型、三类防御演示、数据及标注说明、基线和消融报告、轻量化结果、部署文档、演示视频及路演材料。说明目标使用者、实际痛点、接入方式、部署成本、效果边界和后续验证计划，并区分已有能力与新增贡献。</w:t>
      </w:r>
    </w:p>
    <w:p>
      <w:r>
        <w:t>验收：材料、演示、代码和实验版本一致。需求访谈或试用反馈如存在需注明真实来源；没有时标为待验证假设。商业价值、合作单位、收入和落地数量不虚构；材料格式和讲解时长按正式通知调整。</w:t>
      </w:r>
    </w:p>
    <w:p>
      <w:pPr>
        <w:pStyle w:val="Heading2"/>
      </w:pPr>
      <w:r>
        <w:t>创新主张与证据</w:t>
      </w:r>
    </w:p>
    <w:p>
      <w:pPr>
        <w:keepLines w:val="0"/>
      </w:pPr>
      <w:r>
        <w:t>重点论证任务契约如何形成可靠检测依据、序列与来源信息相比单步检测有什么收益、纠偏能否提高安全完成率，以及这些收益需要多少计算成本。不能把“加了一个模型”直接写成算法创新，也不承诺抵御所有提示注入。</w:t>
      </w:r>
    </w:p>
    <w:p>
      <w:pPr>
        <w:pStyle w:val="Heading1"/>
        <w:pageBreakBefore/>
      </w:pPr>
      <w:r>
        <w:t>9月21日后的边界、依赖与人员安排</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FD7E2"/>
          <w:left w:val="single" w:sz="4" w:color="CFD7E2"/>
          <w:bottom w:val="single" w:sz="4" w:color="CFD7E2"/>
          <w:right w:val="single" w:sz="4" w:color="CFD7E2"/>
          <w:insideH w:val="single" w:sz="4" w:color="CFD7E2"/>
          <w:insideV w:val="single" w:sz="4" w:color="CFD7E2"/>
        </w:tblBorders>
      </w:tblPr>
      <w:tblGrid>
        <w:gridCol w:w="2200"/>
        <w:gridCol w:w="4420"/>
        <w:gridCol w:w="2740"/>
      </w:tblGrid>
      <w:tr>
        <w:trPr>
          <w:cantSplit/>
          <w:tblHeader/>
        </w:trPr>
        <w:tc>
          <w:tcPr>
            <w:tcW w:type="dxa" w:w="2200"/>
            <w:shd w:fill="E8EEF5"/>
          </w:tcPr>
          <w:p>
            <w:r>
              <w:t>工作</w:t>
            </w:r>
          </w:p>
        </w:tc>
        <w:tc>
          <w:tcPr>
            <w:tcW w:type="dxa" w:w="4420"/>
            <w:shd w:fill="E8EEF5"/>
          </w:tcPr>
          <w:p>
            <w:r>
              <w:t>处理方式</w:t>
            </w:r>
          </w:p>
        </w:tc>
        <w:tc>
          <w:tcPr>
            <w:tcW w:type="dxa" w:w="2740"/>
            <w:shd w:fill="E8EEF5"/>
          </w:tcPr>
          <w:p>
            <w:r>
              <w:t>负责接口</w:t>
            </w:r>
          </w:p>
        </w:tc>
      </w:tr>
      <w:tr>
        <w:trPr>
          <w:cantSplit/>
        </w:trPr>
        <w:tc>
          <w:tcPr>
            <w:tcW w:type="dxa" w:w="2200"/>
          </w:tcPr>
          <w:p>
            <w:r>
              <w:t>C1—C7共通底座</w:t>
            </w:r>
          </w:p>
        </w:tc>
        <w:tc>
          <w:tcPr>
            <w:tcW w:type="dxa" w:w="4420"/>
          </w:tcPr>
          <w:p>
            <w:r>
              <w:t>继承已验收版本，修复回到Core</w:t>
            </w:r>
          </w:p>
        </w:tc>
        <w:tc>
          <w:tcPr>
            <w:tcW w:type="dxa" w:w="2740"/>
          </w:tcPr>
          <w:p>
            <w:r>
              <w:t>1号接收；全员复核</w:t>
            </w:r>
          </w:p>
        </w:tc>
      </w:tr>
      <w:tr>
        <w:trPr>
          <w:cantSplit/>
        </w:trPr>
        <w:tc>
          <w:tcPr>
            <w:tcW w:type="dxa" w:w="2200"/>
          </w:tcPr>
          <w:p>
            <w:r>
              <w:t>契约抽取与语义校验</w:t>
            </w:r>
          </w:p>
        </w:tc>
        <w:tc>
          <w:tcPr>
            <w:tcW w:type="dxa" w:w="4420"/>
          </w:tcPr>
          <w:p>
            <w:r>
              <w:t>创新赛新增I2</w:t>
            </w:r>
          </w:p>
        </w:tc>
        <w:tc>
          <w:tcPr>
            <w:tcW w:type="dxa" w:w="2740"/>
          </w:tcPr>
          <w:p>
            <w:r>
              <w:t>1号</w:t>
            </w:r>
          </w:p>
        </w:tc>
      </w:tr>
      <w:tr>
        <w:trPr>
          <w:cantSplit/>
        </w:trPr>
        <w:tc>
          <w:tcPr>
            <w:tcW w:type="dxa" w:w="2200"/>
          </w:tcPr>
          <w:p>
            <w:r>
              <w:t>单步／序列／来源检测</w:t>
            </w:r>
          </w:p>
        </w:tc>
        <w:tc>
          <w:tcPr>
            <w:tcW w:type="dxa" w:w="4420"/>
          </w:tcPr>
          <w:p>
            <w:r>
              <w:t>3号</w:t>
            </w:r>
          </w:p>
        </w:tc>
        <w:tc>
          <w:tcPr>
            <w:tcW w:type="dxa" w:w="2740"/>
          </w:tcPr>
          <w:p>
            <w:r>
              <w:t>3号</w:t>
            </w:r>
          </w:p>
        </w:tc>
      </w:tr>
      <w:tr>
        <w:trPr>
          <w:cantSplit/>
        </w:trPr>
        <w:tc>
          <w:tcPr>
            <w:tcW w:type="dxa" w:w="2200"/>
          </w:tcPr>
          <w:p>
            <w:r>
              <w:t>动态处置与纠偏</w:t>
            </w:r>
          </w:p>
        </w:tc>
        <w:tc>
          <w:tcPr>
            <w:tcW w:type="dxa" w:w="4420"/>
          </w:tcPr>
          <w:p>
            <w:r>
              <w:t>创新赛新增I4</w:t>
            </w:r>
          </w:p>
        </w:tc>
        <w:tc>
          <w:tcPr>
            <w:tcW w:type="dxa" w:w="2740"/>
          </w:tcPr>
          <w:p>
            <w:r>
              <w:t>1号；1号；3号</w:t>
            </w:r>
          </w:p>
        </w:tc>
      </w:tr>
      <w:tr>
        <w:trPr>
          <w:cantSplit/>
        </w:trPr>
        <w:tc>
          <w:tcPr>
            <w:tcW w:type="dxa" w:w="2200"/>
          </w:tcPr>
          <w:p>
            <w:r>
              <w:t>受控反馈与策略更新</w:t>
            </w:r>
          </w:p>
        </w:tc>
        <w:tc>
          <w:tcPr>
            <w:tcW w:type="dxa" w:w="4420"/>
          </w:tcPr>
          <w:p>
            <w:r>
              <w:t>3号；2号</w:t>
            </w:r>
          </w:p>
        </w:tc>
        <w:tc>
          <w:tcPr>
            <w:tcW w:type="dxa" w:w="2740"/>
          </w:tcPr>
          <w:p>
            <w:r>
              <w:t>3号；2号</w:t>
            </w:r>
          </w:p>
        </w:tc>
      </w:tr>
      <w:tr>
        <w:trPr>
          <w:cantSplit/>
        </w:trPr>
        <w:tc>
          <w:tcPr>
            <w:tcW w:type="dxa" w:w="2200"/>
          </w:tcPr>
          <w:p>
            <w:r>
              <w:t>数据、评测、专用展示</w:t>
            </w:r>
          </w:p>
        </w:tc>
        <w:tc>
          <w:tcPr>
            <w:tcW w:type="dxa" w:w="4420"/>
          </w:tcPr>
          <w:p>
            <w:r>
              <w:t>2号</w:t>
            </w:r>
          </w:p>
        </w:tc>
        <w:tc>
          <w:tcPr>
            <w:tcW w:type="dxa" w:w="2740"/>
          </w:tcPr>
          <w:p>
            <w:r>
              <w:t>2号</w:t>
            </w:r>
          </w:p>
        </w:tc>
      </w:tr>
      <w:tr>
        <w:trPr>
          <w:cantSplit/>
        </w:trPr>
        <w:tc>
          <w:tcPr>
            <w:tcW w:type="dxa" w:w="2200"/>
          </w:tcPr>
          <w:p>
            <w:r>
              <w:t>轻量化与系统打包</w:t>
            </w:r>
          </w:p>
        </w:tc>
        <w:tc>
          <w:tcPr>
            <w:tcW w:type="dxa" w:w="4420"/>
          </w:tcPr>
          <w:p>
            <w:r>
              <w:t>创新赛新增I7／I9</w:t>
            </w:r>
          </w:p>
        </w:tc>
        <w:tc>
          <w:tcPr>
            <w:tcW w:type="dxa" w:w="2740"/>
          </w:tcPr>
          <w:p>
            <w:r>
              <w:t>四人按模块负责</w:t>
            </w:r>
          </w:p>
        </w:tc>
      </w:tr>
      <w:tr>
        <w:trPr>
          <w:cantSplit/>
        </w:trPr>
        <w:tc>
          <w:tcPr>
            <w:tcW w:type="dxa" w:w="2200"/>
          </w:tcPr>
          <w:p>
            <w:r>
              <w:t>典型场景、工具适配与现场展示</w:t>
            </w:r>
          </w:p>
        </w:tc>
        <w:tc>
          <w:tcPr>
            <w:tcW w:type="dxa" w:w="4420"/>
          </w:tcPr>
          <w:p>
            <w:r>
              <w:t>命题新增I1／I8／I9</w:t>
            </w:r>
          </w:p>
        </w:tc>
        <w:tc>
          <w:tcPr>
            <w:tcW w:type="dxa" w:w="2740"/>
          </w:tcPr>
          <w:p>
            <w:r>
              <w:t>4号；1号对接</w:t>
            </w:r>
          </w:p>
        </w:tc>
      </w:tr>
      <w:tr>
        <w:tc>
          <w:tcPr>
            <w:tcW w:type="dxa" w:w="2200"/>
          </w:tcPr>
          <w:p>
            <w:r>
              <w:t>典型场景、工具适配与现场展示</w:t>
            </w:r>
          </w:p>
        </w:tc>
        <w:tc>
          <w:tcPr>
            <w:tcW w:type="dxa" w:w="4420"/>
          </w:tcPr>
          <w:p>
            <w:r>
              <w:t>4号</w:t>
            </w:r>
          </w:p>
        </w:tc>
        <w:tc>
          <w:tcPr>
            <w:tcW w:type="dxa" w:w="2740"/>
          </w:tcPr>
          <w:p>
            <w:r>
              <w:t>固定通信运维资料分析场景；维护合成配置、工单、日志和知识库样本；实现模拟端点、前端 IntentPanel、演示脚本、一键重置和干净环境复现。</w:t>
            </w:r>
          </w:p>
        </w:tc>
      </w:tr>
    </w:tbl>
    <w:p>
      <w:pPr>
        <w:pStyle w:val="TableCitation"/>
        <w:keepLines w:val="0"/>
      </w:pPr>
      <w:r>
        <w:t>“共通后新增”包括 Intent 新模块、当前项目基底集成、性能优化和面向命题场景的独立实验。本计划只使用项目基底，不纳入其他竞赛的开发任务、接口或提交节点。</w:t>
      </w:r>
    </w:p>
    <w:p>
      <w:pPr>
        <w:pStyle w:val="Heading2"/>
      </w:pPr>
      <w:r>
        <w:t>编号和工时假设</w:t>
      </w:r>
    </w:p>
    <w:p>
      <w:pPr>
        <w:keepLines w:val="0"/>
      </w:pPr>
      <w:r>
        <w:t>本计划按四名创新赛成员排期：1号为组长，负责契约、运行时集成和最终发布；2号负责数据、实验、证据和材料；3号负责检测器、序列特征、策略与模型；4号负责典型场景、前端演示、工具适配和现场复现。四人通过冻结接口、fixture 和每日短联调并行开发，不以“上一人全部完成”作为下一人的启动条件。若成员实际可用时间变化，应在阶段复核中调整任务边界，不能将同一时间重复计算。</w:t>
      </w:r>
    </w:p>
    <w:p>
      <w:pPr>
        <w:keepLines w:val="0"/>
      </w:pPr>
      <w:r>
        <w:t>1号主责契约与运行时集成、确认／纠偏状态机和最终发布；2号主责数据、实验组织、证据索引、报告与解决方案材料；3号主责轻量检测、序列特征、阈值／策略与模型优化；4号主责通信运维典型场景、工具与模拟端点适配、前端 IntentPanel、演示脚本和现场复现。各人负责本模块测试，跨模块功能由非作者复核。</w:t>
      </w:r>
    </w:p>
    <w:p>
      <w:pPr>
        <w:keepLines w:val="0"/>
      </w:pPr>
      <w:r>
        <w:t>9月28日至10月15日，四人按接口并行推进路演版；1号维护主链，2号维护数据与证据，3号维护检测器，4号维护场景、前端和演示。10月16日只做拷贝、设备复核和阻断性修复，不新增主线功能。10月17日后，四人转入正式实验、消融、轻量化和国赛候选版本。实际小时数在启动日登记，阶段任务不等同于默认四人每天全职。</w:t>
      </w:r>
    </w:p>
    <w:p>
      <w:pPr>
        <w:pStyle w:val="Heading2"/>
      </w:pPr>
      <w:r>
        <w:t>依赖接收点</w:t>
      </w:r>
    </w:p>
    <w:p>
      <w:pPr>
        <w:keepLines w:val="0"/>
      </w:pPr>
      <w:r>
        <w:t>9月28日接收当前 Runtime Base；9月30日前冻结 Intent 公共接口、fixture 和三类演示输入；10月1—7日完成高强度并行开发、三类攻击仿真、正常对照、前端入口和第一轮端到端联调；10月8日结果公布后，10月9—12日集中修复和稳定性回归；10月13—15日完成现场候选包、彩排和干净环境复现。</w:t>
      </w:r>
    </w:p>
    <w:p>
      <w:pPr>
        <w:pStyle w:val="Heading1"/>
        <w:pageBreakBefore/>
      </w:pPr>
      <w:r>
        <w:t>阶段总览｜2026年9月28日起</w:t>
      </w:r>
    </w:p>
    <w:p>
      <w:pPr>
        <w:keepLines w:val="0"/>
      </w:pPr>
      <w:r>
        <w:t>V1建立场景、契约与可解释基线；V2完成检测、纠偏和受控更新；V3验证效果及轻量化；V4完成解决方案和可复现交付。下表及后续日期均为内部计划，不代替正式赛程。</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FD7E2"/>
          <w:left w:val="single" w:sz="4" w:color="CFD7E2"/>
          <w:bottom w:val="single" w:sz="4" w:color="CFD7E2"/>
          <w:right w:val="single" w:sz="4" w:color="CFD7E2"/>
          <w:insideH w:val="single" w:sz="4" w:color="CFD7E2"/>
          <w:insideV w:val="single" w:sz="4" w:color="CFD7E2"/>
        </w:tblBorders>
      </w:tblPr>
      <w:tblGrid>
        <w:gridCol w:w="1200"/>
        <w:gridCol w:w="2350"/>
        <w:gridCol w:w="5810"/>
      </w:tblGrid>
      <w:tr>
        <w:trPr>
          <w:cantSplit/>
          <w:tblHeader/>
        </w:trPr>
        <w:tc>
          <w:tcPr>
            <w:tcW w:type="dxa" w:w="1200"/>
            <w:shd w:fill="E8EEF5"/>
          </w:tcPr>
          <w:p>
            <w:r>
              <w:t>阶段</w:t>
            </w:r>
          </w:p>
        </w:tc>
        <w:tc>
          <w:tcPr>
            <w:tcW w:type="dxa" w:w="2350"/>
            <w:shd w:fill="E8EEF5"/>
          </w:tcPr>
          <w:p>
            <w:r>
              <w:t>起始—终止</w:t>
            </w:r>
          </w:p>
        </w:tc>
        <w:tc>
          <w:tcPr>
            <w:tcW w:type="dxa" w:w="5810"/>
            <w:shd w:fill="E8EEF5"/>
          </w:tcPr>
          <w:p>
            <w:r>
              <w:t>阶段目标</w:t>
            </w:r>
          </w:p>
        </w:tc>
      </w:tr>
      <w:tr>
        <w:trPr>
          <w:cantSplit/>
        </w:trPr>
        <w:tc>
          <w:tcPr>
            <w:tcW w:type="dxa" w:w="1200"/>
          </w:tcPr>
          <w:p>
            <w:r>
              <w:t>V1.0</w:t>
            </w:r>
          </w:p>
        </w:tc>
        <w:tc>
          <w:tcPr>
            <w:tcW w:type="dxa" w:w="2350"/>
          </w:tcPr>
          <w:p>
            <w:r>
              <w:t>09/28—09/29</w:t>
            </w:r>
          </w:p>
        </w:tc>
        <w:tc>
          <w:tcPr>
            <w:tcW w:type="dxa" w:w="5810"/>
          </w:tcPr>
          <w:p>
            <w:r>
              <w:t>接收底座与锁定场景</w:t>
            </w:r>
          </w:p>
        </w:tc>
      </w:tr>
      <w:tr>
        <w:trPr>
          <w:cantSplit/>
        </w:trPr>
        <w:tc>
          <w:tcPr>
            <w:tcW w:type="dxa" w:w="1200"/>
          </w:tcPr>
          <w:p>
            <w:r>
              <w:t>V1.1</w:t>
            </w:r>
          </w:p>
        </w:tc>
        <w:tc>
          <w:tcPr>
            <w:tcW w:type="dxa" w:w="2350"/>
          </w:tcPr>
          <w:p>
            <w:r>
              <w:t>09/30—10/02</w:t>
            </w:r>
          </w:p>
        </w:tc>
        <w:tc>
          <w:tcPr>
            <w:tcW w:type="dxa" w:w="5810"/>
          </w:tcPr>
          <w:p>
            <w:r>
              <w:t>契约抽取与单步基线</w:t>
            </w:r>
          </w:p>
        </w:tc>
      </w:tr>
      <w:tr>
        <w:trPr>
          <w:cantSplit/>
        </w:trPr>
        <w:tc>
          <w:tcPr>
            <w:tcW w:type="dxa" w:w="1200"/>
          </w:tcPr>
          <w:p>
            <w:r>
              <w:t>V1.2</w:t>
            </w:r>
          </w:p>
        </w:tc>
        <w:tc>
          <w:tcPr>
            <w:tcW w:type="dxa" w:w="2350"/>
          </w:tcPr>
          <w:p>
            <w:r>
              <w:t>10/03—10/05</w:t>
            </w:r>
          </w:p>
        </w:tc>
        <w:tc>
          <w:tcPr>
            <w:tcW w:type="dxa" w:w="5810"/>
          </w:tcPr>
          <w:p>
            <w:r>
              <w:t>首批轨迹与数据划分</w:t>
            </w:r>
          </w:p>
        </w:tc>
      </w:tr>
      <w:tr>
        <w:trPr>
          <w:cantSplit/>
        </w:trPr>
        <w:tc>
          <w:tcPr>
            <w:tcW w:type="dxa" w:w="1200"/>
          </w:tcPr>
          <w:p>
            <w:r>
              <w:t>V2.0</w:t>
            </w:r>
          </w:p>
        </w:tc>
        <w:tc>
          <w:tcPr>
            <w:tcW w:type="dxa" w:w="2350"/>
          </w:tcPr>
          <w:p>
            <w:r>
              <w:t>10/06—10/08</w:t>
            </w:r>
          </w:p>
        </w:tc>
        <w:tc>
          <w:tcPr>
            <w:tcW w:type="dxa" w:w="5810"/>
          </w:tcPr>
          <w:p>
            <w:r>
              <w:t>轻量语义与序列联合检测</w:t>
            </w:r>
          </w:p>
        </w:tc>
      </w:tr>
      <w:tr>
        <w:trPr>
          <w:cantSplit/>
        </w:trPr>
        <w:tc>
          <w:tcPr>
            <w:tcW w:type="dxa" w:w="1200"/>
          </w:tcPr>
          <w:p>
            <w:r>
              <w:t>V2.1</w:t>
            </w:r>
          </w:p>
        </w:tc>
        <w:tc>
          <w:tcPr>
            <w:tcW w:type="dxa" w:w="2350"/>
          </w:tcPr>
          <w:p>
            <w:r>
              <w:t>10/09—10/11</w:t>
            </w:r>
          </w:p>
        </w:tc>
        <w:tc>
          <w:tcPr>
            <w:tcW w:type="dxa" w:w="5810"/>
          </w:tcPr>
          <w:p>
            <w:r>
              <w:t>动态防御与安全纠偏</w:t>
            </w:r>
          </w:p>
        </w:tc>
      </w:tr>
      <w:tr>
        <w:trPr>
          <w:cantSplit/>
        </w:trPr>
        <w:tc>
          <w:tcPr>
            <w:tcW w:type="dxa" w:w="1200"/>
          </w:tcPr>
          <w:p>
            <w:r>
              <w:t>V2.2</w:t>
            </w:r>
          </w:p>
        </w:tc>
        <w:tc>
          <w:tcPr>
            <w:tcW w:type="dxa" w:w="2350"/>
          </w:tcPr>
          <w:p>
            <w:r>
              <w:t>10/12—10/13</w:t>
            </w:r>
          </w:p>
        </w:tc>
        <w:tc>
          <w:tcPr>
            <w:tcW w:type="dxa" w:w="5810"/>
          </w:tcPr>
          <w:p>
            <w:r>
              <w:t>反馈、策略版本与完整展示</w:t>
            </w:r>
          </w:p>
        </w:tc>
      </w:tr>
      <w:tr>
        <w:trPr>
          <w:cantSplit/>
        </w:trPr>
        <w:tc>
          <w:tcPr>
            <w:tcW w:type="dxa" w:w="1200"/>
          </w:tcPr>
          <w:p>
            <w:r>
              <w:t>V2.3</w:t>
            </w:r>
          </w:p>
        </w:tc>
        <w:tc>
          <w:tcPr>
            <w:tcW w:type="dxa" w:w="2350"/>
          </w:tcPr>
          <w:p>
            <w:r>
              <w:t>10/14—10/15</w:t>
            </w:r>
          </w:p>
        </w:tc>
        <w:tc>
          <w:tcPr>
            <w:tcW w:type="dxa" w:w="5810"/>
          </w:tcPr>
          <w:p>
            <w:r>
              <w:t>整体验收与轻量化预检</w:t>
            </w:r>
          </w:p>
        </w:tc>
      </w:tr>
      <w:tr>
        <w:trPr>
          <w:cantSplit/>
        </w:trPr>
        <w:tc>
          <w:tcPr>
            <w:tcW w:type="dxa" w:w="1200"/>
          </w:tcPr>
          <w:p>
            <w:r>
              <w:t>V3.0</w:t>
            </w:r>
          </w:p>
        </w:tc>
        <w:tc>
          <w:tcPr>
            <w:tcW w:type="dxa" w:w="2350"/>
          </w:tcPr>
          <w:p>
            <w:r>
              <w:t>10/17—10/22</w:t>
            </w:r>
          </w:p>
        </w:tc>
        <w:tc>
          <w:tcPr>
            <w:tcW w:type="dxa" w:w="5810"/>
          </w:tcPr>
          <w:p>
            <w:r>
              <w:t>评测锁定与对照运行</w:t>
            </w:r>
          </w:p>
        </w:tc>
      </w:tr>
      <w:tr>
        <w:trPr>
          <w:cantSplit/>
        </w:trPr>
        <w:tc>
          <w:tcPr>
            <w:tcW w:type="dxa" w:w="1200"/>
          </w:tcPr>
          <w:p>
            <w:r>
              <w:t>V3.1</w:t>
            </w:r>
          </w:p>
        </w:tc>
        <w:tc>
          <w:tcPr>
            <w:tcW w:type="dxa" w:w="2350"/>
          </w:tcPr>
          <w:p>
            <w:r>
              <w:t>10/23—10/25</w:t>
            </w:r>
          </w:p>
        </w:tc>
        <w:tc>
          <w:tcPr>
            <w:tcW w:type="dxa" w:w="5810"/>
          </w:tcPr>
          <w:p>
            <w:r>
              <w:t>完整实验与消融</w:t>
            </w:r>
          </w:p>
        </w:tc>
      </w:tr>
      <w:tr>
        <w:trPr>
          <w:cantSplit/>
        </w:trPr>
        <w:tc>
          <w:tcPr>
            <w:tcW w:type="dxa" w:w="1200"/>
          </w:tcPr>
          <w:p>
            <w:r>
              <w:t>V3.2</w:t>
            </w:r>
          </w:p>
        </w:tc>
        <w:tc>
          <w:tcPr>
            <w:tcW w:type="dxa" w:w="2350"/>
          </w:tcPr>
          <w:p>
            <w:r>
              <w:t>10/26—10/28</w:t>
            </w:r>
          </w:p>
        </w:tc>
        <w:tc>
          <w:tcPr>
            <w:tcW w:type="dxa" w:w="5810"/>
          </w:tcPr>
          <w:p>
            <w:r>
              <w:t>性能、内存与发布候选</w:t>
            </w:r>
          </w:p>
        </w:tc>
      </w:tr>
      <w:tr>
        <w:trPr>
          <w:cantSplit/>
        </w:trPr>
        <w:tc>
          <w:tcPr>
            <w:tcW w:type="dxa" w:w="1200"/>
          </w:tcPr>
          <w:p>
            <w:r>
              <w:t>V4.0</w:t>
            </w:r>
          </w:p>
        </w:tc>
        <w:tc>
          <w:tcPr>
            <w:tcW w:type="dxa" w:w="2350"/>
          </w:tcPr>
          <w:p>
            <w:r>
              <w:t>10/29—10/30</w:t>
            </w:r>
          </w:p>
        </w:tc>
        <w:tc>
          <w:tcPr>
            <w:tcW w:type="dxa" w:w="5810"/>
          </w:tcPr>
          <w:p>
            <w:r>
              <w:t>解决方案与路演材料</w:t>
            </w:r>
          </w:p>
        </w:tc>
      </w:tr>
      <w:tr>
        <w:trPr>
          <w:cantSplit/>
        </w:trPr>
        <w:tc>
          <w:tcPr>
            <w:tcW w:type="dxa" w:w="1200"/>
          </w:tcPr>
          <w:p>
            <w:r>
              <w:t>V4.1</w:t>
            </w:r>
          </w:p>
        </w:tc>
        <w:tc>
          <w:tcPr>
            <w:tcW w:type="dxa" w:w="2350"/>
          </w:tcPr>
          <w:p>
            <w:r>
              <w:t>10/31—10/31</w:t>
            </w:r>
          </w:p>
        </w:tc>
        <w:tc>
          <w:tcPr>
            <w:tcW w:type="dxa" w:w="5810"/>
          </w:tcPr>
          <w:p>
            <w:r>
              <w:t>内部终验与交付归档</w:t>
            </w:r>
          </w:p>
        </w:tc>
      </w:tr>
    </w:tbl>
    <w:p>
      <w:pPr>
        <w:pStyle w:val="TableCitation"/>
        <w:keepLines w:val="0"/>
      </w:pPr>
      <w:r>
        <w:t>9月28日之后的排程以共通底座已完整交付为前提。如共通验收延后，记录影响并调整阶段日期；不将未完成的底座当作已具备。</w:t>
      </w:r>
    </w:p>
    <w:p>
      <w:pPr>
        <w:pStyle w:val="Heading2"/>
      </w:pPr>
      <w:r>
        <w:t>必须提前确认的三个事项</w:t>
      </w:r>
    </w:p>
    <w:p>
      <w:pPr>
        <w:keepLines w:val="0"/>
      </w:pPr>
      <w:r>
        <w:t>赛题与赛程：核对正式要求、最终提交时间、阶段材料和演示形式。资源口径：确认轻量化统计范围以及是否包含模型、数据库和前端。人员容量：在启动日登记四名成员的可用时段和交付边界。</w:t>
      </w:r>
    </w:p>
    <w:p>
      <w:pPr>
        <w:keepLines w:val="0"/>
      </w:pPr>
      <w:r>
        <w:t>本计划没有把这些待确认事项变成开发阻塞：场景、接口、数据和离线基线可以先推进；涉及官方合格判定和提交承诺的部分，必须在确认后填写。若正式截止早于本计划，应优先提前实验和材料准备，不能沿用10月31日对外承诺。</w:t>
      </w:r>
    </w:p>
    <w:p>
      <w:pPr>
        <w:pStyle w:val="Heading2"/>
      </w:pPr>
      <w:r>
        <w:t>晋级后开发门：10月17日起进入正式评测与国赛候选版本，重点补充消融实验、轻量化、完整反馈更新、稳定性和材料证据，不回改已冻结的路演演示口径。</w:t>
      </w:r>
    </w:p>
    <w:p>
      <w:pPr>
        <w:pStyle w:val="Heading2"/>
      </w:pPr>
      <w:r>
        <w:t>路演版冻结门：10月12日冻结演示输入、工具清单、检测策略和页面流程；10月14日完成全链路彩排；10月15日晚生成现场候选包并在干净环境复现。10月16日只进行拷贝、设备检查和阻断性修复。</w:t>
      </w:r>
    </w:p>
    <w:p>
      <w:r>
        <w:t>1号负责公共契约、网关、状态机和集成；2号负责数据、实验、证据包和报告；3号负责单步／序列／来源检测、阈值和策略版本；4号负责通信运维场景、工具适配、前端展示和现场演示。四人均可先基于冻结的 schema、fixture 和 mock 服务开发，联调时只对接已冻结接口。</w:t>
      </w:r>
    </w:p>
    <w:p>
      <w:pPr>
        <w:pStyle w:val="Heading2"/>
      </w:pPr>
      <w:r>
        <w:t>四人并行开发约定</w:t>
      </w:r>
    </w:p>
    <w:p>
      <w:pPr>
        <w:pStyle w:val="Heading1"/>
        <w:pageBreakBefore/>
      </w:pPr>
      <w:r>
        <w:t>阶段分工｜V1.0起</w:t>
      </w:r>
    </w:p>
    <w:p>
      <w:pPr>
        <w:pStyle w:val="Phase"/>
        <w:keepLines w:val="0"/>
      </w:pPr>
      <w:r>
        <w:t>V1.0  接收底座与锁定场景</w:t>
      </w:r>
    </w:p>
    <w:p>
      <w:pPr>
        <w:pStyle w:val="Meta"/>
        <w:keepLines w:val="0"/>
      </w:pPr>
      <w:r>
        <w:t>起始：2026/09/28　终止：2026/09/30</w:t>
      </w:r>
    </w:p>
    <w:p>
      <w:pPr>
        <w:pStyle w:val="PhaseBody"/>
        <w:keepNext/>
      </w:pPr>
      <w:r>
        <w:t>1号目标：接收当前项目基底版本，复核契约／网关／状态接口；设计抽取和纠偏接入点。 / 4号目标：固定通信运维场景、设备配置／工单／日志／知识库 fixture，建立模拟端点与前端入口草图；交付场景说明和第一版演示数据。</w:t>
      </w:r>
    </w:p>
    <w:p>
      <w:pPr>
        <w:pStyle w:val="PhaseBody"/>
        <w:keepLines/>
      </w:pPr>
      <w:r>
        <w:t>要求：正常、拒绝、待确认和恢复路径能运行；交付接口及存量差异表。 注意：不重复开发共通组件；发现缺陷回到Core修复。</w:t>
      </w:r>
    </w:p>
    <w:p>
      <w:pPr>
        <w:pStyle w:val="PhaseBody"/>
        <w:keepNext/>
      </w:pPr>
      <w:r>
        <w:t>2号目标：确定资料助手场景、成功条件和标注模式，建立需求映射及第一批轨迹模板。</w:t>
      </w:r>
    </w:p>
    <w:p>
      <w:pPr>
        <w:pStyle w:val="PhaseBody"/>
        <w:keepLines/>
      </w:pPr>
      <w:r>
        <w:t>要求：登记官方截止、材料和500M口径待核实项；统计四人实际工时。 注意：内部日期不写成官方截止；缺失标签不能自行当成正常。</w:t>
      </w:r>
    </w:p>
    <w:p>
      <w:pPr>
        <w:pStyle w:val="PhaseBody"/>
        <w:keepNext/>
      </w:pPr>
      <w:r>
        <w:t>3号目标：制定检测输出模式、硬约束／单步基线及序列特征草案，准备轻量模型评估方案。</w:t>
      </w:r>
    </w:p>
    <w:p>
      <w:pPr>
        <w:pStyle w:val="PhaseBody"/>
        <w:keepLines/>
      </w:pPr>
      <w:r>
        <w:t>要求：明确在线可见信息、风险类别和版本字段，给出可运行基线框架。 注意：先建立可解释基线，不能直接设定“最优”权重和准确率。</w:t>
      </w:r>
    </w:p>
    <w:p>
      <w:pPr>
        <w:pStyle w:val="PhaseBody"/>
      </w:pPr>
      <w:r>
        <w:t>阶段验收：完成需求—模块—指标—证据映射；确认团队编号、时间容量与Core验收状态，标记intent-start。</w:t>
      </w:r>
    </w:p>
    <w:p>
      <w:pPr>
        <w:pStyle w:val="Phase"/>
        <w:keepLines w:val="0"/>
      </w:pPr>
      <w:r>
        <w:t>V1.1  契约抽取与单步基线</w:t>
      </w:r>
    </w:p>
    <w:p>
      <w:pPr>
        <w:pStyle w:val="Meta"/>
        <w:keepLines w:val="0"/>
      </w:pPr>
      <w:r>
        <w:t>起始：2026/10/01　终止：2026/10/02</w:t>
      </w:r>
    </w:p>
    <w:p>
      <w:pPr>
        <w:pStyle w:val="PhaseBody"/>
        <w:keepNext/>
      </w:pPr>
      <w:r>
        <w:t>1号目标：实现契约自动抽取、字段来源、缺失／矛盾检查与可信确认，保留模板回退。 / 4号目标：完成前端任务创建、契约确认和单步结果展示；接入受控文件读取与报告生成工具替身，记录页面操作证据。</w:t>
      </w:r>
    </w:p>
    <w:p>
      <w:pPr>
        <w:pStyle w:val="PhaseBody"/>
        <w:keepLines/>
      </w:pPr>
      <w:r>
        <w:t>要求：完成合法目标更新及版本记录，关键歧义需要确认；建立人工标准契约对照。 注意：签名不证明理解正确；外部文本不得扩大目标。</w:t>
      </w:r>
    </w:p>
    <w:p>
      <w:pPr>
        <w:pStyle w:val="PhaseBody"/>
        <w:keepNext/>
      </w:pPr>
      <w:r>
        <w:t>2号目标：制作抽取标注和正常／偏移轨迹，接入契约依据与决策展示；设计合法工具替换对照。</w:t>
      </w:r>
    </w:p>
    <w:p>
      <w:pPr>
        <w:pStyle w:val="PhaseBody"/>
        <w:keepLines/>
      </w:pPr>
      <w:r>
        <w:t>要求：至少两人复核关键标签；记录分歧及处理依据，页面显示真实输出。 注意：不把所有工具变化都标为异常，不重复采集共通事件。</w:t>
      </w:r>
    </w:p>
    <w:p>
      <w:pPr>
        <w:pStyle w:val="PhaseBody"/>
        <w:keepNext/>
      </w:pPr>
      <w:r>
        <w:t>3号目标：实现硬约束和单步语义基线，固定输入的任务／子目标／动作／参数，评估候选轻量模型开销。</w:t>
      </w:r>
    </w:p>
    <w:p>
      <w:pPr>
        <w:pStyle w:val="PhaseBody"/>
        <w:keepLines/>
      </w:pPr>
      <w:r>
        <w:t>要求：权限违规不能被低语义分数抵消；运行规则和语义两条基线。 注意：不只用动作描述与总目标余弦相似度作最终判断。</w:t>
      </w:r>
    </w:p>
    <w:p>
      <w:pPr>
        <w:pStyle w:val="PhaseBody"/>
      </w:pPr>
      <w:r>
        <w:t>阶段验收：抽取→校验／确认→单步判断→网关处置可运行；Intent 公共接口和 fixture 冻结。</w:t>
      </w:r>
    </w:p>
    <w:p>
      <w:pPr>
        <w:pStyle w:val="Heading1"/>
        <w:pageBreakBefore/>
      </w:pPr>
      <w:r>
        <w:t>阶段分工｜V1.2起</w:t>
      </w:r>
    </w:p>
    <w:p>
      <w:pPr>
        <w:pStyle w:val="Phase"/>
        <w:keepLines w:val="0"/>
      </w:pPr>
      <w:r>
        <w:t>V1.2  首批轨迹与数据划分</w:t>
      </w:r>
    </w:p>
    <w:p>
      <w:pPr>
        <w:pStyle w:val="Meta"/>
        <w:keepLines w:val="0"/>
      </w:pPr>
      <w:r>
        <w:t>起始：2026/10/03　终止：2026/10/04</w:t>
      </w:r>
    </w:p>
    <w:p>
      <w:pPr>
        <w:pStyle w:val="PhaseBody"/>
        <w:keepNext/>
      </w:pPr>
      <w:r>
        <w:t>1号目标：补齐契约抽取错误和重规划接口，定义暂停／恢复／终止及可信快照格式。 / 4号目标：实现三类攻击输入和两个正常对照的可重复回放；完成一键重置、模拟端点计数和前端日志展示。</w:t>
      </w:r>
    </w:p>
    <w:p>
      <w:pPr>
        <w:pStyle w:val="PhaseBody"/>
        <w:keepLines/>
      </w:pPr>
      <w:r>
        <w:t>要求：错误契约可更正并留版本；回归不破坏原任务权限边界。 注意：先验证抽取本身，避免检测器围绕错误目标得到虚高结果。</w:t>
      </w:r>
    </w:p>
    <w:p>
      <w:pPr>
        <w:pStyle w:val="PhaseBody"/>
        <w:keepNext/>
      </w:pPr>
      <w:r>
        <w:t>2号目标：完成30—50条人工可检查轨迹，涵盖三类受控异常及合法对照；建立集合划分规则。</w:t>
      </w:r>
    </w:p>
    <w:p>
      <w:pPr>
        <w:pStyle w:val="PhaseBody"/>
        <w:keepLines/>
      </w:pPr>
      <w:r>
        <w:t>要求：记录首次偏移位置、证据、许可范围和完成结果；模板及改写不跨集合。 注意：该数量是开发目标；暂不使用最终测试集调阈值。</w:t>
      </w:r>
    </w:p>
    <w:p>
      <w:pPr>
        <w:pStyle w:val="PhaseBody"/>
        <w:keepNext/>
      </w:pPr>
      <w:r>
        <w:t>3号目标：分析单步漏报和误报，形成有限窗口、累计进展、来源切换等序列特征及初版检测器。</w:t>
      </w:r>
    </w:p>
    <w:p>
      <w:pPr>
        <w:pStyle w:val="PhaseBody"/>
        <w:keepLines/>
      </w:pPr>
      <w:r>
        <w:t>要求：同一轨迹可离线回放，输出每步风险、证据和处置建议。 注意：在线特征不读取未来步骤、最终结果或人工偏移位置。</w:t>
      </w:r>
    </w:p>
    <w:p>
      <w:pPr>
        <w:pStyle w:val="PhaseBody"/>
      </w:pPr>
      <w:r>
        <w:t>阶段验收：形成首批数据及标注说明，冻结开发／验证／测试的分组规则；原有与单步基线可复跑。</w:t>
      </w:r>
    </w:p>
    <w:p>
      <w:pPr>
        <w:pStyle w:val="Phase"/>
        <w:keepLines w:val="0"/>
      </w:pPr>
      <w:r>
        <w:t>V2.0  轻量语义与序列联合检测</w:t>
      </w:r>
    </w:p>
    <w:p>
      <w:pPr>
        <w:pStyle w:val="Meta"/>
        <w:keepLines w:val="0"/>
      </w:pPr>
      <w:r>
        <w:t>起始：2026/10/05　终止：2026/10/07</w:t>
      </w:r>
    </w:p>
    <w:p>
      <w:pPr>
        <w:pStyle w:val="PhaseBody"/>
        <w:keepNext/>
      </w:pPr>
      <w:r>
        <w:t>1号目标：将检测器接入工具执行前入口，提供子目标、规范化动作和可信当前状态；实现超时处置。 / 4号目标：把检测结果接入 IntentPanel，展示动作、来源、风险维度和处置建议；完成第一轮浏览器端到端实验。</w:t>
      </w:r>
    </w:p>
    <w:p>
      <w:pPr>
        <w:pStyle w:val="PhaseBody"/>
        <w:keepLines/>
      </w:pPr>
      <w:r>
        <w:t>要求：动作在检测结束前不执行；异常暂停并留事件，日志可关联原契约。 注意：节假日工时提前约定；高风险超时不能默认放行。</w:t>
      </w:r>
    </w:p>
    <w:p>
      <w:pPr>
        <w:pStyle w:val="PhaseBody"/>
        <w:keepNext/>
      </w:pPr>
      <w:r>
        <w:t>2号目标：扩展不同任务和来源的轨迹，制作序列风险时间线；梳理误报类型与正常任务完成情况。</w:t>
      </w:r>
    </w:p>
    <w:p>
      <w:pPr>
        <w:pStyle w:val="PhaseBody"/>
        <w:keepLines/>
      </w:pPr>
      <w:r>
        <w:t>要求：展示触发维度、上游引用和当前处置，记录样本来源与模板组。 注意：网页接触后行为变化是证据线索，不能直接当成因果证明。</w:t>
      </w:r>
    </w:p>
    <w:p>
      <w:pPr>
        <w:pStyle w:val="PhaseBody"/>
        <w:keepNext/>
      </w:pPr>
      <w:r>
        <w:t>3号目标：完成语义、序列、来源联合检测和阈值校准，限制窗口与缓存，初测模型加载及推理内存。</w:t>
      </w:r>
    </w:p>
    <w:p>
      <w:pPr>
        <w:pStyle w:val="PhaseBody"/>
        <w:keepLines/>
      </w:pPr>
      <w:r>
        <w:t>要求：相较单步基线能解释新增判断；保存模型、阈值、特征和数据版本。 注意：权重仅用开发／验证数据选择；不为追求召回无上限增加确认。</w:t>
      </w:r>
    </w:p>
    <w:p>
      <w:pPr>
        <w:pStyle w:val="PhaseBody"/>
      </w:pPr>
      <w:r>
        <w:t>阶段验收：I3完整输出可用，并有权限合法但目标偏离的验证案例；行为检测结果能够在真实工具执行前改变处置。</w:t>
      </w:r>
    </w:p>
    <w:p>
      <w:pPr>
        <w:pStyle w:val="Heading1"/>
        <w:pageBreakBefore/>
      </w:pPr>
      <w:r>
        <w:t>阶段分工｜V2.1起</w:t>
      </w:r>
    </w:p>
    <w:p>
      <w:pPr>
        <w:pStyle w:val="Phase"/>
        <w:keepLines w:val="0"/>
      </w:pPr>
      <w:r>
        <w:t>V2.1  动态防御与安全纠偏</w:t>
      </w:r>
    </w:p>
    <w:p>
      <w:pPr>
        <w:pStyle w:val="Meta"/>
        <w:keepLines w:val="0"/>
      </w:pPr>
      <w:r>
        <w:t>起始：2026/10/06　终止：2026/10/09</w:t>
      </w:r>
    </w:p>
    <w:p>
      <w:pPr>
        <w:pStyle w:val="PhaseBody"/>
        <w:keepNext/>
      </w:pPr>
      <w:r>
        <w:t>1号目标：实现继续／重规划／确认／拦截和有界恢复；处理依赖与并行动作暂停。 / 4号目标：完成暂停、澄清、重规划、阻断和安全终止的前端交互；准备一次成功纠偏和一次安全终止演示。</w:t>
      </w:r>
    </w:p>
    <w:p>
      <w:pPr>
        <w:pStyle w:val="PhaseBody"/>
        <w:keepLines/>
      </w:pPr>
      <w:r>
        <w:t>要求：新计划重新检查；仅恢复允许恢复的任务状态，不绕过已撤销授权。 注意：用户扩大目标必须新契约；已外发内容不能靠回滚收回。</w:t>
      </w:r>
    </w:p>
    <w:p>
      <w:pPr>
        <w:pStyle w:val="PhaseBody"/>
        <w:keepNext/>
      </w:pPr>
      <w:r>
        <w:t>2号目标：补齐纠偏过程页面和三类演示，记录暂停前后、副作用、恢复结果及用户确认次数。</w:t>
      </w:r>
    </w:p>
    <w:p>
      <w:pPr>
        <w:pStyle w:val="PhaseBody"/>
        <w:keepLines/>
      </w:pPr>
      <w:r>
        <w:t>要求：能展示一次成功恢复、一次安全终止及一次合法目标变更。 注意：演示恢复不能通过屏蔽检测器或删除证据完成。</w:t>
      </w:r>
    </w:p>
    <w:p>
      <w:pPr>
        <w:pStyle w:val="PhaseBody"/>
        <w:keepNext/>
      </w:pPr>
      <w:r>
        <w:t>3号目标：实现结构化纠偏理由、可信上下文重建和新计划复核；限制尝试次数、重复状态和预算。</w:t>
      </w:r>
    </w:p>
    <w:p>
      <w:pPr>
        <w:pStyle w:val="PhaseBody"/>
        <w:keepLines/>
      </w:pPr>
      <w:r>
        <w:t>要求：发现循环或无法恢复时终止；检测证据能支持处置选择。 注意：不把不可信文本原样作为恢复指令再次交给Planner。</w:t>
      </w:r>
    </w:p>
    <w:p>
      <w:pPr>
        <w:pStyle w:val="PhaseBody"/>
      </w:pPr>
      <w:r>
        <w:t>阶段验收：三类场景端到端可跑；至少一条权限合法但偏离任务经检测和纠偏安全完成；前端、网关、日志和实际副作用证据一致。</w:t>
      </w:r>
    </w:p>
    <w:p>
      <w:pPr>
        <w:pStyle w:val="Phase"/>
        <w:keepLines w:val="0"/>
      </w:pPr>
      <w:r>
        <w:t>V2.2  反馈、策略版本与完整展示</w:t>
      </w:r>
    </w:p>
    <w:p>
      <w:pPr>
        <w:pStyle w:val="Meta"/>
        <w:keepLines w:val="0"/>
      </w:pPr>
      <w:r>
        <w:t>起始：2026/10/11　终止：2026/10/12</w:t>
      </w:r>
    </w:p>
    <w:p>
      <w:pPr>
        <w:pStyle w:val="PhaseBody"/>
        <w:keepNext/>
      </w:pPr>
      <w:r>
        <w:t>1号目标：实现策略版本发布／回退接口，固定确认后继续执行的版本检查和缓存失效条件。 / 4号目标：完成三类攻击的完整演示脚本、截图和录屏；复核页面与后端事件、实际副作用计数一致。</w:t>
      </w:r>
    </w:p>
    <w:p>
      <w:pPr>
        <w:pStyle w:val="PhaseBody"/>
        <w:keepLines/>
      </w:pPr>
      <w:r>
        <w:t>要求：契约、策略及模型变更都有记录；恢复前重新核对当前权限。 注意：不能让旧决策缓存覆盖新的撤销或收紧策略。</w:t>
      </w:r>
    </w:p>
    <w:p>
      <w:pPr>
        <w:pStyle w:val="PhaseBody"/>
        <w:keepNext/>
      </w:pPr>
      <w:r>
        <w:t>2号目标：组织误报人工复核，形成可信反馈标签；完成契约—证据—处置—恢复结果页面和导出。</w:t>
      </w:r>
    </w:p>
    <w:p>
      <w:pPr>
        <w:pStyle w:val="PhaseBody"/>
        <w:keepLines/>
      </w:pPr>
      <w:r>
        <w:t>要求：反馈包含来源及复核者；可比较更新前后正常成功率、误报和确认频次。 注意：用户一次点击继续不必然等于高质量安全标签。</w:t>
      </w:r>
    </w:p>
    <w:p>
      <w:pPr>
        <w:pStyle w:val="PhaseBody"/>
        <w:keepNext/>
      </w:pPr>
      <w:r>
        <w:t>3号目标：实现离线反馈驱动的阈值或轻量模型更新，保留评估、批准及回退版本，完成I5闭环。</w:t>
      </w:r>
    </w:p>
    <w:p>
      <w:pPr>
        <w:pStyle w:val="PhaseBody"/>
        <w:keepLines/>
      </w:pPr>
      <w:r>
        <w:t>要求：至少一次受控更新通过回归；明确禁止项始终有效。 注意：不在线无约束学习，不让外部文本或反复试探降低防御。</w:t>
      </w:r>
    </w:p>
    <w:p>
      <w:pPr>
        <w:pStyle w:val="PhaseBody"/>
      </w:pPr>
      <w:r>
        <w:t>阶段验收：I2—I5、I8形成完整功能版本；反馈更新与回退均可演示，停止新增无关功能。</w:t>
      </w:r>
    </w:p>
    <w:p>
      <w:pPr>
        <w:pStyle w:val="Heading1"/>
        <w:pageBreakBefore/>
      </w:pPr>
      <w:r>
        <w:t>阶段分工｜V2.3起</w:t>
      </w:r>
    </w:p>
    <w:p>
      <w:pPr>
        <w:pStyle w:val="Phase"/>
        <w:keepLines w:val="0"/>
      </w:pPr>
      <w:r>
        <w:t>V2.3  整体验收与轻量化预检</w:t>
      </w:r>
    </w:p>
    <w:p>
      <w:pPr>
        <w:pStyle w:val="Meta"/>
        <w:keepLines w:val="0"/>
      </w:pPr>
      <w:r>
        <w:t>起始：2026/10/13　终止：2026/10/15</w:t>
      </w:r>
    </w:p>
    <w:p>
      <w:pPr>
        <w:pStyle w:val="PhaseBody"/>
        <w:keepNext/>
      </w:pPr>
      <w:r>
        <w:t>1号目标：完成系统集成回归及部署隔离，检查网关、取消、恢复、撤销和异常处置。 / 4号目标：制作现场启动包、演示数据包和回滚脚本；10月14日彩排，10月15日晚在干净环境完成复现并提交现场候选。</w:t>
      </w:r>
    </w:p>
    <w:p>
      <w:pPr>
        <w:pStyle w:val="PhaseBody"/>
        <w:keepLines/>
      </w:pPr>
      <w:r>
        <w:t>要求：提交可运行候选版本及接口冻结说明；优先修复阻断型缺陷。注意：不在此阶段扩展新执行工具。</w:t>
      </w:r>
    </w:p>
    <w:p>
      <w:pPr>
        <w:pStyle w:val="PhaseBody"/>
        <w:keepNext/>
      </w:pPr>
      <w:r>
        <w:t>2号目标：扩展并复核数百条轨迹目标，检查分组泄漏；整理三类演示和实验命令初稿。</w:t>
      </w:r>
    </w:p>
    <w:p>
      <w:pPr>
        <w:pStyle w:val="PhaseBody"/>
        <w:keepLines/>
      </w:pPr>
      <w:r>
        <w:t>要求：记录实际数据规模及覆盖，不达目标如实登记；由非作者复跑关键流程；数量不足不能用未复核改写凑数。</w:t>
      </w:r>
    </w:p>
    <w:p>
      <w:pPr>
        <w:pStyle w:val="PhaseBody"/>
        <w:keepNext/>
      </w:pPr>
      <w:r>
        <w:t>3号目标：完成窗口、缓存及量化候选预检，核对超时／模型不可用路径，牵头新增模块缺陷修复。</w:t>
      </w:r>
    </w:p>
    <w:p>
      <w:pPr>
        <w:pStyle w:val="PhaseBody"/>
        <w:keepLines/>
      </w:pPr>
      <w:r>
        <w:t>要求：分别统计安全组件与全原型内存，保存优化前后准确性与延迟结果。 注意：量化后需复评；不能只测空闲内存或漏掉模型加载峰值。</w:t>
      </w:r>
    </w:p>
    <w:p>
      <w:pPr>
        <w:pStyle w:val="PhaseBody"/>
      </w:pPr>
      <w:r>
        <w:t>阶段验收：标记intent-feature-v1.0，全部新增功能可用；记录500M口径及未关闭缺陷，进入正式实验。</w:t>
      </w:r>
    </w:p>
    <w:p>
      <w:pPr>
        <w:pStyle w:val="Phase"/>
        <w:keepLines w:val="0"/>
      </w:pPr>
      <w:r>
        <w:t>V3.0  评测锁定与对照运行</w:t>
      </w:r>
    </w:p>
    <w:p>
      <w:pPr>
        <w:pStyle w:val="Meta"/>
        <w:keepLines w:val="0"/>
      </w:pPr>
      <w:r>
        <w:t>起始：2026/10/17　终止：2026/10/22</w:t>
      </w:r>
    </w:p>
    <w:p>
      <w:pPr>
        <w:pStyle w:val="PhaseBody"/>
        <w:keepNext/>
      </w:pPr>
      <w:r>
        <w:t>1号目标：维护原有运行时、单步检测和完整 Intent 版本的相同执行环境，提供复现实验配置。 / 4号目标：按冻结脚本复跑路演场景，补充现场复现记录和设备兼容性检查；不引入新功能。</w:t>
      </w:r>
    </w:p>
    <w:p>
      <w:pPr>
        <w:pStyle w:val="PhaseBody"/>
        <w:keepLines/>
      </w:pPr>
      <w:r>
        <w:t>要求：确认模型、工具、权限及场景差异可追溯；只处理必要实验阻塞，不在测试锁定后扩展新功能。</w:t>
      </w:r>
    </w:p>
    <w:p>
      <w:pPr>
        <w:pStyle w:val="PhaseBody"/>
        <w:keepNext/>
      </w:pPr>
      <w:r>
        <w:t>2号目标：冻结测试清单、标签和指标定义，先跑对照与核心场景，整理原始结果。</w:t>
      </w:r>
    </w:p>
    <w:p>
      <w:pPr>
        <w:pStyle w:val="PhaseBody"/>
        <w:keepLines/>
      </w:pPr>
      <w:r>
        <w:t>要求：测试集在模型阈值冻结后使用；结果包含真实副作用与任务完成状态；失败结果不从统计中删除。</w:t>
      </w:r>
    </w:p>
    <w:p>
      <w:pPr>
        <w:pStyle w:val="PhaseBody"/>
        <w:keepNext/>
      </w:pPr>
      <w:r>
        <w:t>3号目标：主导自动化批量运行与漏误报分析，复核测试无信息泄漏；维护场景及检测器稳定。</w:t>
      </w:r>
    </w:p>
    <w:p>
      <w:pPr>
        <w:pStyle w:val="PhaseBody"/>
        <w:keepLines/>
      </w:pPr>
      <w:r>
        <w:t>要求：提出问题定位和必要修复方案，测试修复后记录受影响用例。 注意：不根据测试集反复调参后仍宣称它是未见测试；必要时另留新测试组。</w:t>
      </w:r>
    </w:p>
    <w:p>
      <w:pPr>
        <w:pStyle w:val="PhaseBody"/>
      </w:pPr>
      <w:r>
        <w:t>阶段验收：测试数据、配置和主要基线锁定，形成首批正式结果。</w:t>
      </w:r>
    </w:p>
    <w:p>
      <w:pPr>
        <w:pStyle w:val="Heading1"/>
        <w:pageBreakBefore/>
      </w:pPr>
      <w:r>
        <w:t>阶段分工｜V3.1起</w:t>
      </w:r>
    </w:p>
    <w:p>
      <w:pPr>
        <w:pStyle w:val="Phase"/>
        <w:keepLines w:val="0"/>
      </w:pPr>
      <w:r>
        <w:t>V3.1  完整实验与消融</w:t>
      </w:r>
    </w:p>
    <w:p>
      <w:pPr>
        <w:pStyle w:val="Meta"/>
        <w:keepLines w:val="0"/>
      </w:pPr>
      <w:r>
        <w:t>起始：2026/10/23　终止：2026/10/25</w:t>
      </w:r>
    </w:p>
    <w:p>
      <w:pPr>
        <w:pStyle w:val="PhaseBody"/>
        <w:keepNext/>
      </w:pPr>
      <w:r>
        <w:t>1号目标：负责端到端副作用、任务完成和纠偏状态结果核验，复跑真实受限工具与失败恢复。 / 4号目标：扩展场景覆盖和失败案例展示，协助核验前端状态、事件链与真实副作用证据。</w:t>
      </w:r>
    </w:p>
    <w:p>
      <w:pPr>
        <w:pStyle w:val="PhaseBody"/>
        <w:keepLines/>
      </w:pPr>
      <w:r>
        <w:t>要求：正常成功率、未授权动作实际完成比例和安全终止记录可审计。 注意：接口拒绝不等于没有副作用，要核查实际文件／Memory／模拟端点。</w:t>
      </w:r>
    </w:p>
    <w:p>
      <w:pPr>
        <w:pStyle w:val="PhaseBody"/>
        <w:keepNext/>
      </w:pPr>
      <w:r>
        <w:t>2号目标：主导汇总基线、移除序列／来源／纠偏消融与合法对照，整理图表和失败案例。</w:t>
      </w:r>
    </w:p>
    <w:p>
      <w:pPr>
        <w:pStyle w:val="PhaseBody"/>
        <w:keepLines/>
      </w:pPr>
      <w:r>
        <w:t>要求：同环境同数据比较，按任务组报告结果和不确定性；结论可追溯原始数据。 注意：正常任务可用性必须报告，不能只展示拦截成功样例。</w:t>
      </w:r>
    </w:p>
    <w:p>
      <w:pPr>
        <w:pStyle w:val="PhaseBody"/>
        <w:keepNext/>
      </w:pPr>
      <w:r>
        <w:t>3号目标：复核检测与消融结论，单独评测人工标准契约下的检测和自动抽取端到端结果。</w:t>
      </w:r>
    </w:p>
    <w:p>
      <w:pPr>
        <w:pStyle w:val="PhaseBody"/>
        <w:keepLines/>
      </w:pPr>
      <w:r>
        <w:t>要求：解释各模块贡献，记录首次偏移至检测步数、漏报和误报原因。 注意：不能将契约抽取提升全部归功于序列算法，也不能将权限拒绝归功于语义检测。</w:t>
      </w:r>
    </w:p>
    <w:p>
      <w:pPr>
        <w:pStyle w:val="PhaseBody"/>
      </w:pPr>
      <w:r>
        <w:t>阶段验收：完成I6主要实验及I7效果指标，冻结报告主要结论；失败和不确定性与成功结果一起保留。</w:t>
      </w:r>
    </w:p>
    <w:p>
      <w:pPr>
        <w:pStyle w:val="Phase"/>
        <w:keepLines w:val="0"/>
      </w:pPr>
      <w:r>
        <w:t>V3.2  性能、内存与发布候选</w:t>
      </w:r>
    </w:p>
    <w:p>
      <w:pPr>
        <w:pStyle w:val="Meta"/>
        <w:keepLines w:val="0"/>
      </w:pPr>
      <w:r>
        <w:t>起始：2026/10/26　终止：2026/10/28</w:t>
      </w:r>
    </w:p>
    <w:p>
      <w:pPr>
        <w:pStyle w:val="PhaseBody"/>
        <w:keepNext/>
      </w:pPr>
      <w:r>
        <w:t>1号目标：测量端到端延迟、进程／子进程和长任务资源，完成部署包及重启验证。 / 4号目标：完成部署包、启动脚本、资源占用记录和演示环境隔离；复核轻量化不破坏展示闭环。</w:t>
      </w:r>
    </w:p>
    <w:p>
      <w:pPr>
        <w:pStyle w:val="PhaseBody"/>
        <w:keepLines/>
      </w:pPr>
      <w:r>
        <w:t>要求：说明硬件、CPU／GPU、后端和远端依赖；安全语义保持不变。 注意：不能关闭检测、签名、撤销或必要持久化换性能。</w:t>
      </w:r>
    </w:p>
    <w:p>
      <w:pPr>
        <w:pStyle w:val="PhaseBody"/>
        <w:keepNext/>
      </w:pPr>
      <w:r>
        <w:t>2号目标：组织冷启动、稳态、长轨迹和约定并发的资源测试，完成轻量化报告及图表。</w:t>
      </w:r>
    </w:p>
    <w:p>
      <w:pPr>
        <w:pStyle w:val="PhaseBody"/>
        <w:keepLines/>
      </w:pPr>
      <w:r>
        <w:t>要求：安全组件、全原型、远程调用开销分别报告；确认500M核算范围。 注意：未核实口径只能报告测量值与假设，不能写“已满足官方要求”。</w:t>
      </w:r>
    </w:p>
    <w:p>
      <w:pPr>
        <w:pStyle w:val="PhaseBody"/>
        <w:keepNext/>
      </w:pPr>
      <w:r>
        <w:t>3号目标：完成必要的量化、缓存及窗口优化并复评，锁定模型、阈值、配置和公开验证样例。</w:t>
      </w:r>
    </w:p>
    <w:p>
      <w:pPr>
        <w:pStyle w:val="PhaseBody"/>
        <w:keepLines/>
      </w:pPr>
      <w:r>
        <w:t>要求：提供性能与效果取舍；修复影响结果时重测相关项目及必要回归。 注意：未经验证的压缩模型不进入发布；保留旧模型和策略用于回退。</w:t>
      </w:r>
    </w:p>
    <w:p>
      <w:pPr>
        <w:pStyle w:val="PhaseBody"/>
      </w:pPr>
      <w:r>
        <w:t>阶段验收：10月28日形成intent-rc-v1.0；实现、模型、实验结果、资源报告和部署包对应同一候选版本。</w:t>
      </w:r>
    </w:p>
    <w:p>
      <w:pPr>
        <w:pStyle w:val="Heading1"/>
        <w:pageBreakBefore/>
      </w:pPr>
      <w:r>
        <w:t>阶段分工｜V4.0起</w:t>
      </w:r>
    </w:p>
    <w:p>
      <w:pPr>
        <w:pStyle w:val="Phase"/>
        <w:keepLines w:val="0"/>
      </w:pPr>
      <w:r>
        <w:t>V4.0  解决方案与路演材料</w:t>
      </w:r>
    </w:p>
    <w:p>
      <w:pPr>
        <w:pStyle w:val="Meta"/>
        <w:keepLines w:val="0"/>
      </w:pPr>
      <w:r>
        <w:t>起始：2026/10/29　终止：2026/10/30</w:t>
      </w:r>
    </w:p>
    <w:p>
      <w:pPr>
        <w:pStyle w:val="PhaseBody"/>
        <w:keepNext/>
      </w:pPr>
      <w:r>
        <w:t>1号目标：完成架构、系统流程、集成部署和使用说明，独立检查软件包与现场启动流程。 / 4号目标：完成部署包、启动脚本、资源占用记录和演示环境隔离；复核轻量化不破坏展示闭环。</w:t>
      </w:r>
    </w:p>
    <w:p>
      <w:pPr>
        <w:pStyle w:val="PhaseBody"/>
        <w:keepLines/>
      </w:pPr>
      <w:r>
        <w:t>要求：新环境可按文档启动；明确当前项目基底与 Intent 新增贡献。注意：不临时改技术栈或引入现场必须联网安装的隐含依赖。</w:t>
      </w:r>
    </w:p>
    <w:p>
      <w:pPr>
        <w:pStyle w:val="PhaseBody"/>
        <w:keepNext/>
      </w:pPr>
      <w:r>
        <w:t>2号目标：统稿解决方案、实验报告、PPT、视频和答辩稿，说明目标用户、接入成本和应用价值。</w:t>
      </w:r>
    </w:p>
    <w:p>
      <w:pPr>
        <w:pStyle w:val="PhaseBody"/>
        <w:keepLines/>
      </w:pPr>
      <w:r>
        <w:t>要求：材料以实测数据为依据；演示覆盖目标确认、偏移、处置和安全完成。 注意：无真实试点时标为拟试点，合作、收入、用户数和市场效果不编造。</w:t>
      </w:r>
    </w:p>
    <w:p>
      <w:pPr>
        <w:pStyle w:val="PhaseBody"/>
        <w:keepNext/>
      </w:pPr>
      <w:r>
        <w:t>3号目标：复核算法、阈值、轻量化、实验及安全边界章节，准备创新性和失败案例问答。</w:t>
      </w:r>
    </w:p>
    <w:p>
      <w:pPr>
        <w:pStyle w:val="PhaseBody"/>
        <w:keepLines/>
      </w:pPr>
      <w:r>
        <w:t>要求：说明相比已有方法的增量证据、局限与适用范围；技术表述与代码一致。 注意：不能将组合方法直接称为首次提出或宣称全面防御提示注入。</w:t>
      </w:r>
    </w:p>
    <w:p>
      <w:pPr>
        <w:pStyle w:val="PhaseBody"/>
      </w:pPr>
      <w:r>
        <w:t>阶段验收：软件、数据说明、报告、演示及讲解材料齐全，四人交叉审阅；按已确认平台格式准备上传包。</w:t>
      </w:r>
    </w:p>
    <w:p>
      <w:pPr>
        <w:pStyle w:val="Phase"/>
        <w:keepLines w:val="0"/>
      </w:pPr>
      <w:r>
        <w:t>V4.1  内部终验与交付归档</w:t>
      </w:r>
    </w:p>
    <w:p>
      <w:pPr>
        <w:pStyle w:val="Meta"/>
        <w:keepLines w:val="0"/>
      </w:pPr>
      <w:r>
        <w:t>起始：2026/10/31　终止：2026/10/31</w:t>
      </w:r>
    </w:p>
    <w:p>
      <w:pPr>
        <w:pStyle w:val="PhaseBody"/>
        <w:keepNext/>
      </w:pPr>
      <w:r>
        <w:t>1号目标：核对最终提交、依赖、配置和启动说明；制作发布标签和文件校验摘要。 / 4号目标：完成部署包、启动脚本、资源占用记录和演示环境隔离；复核轻量化不破坏展示闭环。</w:t>
      </w:r>
    </w:p>
    <w:p>
      <w:pPr>
        <w:pStyle w:val="PhaseBody"/>
        <w:keepLines/>
      </w:pPr>
      <w:r>
        <w:t>要求：可从干净环境复现正常任务与三类防御；运行限制明确。 注意：标签固定后不混入未验证功能；保留上一候选版本。</w:t>
      </w:r>
    </w:p>
    <w:p>
      <w:pPr>
        <w:pStyle w:val="PhaseBody"/>
        <w:keepNext/>
      </w:pPr>
      <w:r>
        <w:t>2号目标：按交付清单核对附件、视频和结果；由有权限的成员按正式时间完成平台提交或待提交归档。</w:t>
      </w:r>
    </w:p>
    <w:p>
      <w:pPr>
        <w:pStyle w:val="PhaseBody"/>
        <w:keepLines/>
      </w:pPr>
      <w:r>
        <w:t>要求：记录最终截止和当前提交状态；已提交则保存回执，尚未开放则标记待提交。 注意：10月31日只是内部完成目标，不虚构平台已接收或官方截止。</w:t>
      </w:r>
    </w:p>
    <w:p>
      <w:pPr>
        <w:pStyle w:val="PhaseBody"/>
        <w:keepNext/>
      </w:pPr>
      <w:r>
        <w:t>3号目标：复核模型／阈值／数据版本、证据和资源口径，协助终验及技术问题答复。</w:t>
      </w:r>
    </w:p>
    <w:p>
      <w:pPr>
        <w:pStyle w:val="PhaseBody"/>
        <w:keepLines/>
      </w:pPr>
      <w:r>
        <w:t>要求：确认I1—I9逐项有实现及证据，安全边界和失败情况完整披露。 注意：未通过的硬指标记为未通过；不能通过删报告项目假装完成。</w:t>
      </w:r>
    </w:p>
    <w:p>
      <w:pPr>
        <w:pStyle w:val="PhaseBody"/>
      </w:pPr>
      <w:r>
        <w:t>阶段验收：标记intent-submission-v1.0，归档代码、模型、数据索引、实验、材料及提交状态；官方日期提前则提前重排本计划。</w:t>
      </w:r>
    </w:p>
    <w:p>
      <w:pPr>
        <w:pStyle w:val="Heading1"/>
        <w:pageBreakBefore/>
      </w:pPr>
      <w:r>
        <w:t>实验验收｜评价定义与结果边界</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FD7E2"/>
          <w:left w:val="single" w:sz="4" w:color="CFD7E2"/>
          <w:bottom w:val="single" w:sz="4" w:color="CFD7E2"/>
          <w:right w:val="single" w:sz="4" w:color="CFD7E2"/>
          <w:insideH w:val="single" w:sz="4" w:color="CFD7E2"/>
          <w:insideV w:val="single" w:sz="4" w:color="CFD7E2"/>
        </w:tblBorders>
      </w:tblPr>
      <w:tblGrid>
        <w:gridCol w:w="2300"/>
        <w:gridCol w:w="7060"/>
      </w:tblGrid>
      <w:tr>
        <w:trPr>
          <w:cantSplit/>
          <w:tblHeader/>
        </w:trPr>
        <w:tc>
          <w:tcPr>
            <w:tcW w:type="dxa" w:w="2300"/>
            <w:shd w:fill="E8EEF5"/>
          </w:tcPr>
          <w:p>
            <w:r>
              <w:t>指标</w:t>
            </w:r>
          </w:p>
        </w:tc>
        <w:tc>
          <w:tcPr>
            <w:tcW w:type="dxa" w:w="7060"/>
            <w:shd w:fill="E8EEF5"/>
          </w:tcPr>
          <w:p>
            <w:r>
              <w:t>建议统计口径</w:t>
            </w:r>
          </w:p>
        </w:tc>
      </w:tr>
      <w:tr>
        <w:trPr>
          <w:cantSplit/>
        </w:trPr>
        <w:tc>
          <w:tcPr>
            <w:tcW w:type="dxa" w:w="2300"/>
          </w:tcPr>
          <w:p>
            <w:r>
              <w:t>风险召回率／误报率</w:t>
            </w:r>
          </w:p>
        </w:tc>
        <w:tc>
          <w:tcPr>
            <w:tcW w:type="dxa" w:w="7060"/>
          </w:tcPr>
          <w:p>
            <w:r>
              <w:t>分别报告步骤级与轨迹级；正负标签、判定单位及分母明确。</w:t>
            </w:r>
          </w:p>
        </w:tc>
      </w:tr>
      <w:tr>
        <w:trPr>
          <w:cantSplit/>
        </w:trPr>
        <w:tc>
          <w:tcPr>
            <w:tcW w:type="dxa" w:w="2300"/>
          </w:tcPr>
          <w:p>
            <w:r>
              <w:t>实际未授权动作比例</w:t>
            </w:r>
          </w:p>
        </w:tc>
        <w:tc>
          <w:tcPr>
            <w:tcW w:type="dxa" w:w="7060"/>
          </w:tcPr>
          <w:p>
            <w:r>
              <w:t>分子为实际完成的未授权动作，分母为尝试的未授权动作；核查副作用。</w:t>
            </w:r>
          </w:p>
        </w:tc>
      </w:tr>
      <w:tr>
        <w:trPr>
          <w:cantSplit/>
        </w:trPr>
        <w:tc>
          <w:tcPr>
            <w:tcW w:type="dxa" w:w="2300"/>
          </w:tcPr>
          <w:p>
            <w:r>
              <w:t>正常任务成功率</w:t>
            </w:r>
          </w:p>
        </w:tc>
        <w:tc>
          <w:tcPr>
            <w:tcW w:type="dxa" w:w="7060"/>
          </w:tcPr>
          <w:p>
            <w:r>
              <w:t>合法任务满足完成条件的比例；安全停止不算成功完成。</w:t>
            </w:r>
          </w:p>
        </w:tc>
      </w:tr>
      <w:tr>
        <w:trPr>
          <w:cantSplit/>
        </w:trPr>
        <w:tc>
          <w:tcPr>
            <w:tcW w:type="dxa" w:w="2300"/>
          </w:tcPr>
          <w:p>
            <w:r>
              <w:t>纠偏后安全完成率</w:t>
            </w:r>
          </w:p>
        </w:tc>
        <w:tc>
          <w:tcPr>
            <w:tcW w:type="dxa" w:w="7060"/>
          </w:tcPr>
          <w:p>
            <w:r>
              <w:t>在预先定义的触发纠偏任务中，未产生禁止副作用且最终完成任务的比例。</w:t>
            </w:r>
          </w:p>
        </w:tc>
      </w:tr>
      <w:tr>
        <w:trPr>
          <w:cantSplit/>
        </w:trPr>
        <w:tc>
          <w:tcPr>
            <w:tcW w:type="dxa" w:w="2300"/>
          </w:tcPr>
          <w:p>
            <w:r>
              <w:t>检测延迟步数</w:t>
            </w:r>
          </w:p>
        </w:tc>
        <w:tc>
          <w:tcPr>
            <w:tcW w:type="dxa" w:w="7060"/>
          </w:tcPr>
          <w:p>
            <w:r>
              <w:t>从首次人工标注偏移到首次检测的步数；漏检单列，不能悄悄剔除。</w:t>
            </w:r>
          </w:p>
        </w:tc>
      </w:tr>
      <w:tr>
        <w:trPr>
          <w:cantSplit/>
        </w:trPr>
        <w:tc>
          <w:tcPr>
            <w:tcW w:type="dxa" w:w="2300"/>
          </w:tcPr>
          <w:p>
            <w:r>
              <w:t>用户确认频次</w:t>
            </w:r>
          </w:p>
        </w:tc>
        <w:tc>
          <w:tcPr>
            <w:tcW w:type="dxa" w:w="7060"/>
          </w:tcPr>
          <w:p>
            <w:r>
              <w:t>每任务确认次数、确认原因及拒绝／继续／取消结果。</w:t>
            </w:r>
          </w:p>
        </w:tc>
      </w:tr>
      <w:tr>
        <w:trPr>
          <w:cantSplit/>
        </w:trPr>
        <w:tc>
          <w:tcPr>
            <w:tcW w:type="dxa" w:w="2300"/>
          </w:tcPr>
          <w:p>
            <w:r>
              <w:t>额外延迟</w:t>
            </w:r>
          </w:p>
        </w:tc>
        <w:tc>
          <w:tcPr>
            <w:tcW w:type="dxa" w:w="7060"/>
          </w:tcPr>
          <w:p>
            <w:r>
              <w:t>相同任务和环境下检测／纠偏引入的延迟；单列模型调用和恢复成本。</w:t>
            </w:r>
          </w:p>
        </w:tc>
      </w:tr>
      <w:tr>
        <w:trPr>
          <w:cantSplit/>
        </w:trPr>
        <w:tc>
          <w:tcPr>
            <w:tcW w:type="dxa" w:w="2300"/>
          </w:tcPr>
          <w:p>
            <w:r>
              <w:t>峰值内存</w:t>
            </w:r>
          </w:p>
        </w:tc>
        <w:tc>
          <w:tcPr>
            <w:tcW w:type="dxa" w:w="7060"/>
          </w:tcPr>
          <w:p>
            <w:r>
              <w:t>冷启动、稳态、长轨迹及约定并发；组件、全系统与远程成本分别统计。</w:t>
            </w:r>
          </w:p>
        </w:tc>
      </w:tr>
    </w:tbl>
    <w:p>
      <w:pPr>
        <w:pStyle w:val="TableCitation"/>
        <w:keepLines w:val="0"/>
      </w:pPr>
      <w:r>
        <w:t>本表为项目测量约定；最终要与命题方明确要求一致。比例为零分母时记为不适用，不能当作100%成功。</w:t>
      </w:r>
    </w:p>
    <w:p>
      <w:pPr>
        <w:pStyle w:val="Heading2"/>
      </w:pPr>
      <w:r>
        <w:t>必须完成的对照</w:t>
      </w:r>
    </w:p>
    <w:p>
      <w:pPr>
        <w:keepLines w:val="0"/>
      </w:pPr>
      <w:r>
        <w:t>正常合法任务与三类受控偏移场景同时评测；加入真实用户经可信入口修改目标、合理工具替换和必要多步查询。特别保留权限合法却偏离目标的样本，避免新增算法的效果被基础权限拒绝掩盖。</w:t>
      </w:r>
    </w:p>
    <w:p>
      <w:pPr>
        <w:keepLines w:val="0"/>
      </w:pPr>
      <w:r>
        <w:t>使用人工标准契约测量检测器本身，再使用自动抽取契约测量端到端效果。移除序列、来源、纠偏分别测量贡献；不同版本保持相同工具权限和任务配置，避免把执行层差异误认为算法收益。</w:t>
      </w:r>
    </w:p>
    <w:p>
      <w:pPr>
        <w:pStyle w:val="Heading2"/>
      </w:pPr>
      <w:r>
        <w:t>实验保存规则</w:t>
      </w:r>
    </w:p>
    <w:p>
      <w:pPr>
        <w:keepLines w:val="0"/>
      </w:pPr>
      <w:r>
        <w:t>每次运行保存代码提交、模型与策略版本、数据划分、任务模板、环境、随机种子、原始事件、标签和分析脚本。测试轨迹是隔离环境中的合成数据与模拟外发，不生成面向第三方目标的攻击流程。记录所有失败及不适用项，并说明统计不确定性和样本覆盖限制。</w:t>
      </w:r>
    </w:p>
    <w:p>
      <w:pPr>
        <w:pStyle w:val="Heading1"/>
        <w:pageBreakBefore/>
      </w:pPr>
      <w:r>
        <w:t>GitHub协作、交付清单与计划维护</w:t>
      </w:r>
    </w:p>
    <w:p>
      <w:pPr>
        <w:pStyle w:val="Heading2"/>
      </w:pPr>
      <w:r>
        <w:t>分支和合并规则</w:t>
      </w:r>
    </w:p>
    <w:p>
      <w:pPr>
        <w:keepLines w:val="0"/>
      </w:pPr>
      <w:r>
        <w:t>从已验收的 Runtime Base 创建 aegis-intent；每名成员建立短期 feature 分支，经 PR 审阅后合入。基底缺陷回到基底分支修复并同步；Intent 新增算法、场景和界面留在本分支。</w:t>
      </w:r>
    </w:p>
    <w:p>
      <w:pPr>
        <w:keepLines w:val="0"/>
      </w:pPr>
      <w:r>
        <w:t>1号维护集成与接口清单；2号维护数据／实验／证据索引；3号维护模型、特征、阈值和策略版本。公共模式变更至少由另一名受影响成员评审；每个PR包含对应I项、行为变化、验证结果和已知限制。</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CFD7E2"/>
          <w:left w:val="single" w:sz="4" w:color="CFD7E2"/>
          <w:bottom w:val="single" w:sz="4" w:color="CFD7E2"/>
          <w:right w:val="single" w:sz="4" w:color="CFD7E2"/>
          <w:insideH w:val="single" w:sz="4" w:color="CFD7E2"/>
          <w:insideV w:val="single" w:sz="4" w:color="CFD7E2"/>
        </w:tblBorders>
      </w:tblPr>
      <w:tblGrid>
        <w:gridCol w:w="4950"/>
        <w:gridCol w:w="1800"/>
        <w:gridCol w:w="2610"/>
      </w:tblGrid>
      <w:tr>
        <w:trPr>
          <w:cantSplit/>
          <w:tblHeader/>
        </w:trPr>
        <w:tc>
          <w:tcPr>
            <w:tcW w:type="dxa" w:w="4950"/>
            <w:shd w:fill="E8EEF5"/>
          </w:tcPr>
          <w:p>
            <w:r>
              <w:t>最终交付</w:t>
            </w:r>
          </w:p>
        </w:tc>
        <w:tc>
          <w:tcPr>
            <w:tcW w:type="dxa" w:w="1800"/>
            <w:shd w:fill="E8EEF5"/>
          </w:tcPr>
          <w:p>
            <w:r>
              <w:t>主责</w:t>
            </w:r>
          </w:p>
        </w:tc>
        <w:tc>
          <w:tcPr>
            <w:tcW w:type="dxa" w:w="2610"/>
            <w:shd w:fill="E8EEF5"/>
          </w:tcPr>
          <w:p>
            <w:r>
              <w:t>交叉复核</w:t>
            </w:r>
          </w:p>
        </w:tc>
      </w:tr>
      <w:tr>
        <w:trPr>
          <w:cantSplit/>
        </w:trPr>
        <w:tc>
          <w:tcPr>
            <w:tcW w:type="dxa" w:w="4950"/>
          </w:tcPr>
          <w:p>
            <w:r>
              <w:t>契约抽取、网关集成、纠偏与部署</w:t>
            </w:r>
          </w:p>
        </w:tc>
        <w:tc>
          <w:tcPr>
            <w:tcW w:type="dxa" w:w="1800"/>
          </w:tcPr>
          <w:p>
            <w:r>
              <w:t>1号</w:t>
            </w:r>
          </w:p>
        </w:tc>
        <w:tc>
          <w:tcPr>
            <w:tcW w:type="dxa" w:w="2610"/>
          </w:tcPr>
          <w:p>
            <w:r>
              <w:t>3号、4号</w:t>
            </w:r>
          </w:p>
        </w:tc>
      </w:tr>
      <w:tr>
        <w:trPr>
          <w:cantSplit/>
        </w:trPr>
        <w:tc>
          <w:tcPr>
            <w:tcW w:type="dxa" w:w="4950"/>
          </w:tcPr>
          <w:p>
            <w:r>
              <w:t>检测器、模型、策略更新及轻量化</w:t>
            </w:r>
          </w:p>
        </w:tc>
        <w:tc>
          <w:tcPr>
            <w:tcW w:type="dxa" w:w="1800"/>
          </w:tcPr>
          <w:p>
            <w:r>
              <w:t>3号</w:t>
            </w:r>
          </w:p>
        </w:tc>
        <w:tc>
          <w:tcPr>
            <w:tcW w:type="dxa" w:w="2610"/>
          </w:tcPr>
          <w:p>
            <w:r>
              <w:t>1号；2号；4号复跑</w:t>
            </w:r>
          </w:p>
        </w:tc>
      </w:tr>
      <w:tr>
        <w:trPr>
          <w:cantSplit/>
        </w:trPr>
        <w:tc>
          <w:tcPr>
            <w:tcW w:type="dxa" w:w="4950"/>
          </w:tcPr>
          <w:p>
            <w:r>
              <w:t>数据、标注、基线和消融结果</w:t>
            </w:r>
          </w:p>
        </w:tc>
        <w:tc>
          <w:tcPr>
            <w:tcW w:type="dxa" w:w="1800"/>
          </w:tcPr>
          <w:p>
            <w:r>
              <w:t>2号</w:t>
            </w:r>
          </w:p>
        </w:tc>
        <w:tc>
          <w:tcPr>
            <w:tcW w:type="dxa" w:w="2610"/>
          </w:tcPr>
          <w:p>
            <w:r>
              <w:t>1号、3号、4号</w:t>
            </w:r>
          </w:p>
        </w:tc>
      </w:tr>
      <w:tr>
        <w:trPr>
          <w:cantSplit/>
        </w:trPr>
        <w:tc>
          <w:tcPr>
            <w:tcW w:type="dxa" w:w="4950"/>
          </w:tcPr>
          <w:p>
            <w:r>
              <w:t>专用界面、演示视频、实验报告</w:t>
            </w:r>
          </w:p>
        </w:tc>
        <w:tc>
          <w:tcPr>
            <w:tcW w:type="dxa" w:w="1800"/>
          </w:tcPr>
          <w:p>
            <w:r>
              <w:t>4号；2号</w:t>
            </w:r>
          </w:p>
        </w:tc>
        <w:tc>
          <w:tcPr>
            <w:tcW w:type="dxa" w:w="2610"/>
          </w:tcPr>
          <w:p>
            <w:r>
              <w:t>1号、3号</w:t>
            </w:r>
          </w:p>
        </w:tc>
      </w:tr>
      <w:tr>
        <w:trPr>
          <w:cantSplit/>
        </w:trPr>
        <w:tc>
          <w:tcPr>
            <w:tcW w:type="dxa" w:w="4950"/>
          </w:tcPr>
          <w:p>
            <w:r>
              <w:t>解决方案、应用价值和路演材料</w:t>
            </w:r>
          </w:p>
        </w:tc>
        <w:tc>
          <w:tcPr>
            <w:tcW w:type="dxa" w:w="1800"/>
          </w:tcPr>
          <w:p>
            <w:r>
              <w:t>2号统稿</w:t>
            </w:r>
          </w:p>
        </w:tc>
        <w:tc>
          <w:tcPr>
            <w:tcW w:type="dxa" w:w="2610"/>
          </w:tcPr>
          <w:p>
            <w:r>
              <w:t>全员按负责章节复核</w:t>
            </w:r>
          </w:p>
        </w:tc>
      </w:tr>
      <w:tr>
        <w:trPr>
          <w:cantSplit/>
        </w:trPr>
        <w:tc>
          <w:tcPr>
            <w:tcW w:type="dxa" w:w="4950"/>
          </w:tcPr>
          <w:p>
            <w:r>
              <w:t>最终标签、发布包与可复现运行</w:t>
            </w:r>
          </w:p>
        </w:tc>
        <w:tc>
          <w:tcPr>
            <w:tcW w:type="dxa" w:w="1800"/>
          </w:tcPr>
          <w:p>
            <w:r>
              <w:t>1号</w:t>
            </w:r>
          </w:p>
        </w:tc>
        <w:tc>
          <w:tcPr>
            <w:tcW w:type="dxa" w:w="2610"/>
          </w:tcPr>
          <w:p>
            <w:r>
              <w:t>2号、3号、4号</w:t>
            </w:r>
          </w:p>
        </w:tc>
      </w:tr>
      <w:tr>
        <w:trPr>
          <w:cantSplit/>
        </w:trPr>
        <w:tc>
          <w:tcPr>
            <w:tcW w:type="dxa" w:w="4950"/>
          </w:tcPr>
          <w:p>
            <w:r>
              <w:t>平台附件、提交状态与回执</w:t>
            </w:r>
          </w:p>
        </w:tc>
        <w:tc>
          <w:tcPr>
            <w:tcW w:type="dxa" w:w="1800"/>
          </w:tcPr>
          <w:p>
            <w:r>
              <w:t>2号组织</w:t>
            </w:r>
          </w:p>
        </w:tc>
        <w:tc>
          <w:tcPr>
            <w:tcW w:type="dxa" w:w="2610"/>
          </w:tcPr>
          <w:p>
            <w:r>
              <w:t>有平台权限的团队成员／老师</w:t>
            </w:r>
          </w:p>
        </w:tc>
      </w:tr>
    </w:tbl>
    <w:p>
      <w:pPr>
        <w:pStyle w:val="Heading2"/>
      </w:pPr>
      <w:r>
        <w:t>阶段完成定义</w:t>
      </w:r>
    </w:p>
    <w:p>
      <w:pPr>
        <w:keepLines w:val="0"/>
      </w:pPr>
      <w:r>
        <w:t>同时具备可运行实现、必要的正常与异常验证、版本化配置、说明和非作者复核，才可标记完成。只有界面、接口声明或演示特例不算交付。缺陷关闭要有复测证据；时间不足时先调整人力和日期，不能删除已承诺的完整内容。</w:t>
      </w:r>
    </w:p>
    <w:p>
      <w:pPr>
        <w:pStyle w:val="Heading2"/>
      </w:pPr>
      <w:r>
        <w:t>依据与待核实信息</w:t>
      </w:r>
    </w:p>
    <w:p>
      <w:pPr>
        <w:keepLines w:val="0"/>
      </w:pPr>
      <w:r>
        <w:t>技术范围来自当前项目基底、最新版作品书和本项目的命题要求。正式赛程、材料格式和轻量化口径以赛事通知和平台页面为准。</w:t>
      </w:r>
    </w:p>
    <w:p>
      <w:pPr>
        <w:keepLines w:val="0"/>
      </w:pPr>
      <w:r>
        <w:t>本文件用于四人并行开发与阶段复核，需在启动日填入真实成员姓名、可用工时、分支名和接口版本；不代表已完成报名、获得晋级资格、达到指标或完成平台提交。</w:t>
      </w:r>
    </w:p>
    <w:p>
      <w:pPr>
        <w:pStyle w:val="Heading2"/>
      </w:pPr>
      <w:r>
        <w:t>Intent 公共接口与关键字段冻结表</w:t>
      </w:r>
    </w:p>
    <w:p>
      <w:r>
        <w:t>以下接口优先以 JSON schema 和 fixture 形式冻结，四名成员可并行实现。内部实现可变化，字段含义和版本只能通过显式版本升级修改。</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接口或对象</w:t>
            </w:r>
          </w:p>
        </w:tc>
        <w:tc>
          <w:tcPr>
            <w:tcW w:type="dxa" w:w="2340"/>
          </w:tcPr>
          <w:p>
            <w:r>
              <w:t>关键字段</w:t>
            </w:r>
          </w:p>
        </w:tc>
        <w:tc>
          <w:tcPr>
            <w:tcW w:type="dxa" w:w="2340"/>
          </w:tcPr>
          <w:p>
            <w:r>
              <w:t>提供者／使用者</w:t>
            </w:r>
          </w:p>
        </w:tc>
        <w:tc>
          <w:tcPr>
            <w:tcW w:type="dxa" w:w="2340"/>
          </w:tcPr>
          <w:p>
            <w:r>
              <w:t>首个联调节点</w:t>
            </w:r>
          </w:p>
        </w:tc>
      </w:tr>
      <w:tr>
        <w:tc>
          <w:tcPr>
            <w:tcW w:type="dxa" w:w="2340"/>
          </w:tcPr>
          <w:p>
            <w:r>
              <w:t>IntentSpec</w:t>
            </w:r>
          </w:p>
        </w:tc>
        <w:tc>
          <w:tcPr>
            <w:tcW w:type="dxa" w:w="2340"/>
          </w:tcPr>
          <w:p>
            <w:r>
              <w:t>intent_id, task_id, goal, scope, allowed_actions, forbidden_actions, success_criteria, source_refs, version, confirmed_by, confirmed_at</w:t>
            </w:r>
          </w:p>
        </w:tc>
        <w:tc>
          <w:tcPr>
            <w:tcW w:type="dxa" w:w="2340"/>
          </w:tcPr>
          <w:p>
            <w:r>
              <w:t>1号提供；2/3/4号使用</w:t>
            </w:r>
          </w:p>
        </w:tc>
        <w:tc>
          <w:tcPr>
            <w:tcW w:type="dxa" w:w="2340"/>
          </w:tcPr>
          <w:p>
            <w:r>
              <w:t>09-30</w:t>
            </w:r>
          </w:p>
        </w:tc>
      </w:tr>
      <w:tr>
        <w:tc>
          <w:tcPr>
            <w:tcW w:type="dxa" w:w="2340"/>
          </w:tcPr>
          <w:p>
            <w:r>
              <w:t>TaskContract</w:t>
            </w:r>
          </w:p>
        </w:tc>
        <w:tc>
          <w:tcPr>
            <w:tcW w:type="dxa" w:w="2340"/>
          </w:tcPr>
          <w:p>
            <w:r>
              <w:t>contract_id, contract_version, intent_ref, resources, tools, permissions, completion_conditions, parent_version, status, digest</w:t>
            </w:r>
          </w:p>
        </w:tc>
        <w:tc>
          <w:tcPr>
            <w:tcW w:type="dxa" w:w="2340"/>
          </w:tcPr>
          <w:p>
            <w:r>
              <w:t>1号提供；网关和纠偏使用</w:t>
            </w:r>
          </w:p>
        </w:tc>
        <w:tc>
          <w:tcPr>
            <w:tcW w:type="dxa" w:w="2340"/>
          </w:tcPr>
          <w:p>
            <w:r>
              <w:t>09-30</w:t>
            </w:r>
          </w:p>
        </w:tc>
      </w:tr>
      <w:tr>
        <w:tc>
          <w:tcPr>
            <w:tcW w:type="dxa" w:w="2340"/>
          </w:tcPr>
          <w:p>
            <w:r>
              <w:t>BehaviorEvent</w:t>
            </w:r>
          </w:p>
        </w:tc>
        <w:tc>
          <w:tcPr>
            <w:tcW w:type="dxa" w:w="2340"/>
          </w:tcPr>
          <w:p>
            <w:r>
              <w:t>event_id, task_id, step_index, actor, source_type, source_ref, subgoal, tool, action, args_digest, target, risk_flags, timestamp</w:t>
            </w:r>
          </w:p>
        </w:tc>
        <w:tc>
          <w:tcPr>
            <w:tcW w:type="dxa" w:w="2340"/>
          </w:tcPr>
          <w:p>
            <w:r>
              <w:t>3号提供；1/2/4号写入或展示</w:t>
            </w:r>
          </w:p>
        </w:tc>
        <w:tc>
          <w:tcPr>
            <w:tcW w:type="dxa" w:w="2340"/>
          </w:tcPr>
          <w:p>
            <w:r>
              <w:t>10-03</w:t>
            </w:r>
          </w:p>
        </w:tc>
      </w:tr>
      <w:tr>
        <w:tc>
          <w:tcPr>
            <w:tcW w:type="dxa" w:w="2340"/>
          </w:tcPr>
          <w:p>
            <w:r>
              <w:t>DecisionResult</w:t>
            </w:r>
          </w:p>
        </w:tc>
        <w:tc>
          <w:tcPr>
            <w:tcW w:type="dxa" w:w="2340"/>
          </w:tcPr>
          <w:p>
            <w:r>
              <w:t>decision_id, decision, risk_score, trigger_dimensions, evidence_refs, reason_code, policy_version, detector_version, expires_at</w:t>
            </w:r>
          </w:p>
        </w:tc>
        <w:tc>
          <w:tcPr>
            <w:tcW w:type="dxa" w:w="2340"/>
          </w:tcPr>
          <w:p>
            <w:r>
              <w:t>3号提供；1号执行，4号展示</w:t>
            </w:r>
          </w:p>
        </w:tc>
        <w:tc>
          <w:tcPr>
            <w:tcW w:type="dxa" w:w="2340"/>
          </w:tcPr>
          <w:p>
            <w:r>
              <w:t>10-06</w:t>
            </w:r>
          </w:p>
        </w:tc>
      </w:tr>
      <w:tr>
        <w:tc>
          <w:tcPr>
            <w:tcW w:type="dxa" w:w="2340"/>
          </w:tcPr>
          <w:p>
            <w:r>
              <w:t>CorrectionPlan</w:t>
            </w:r>
          </w:p>
        </w:tc>
        <w:tc>
          <w:tcPr>
            <w:tcW w:type="dxa" w:w="2340"/>
          </w:tcPr>
          <w:p>
            <w:r>
              <w:t>plan_id, base_contract_version, contaminated_refs, proposed_actions, added_scope, confirmation_required, retry_budget, status</w:t>
            </w:r>
          </w:p>
        </w:tc>
        <w:tc>
          <w:tcPr>
            <w:tcW w:type="dxa" w:w="2340"/>
          </w:tcPr>
          <w:p>
            <w:r>
              <w:t>1号与3号提供；4号展示</w:t>
            </w:r>
          </w:p>
        </w:tc>
        <w:tc>
          <w:tcPr>
            <w:tcW w:type="dxa" w:w="2340"/>
          </w:tcPr>
          <w:p>
            <w:r>
              <w:t>10-09</w:t>
            </w:r>
          </w:p>
        </w:tc>
      </w:tr>
      <w:tr>
        <w:tc>
          <w:tcPr>
            <w:tcW w:type="dxa" w:w="2340"/>
          </w:tcPr>
          <w:p>
            <w:r>
              <w:t>EffectCheck</w:t>
            </w:r>
          </w:p>
        </w:tc>
        <w:tc>
          <w:tcPr>
            <w:tcW w:type="dxa" w:w="2340"/>
          </w:tcPr>
          <w:p>
            <w:r>
              <w:t>effect_id, request_id, tool, normalized_target, before_digest, after_digest, side_effect_ref, status</w:t>
            </w:r>
          </w:p>
        </w:tc>
        <w:tc>
          <w:tcPr>
            <w:tcW w:type="dxa" w:w="2340"/>
          </w:tcPr>
          <w:p>
            <w:r>
              <w:t>1号提供；2号记录，4号演示</w:t>
            </w:r>
          </w:p>
        </w:tc>
        <w:tc>
          <w:tcPr>
            <w:tcW w:type="dxa" w:w="2340"/>
          </w:tcPr>
          <w:p>
            <w:r>
              <w:t>10-09</w:t>
            </w:r>
          </w:p>
        </w:tc>
      </w:tr>
      <w:tr>
        <w:tc>
          <w:tcPr>
            <w:tcW w:type="dxa" w:w="2340"/>
          </w:tcPr>
          <w:p>
            <w:r>
              <w:t>EvidenceBundle</w:t>
            </w:r>
          </w:p>
        </w:tc>
        <w:tc>
          <w:tcPr>
            <w:tcW w:type="dxa" w:w="2340"/>
          </w:tcPr>
          <w:p>
            <w:r>
              <w:t>bundle_version, task_id, contract_digest, events, decisions, effects, screenshots, checksums, environment, created_at</w:t>
            </w:r>
          </w:p>
        </w:tc>
        <w:tc>
          <w:tcPr>
            <w:tcW w:type="dxa" w:w="2340"/>
          </w:tcPr>
          <w:p>
            <w:r>
              <w:t>2号提供；全员写入</w:t>
            </w:r>
          </w:p>
        </w:tc>
        <w:tc>
          <w:tcPr>
            <w:tcW w:type="dxa" w:w="2340"/>
          </w:tcPr>
          <w:p>
            <w:r>
              <w:t>10-12</w:t>
            </w:r>
          </w:p>
        </w:tc>
      </w:tr>
      <w:tr>
        <w:tc>
          <w:tcPr>
            <w:tcW w:type="dxa" w:w="2340"/>
          </w:tcPr>
          <w:p>
            <w:r>
              <w:t>FeedbackRecord</w:t>
            </w:r>
          </w:p>
        </w:tc>
        <w:tc>
          <w:tcPr>
            <w:tcW w:type="dxa" w:w="2340"/>
          </w:tcPr>
          <w:p>
            <w:r>
              <w:t>feedback_id, case_id, label, source, reviewer, old_policy_version, candidate_version, evaluation_ref, approval, rollback_ref</w:t>
            </w:r>
          </w:p>
        </w:tc>
        <w:tc>
          <w:tcPr>
            <w:tcW w:type="dxa" w:w="2340"/>
          </w:tcPr>
          <w:p>
            <w:r>
              <w:t>3号提供；2号组织复核</w:t>
            </w:r>
          </w:p>
        </w:tc>
        <w:tc>
          <w:tcPr>
            <w:tcW w:type="dxa" w:w="2340"/>
          </w:tcPr>
          <w:p>
            <w:r>
              <w:t>10-12</w:t>
            </w:r>
          </w:p>
        </w:tc>
      </w:tr>
    </w:tbl>
    <w:p>
      <w:pPr>
        <w:pStyle w:val="Heading2"/>
      </w:pPr>
      <w:r>
        <w:t>国庆高强度开发安排</w:t>
      </w:r>
    </w:p>
    <w:p>
      <w:r>
        <w:t>10月1日至10月7日为本计划的主要开发窗口。四人每天分别推进契约与网关、数据与证据、检测器与策略、场景与前端四条线；每天结束前提交可运行代码、实验记录或页面证据。10月7日晚必须完成三类攻击、两个正常对照、一次真实执行前拦截、一次纠偏或安全终止，并能在前端展示事件链。10月8日结果公布后，不再等待其他成员完成后才启动任务，而是按缺陷优先级并行收尾。</w:t>
      </w:r>
    </w:p>
    <w:sectPr w:rsidR="00FC693F" w:rsidRPr="0006063C" w:rsidSect="00034616">
      <w:headerReference w:type="default" r:id="rId9"/>
      <w:footerReference w:type="default" r:id="rId10"/>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AEGIS-INTENT  /  创新大赛开发分工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20" w:lineRule="exact"/>
      <w:jc w:val="left"/>
      <w:snapToGrid w:val="0"/>
    </w:pPr>
    <w:rPr>
      <w:rFonts w:ascii="Calibri" w:hAnsi="Calibri" w:eastAsia="Noto Sans CJK SC"/>
      <w:b w:val="0"/>
      <w:color w:val="202A35"/>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jc w:val="left"/>
      <w:snapToGrid w:val="0"/>
    </w:pPr>
    <w:rPr>
      <w:rFonts w:ascii="Calibri" w:hAnsi="Calibri" w:eastAsia="Noto Sans CJK SC"/>
      <w:b w:val="0"/>
      <w:color w:val="6B728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jc w:val="left"/>
      <w:snapToGrid w:val="0"/>
    </w:pPr>
    <w:rPr>
      <w:rFonts w:ascii="Calibri" w:hAnsi="Calibri" w:eastAsia="Noto Sans CJK SC"/>
      <w:b w:val="0"/>
      <w:color w:val="6B728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440" w:lineRule="exact"/>
      <w:jc w:val="left"/>
      <w:outlineLvl w:val="0"/>
      <w:snapToGrid w:val="0"/>
    </w:pPr>
    <w:rPr>
      <w:rFonts w:ascii="Calibri" w:hAnsi="Calibri"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60" w:lineRule="exact"/>
      <w:jc w:val="left"/>
      <w:outlineLvl w:val="1"/>
      <w:snapToGrid w:val="0"/>
    </w:pPr>
    <w:rPr>
      <w:rFonts w:ascii="Calibri" w:hAnsi="Calibri"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40" w:lineRule="exact"/>
      <w:jc w:val="left"/>
      <w:outlineLvl w:val="2"/>
      <w:snapToGrid w:val="0"/>
    </w:pPr>
    <w:rPr>
      <w:rFonts w:ascii="Calibri" w:hAnsi="Calibri"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560" w:lineRule="exact" w:before="0"/>
      <w:contextualSpacing/>
      <w:jc w:val="left"/>
      <w:snapToGrid w:val="0"/>
    </w:pPr>
    <w:rPr>
      <w:rFonts w:ascii="Calibri" w:hAnsi="Calibri" w:eastAsia="Noto Sans CJK SC"/>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320" w:lineRule="exact"/>
      <w:jc w:val="left"/>
      <w:snapToGrid w:val="0"/>
    </w:pPr>
    <w:rPr>
      <w:rFonts w:ascii="Calibri" w:hAnsi="Calibri" w:eastAsia="Noto Sans CJK SC"/>
      <w:b w:val="0"/>
      <w:i w:val="0"/>
      <w:iCs/>
      <w:color w:val="555F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ase">
    <w:name w:val="Phase"/>
    <w:pPr>
      <w:keepNext/>
      <w:widowControl/>
      <w:spacing w:before="200" w:after="120" w:line="360" w:lineRule="exact"/>
      <w:jc w:val="left"/>
      <w:snapToGrid w:val="0"/>
    </w:pPr>
    <w:rPr>
      <w:rFonts w:ascii="Calibri" w:hAnsi="Calibri" w:eastAsia="Noto Sans CJK SC"/>
      <w:b/>
      <w:color w:val="2E74B5"/>
      <w:sz w:val="26"/>
    </w:rPr>
  </w:style>
  <w:style w:type="paragraph" w:customStyle="1" w:styleId="Meta">
    <w:name w:val="Meta"/>
    <w:pPr>
      <w:widowControl/>
      <w:spacing w:before="0" w:after="80" w:line="240" w:lineRule="exact"/>
      <w:jc w:val="left"/>
      <w:snapToGrid w:val="0"/>
    </w:pPr>
    <w:rPr>
      <w:rFonts w:ascii="Calibri" w:hAnsi="Calibri" w:eastAsia="Noto Sans CJK SC"/>
      <w:b w:val="0"/>
      <w:color w:val="555F6C"/>
      <w:sz w:val="19"/>
    </w:rPr>
  </w:style>
  <w:style w:type="paragraph" w:customStyle="1" w:styleId="TableBody">
    <w:name w:val="Table Body"/>
    <w:pPr>
      <w:widowControl/>
      <w:spacing w:before="0" w:after="80" w:line="260" w:lineRule="exact"/>
      <w:jc w:val="left"/>
      <w:snapToGrid w:val="0"/>
    </w:pPr>
    <w:rPr>
      <w:rFonts w:ascii="Calibri" w:hAnsi="Calibri" w:eastAsia="Noto Sans CJK SC"/>
      <w:b w:val="0"/>
      <w:color w:val="202A35"/>
      <w:sz w:val="19"/>
    </w:rPr>
  </w:style>
  <w:style w:type="paragraph" w:customStyle="1" w:styleId="TableCitation">
    <w:name w:val="Table Citation"/>
    <w:pPr>
      <w:widowControl/>
      <w:spacing w:before="80" w:after="80" w:line="240" w:lineRule="exact"/>
      <w:jc w:val="left"/>
      <w:snapToGrid w:val="0"/>
    </w:pPr>
    <w:rPr>
      <w:rFonts w:ascii="Calibri" w:hAnsi="Calibri" w:eastAsia="Noto Sans CJK SC"/>
      <w:b w:val="0"/>
      <w:color w:val="555F6C"/>
      <w:sz w:val="19"/>
    </w:rPr>
  </w:style>
  <w:style w:type="paragraph" w:customStyle="1" w:styleId="PhaseBody">
    <w:name w:val="PhaseBody"/>
    <w:pPr>
      <w:widowControl/>
      <w:spacing w:before="0" w:after="80" w:line="300" w:lineRule="exact"/>
      <w:jc w:val="left"/>
      <w:snapToGrid w:val="0"/>
    </w:pPr>
    <w:rPr>
      <w:rFonts w:ascii="Calibri" w:hAnsi="Calibri" w:eastAsia="Noto Sans CJK SC"/>
      <w:b w:val="0"/>
      <w:color w:val="202A3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Aegis-Intent 创新大赛完整范围与分工计划</dc:title>
  <dc:subject>2026年9月21日起；1558意图检测与动态纠偏方向</dc:subject>
  <dc:creator>Aegis 项目组</dc:creator>
  <cp:keywords>Aegis-Intent,1558,意图偏移,轻量化,分工</cp:keywords>
  <dc:description>generated by python-docx</dc:description>
  <cp:lastModifiedBy/>
  <cp:revision>1</cp:revision>
  <dcterms:created xsi:type="dcterms:W3CDTF">2013-12-23T23:15:00Z</dcterms:created>
  <dcterms:modified xsi:type="dcterms:W3CDTF">2013-12-23T23:15:00Z</dcterms:modified>
  <cp:category/>
</cp:coreProperties>
</file>