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OpenShift 4.22 ACM Automation (Hub-Spoke, Nutanix)</w:t>
      </w:r>
    </w:p>
    <w:p>
      <w:pPr>
        <w:pStyle w:val="Heading2"/>
        <w:spacing w:after="200"/>
      </w:pPr>
      <w:r>
        <w:t xml:space="preserve">Kanban-Ready Task Cards</w:t>
      </w:r>
    </w:p>
    <w:p>
      <w:pPr>
        <w:spacing w:after="120"/>
      </w:pPr>
      <w:r>
        <w:rPr>
          <w:b/>
          <w:bCs/>
        </w:rPr>
        <w:t xml:space="preserve">Repo:</w:t>
      </w:r>
      <w:r>
        <w:t xml:space="preserve"> </w:t>
      </w:r>
      <w:r>
        <w:rPr>
          <w:rFonts w:ascii="Consolas" w:cs="Consolas" w:eastAsia="Consolas" w:hAnsi="Consolas"/>
          <w:sz w:val="19"/>
          <w:szCs w:val="19"/>
        </w:rPr>
        <w:t xml:space="preserve">SkylarScaling/71638776-openshift-automation</w:t>
      </w:r>
    </w:p>
    <w:p>
      <w:pPr>
        <w:spacing w:after="120"/>
      </w:pPr>
      <w:r>
        <w:rPr>
          <w:b/>
          <w:bCs/>
        </w:rPr>
        <w:t xml:space="preserve">How to use this document:</w:t>
      </w:r>
      <w:r>
        <w:t xml:space="preserve"> each shaded box is a single kanban card — use the bolded text as the card title, and the "Acceptance criteria" line beneath it as the card description or Definition of Done. Phase and section headings map to suggested swimlanes/columns or epics (e.g., one column per Phase, or one epic per section, with cards moving through To Do → In Progress → Done).</w:t>
      </w:r>
    </w:p>
    <w:p>
      <w:pPr>
        <w:pStyle w:val="Heading1"/>
        <w:spacing w:after="160" w:before="320"/>
      </w:pPr>
      <w:r>
        <w:t xml:space="preserve">Phase 0 — Discovery &amp;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final cluster topology (hub-spoke, no Global Hub)</w:t>
            </w:r>
          </w:p>
        </w:tc>
      </w:tr>
    </w:tbl>
    <w:p>
      <w:pPr>
        <w:spacing w:after="220" w:before="60"/>
        <w:ind w:left="215"/>
      </w:pPr>
      <w:r>
        <w:rPr>
          <w:b/>
          <w:bCs/>
          <w:i/>
          <w:iCs/>
          <w:sz w:val="19"/>
          <w:szCs w:val="19"/>
        </w:rPr>
        <w:t xml:space="preserve">Acceptance criteria: </w:t>
      </w:r>
      <w:r>
        <w:rPr>
          <w:sz w:val="19"/>
          <w:szCs w:val="19"/>
        </w:rPr>
        <w:t xml:space="preserve">Confirm final topology: single ACM Hub cluster per site + N managed clusters (no Regional Hub, no Global Hub) — document this explicitly in the design doc/SOW so it isn't re-litigated mid-project.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Verify OCP 4.22 support on Nutanix IPI</w:t>
            </w:r>
          </w:p>
        </w:tc>
      </w:tr>
    </w:tbl>
    <w:p>
      <w:pPr>
        <w:spacing w:after="220" w:before="60"/>
        <w:ind w:left="215"/>
      </w:pPr>
      <w:r>
        <w:rPr>
          <w:b/>
          <w:bCs/>
          <w:i/>
          <w:iCs/>
          <w:sz w:val="19"/>
          <w:szCs w:val="19"/>
        </w:rPr>
        <w:t xml:space="preserve">Acceptance criteria: </w:t>
      </w:r>
      <w:r>
        <w:rPr>
          <w:sz w:val="19"/>
          <w:szCs w:val="19"/>
        </w:rPr>
        <w:t xml:space="preserve">Confirm target OpenShift version support: verify </w:t>
      </w:r>
      <w:r>
        <w:rPr>
          <w:rFonts w:ascii="Consolas" w:cs="Consolas" w:eastAsia="Consolas" w:hAnsi="Consolas"/>
          <w:sz w:val="19"/>
          <w:szCs w:val="19"/>
        </w:rPr>
        <w:t xml:space="preserve">4.22</w:t>
      </w:r>
      <w:r>
        <w:rPr>
          <w:sz w:val="19"/>
          <w:szCs w:val="19"/>
        </w:rPr>
        <w:t xml:space="preserve"> is compatible with the installer/version logic baked into the roles, and check Red Hat's OCP 4.22 platform support matrix for Nutanix IPI specifically (platform support can lag behind AWS).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Review existing Nutanix IPI role structure</w:t>
            </w:r>
          </w:p>
        </w:tc>
      </w:tr>
    </w:tbl>
    <w:p>
      <w:pPr>
        <w:spacing w:after="220" w:before="60"/>
        <w:ind w:left="215"/>
      </w:pPr>
      <w:r>
        <w:rPr>
          <w:b/>
          <w:bCs/>
          <w:i/>
          <w:iCs/>
          <w:sz w:val="19"/>
          <w:szCs w:val="19"/>
        </w:rPr>
        <w:t xml:space="preserve">Acceptance criteria: </w:t>
      </w:r>
      <w:r>
        <w:rPr>
          <w:sz w:val="19"/>
          <w:szCs w:val="19"/>
        </w:rPr>
        <w:t xml:space="preserve">Review the repo's existing Nutanix IPI role/variable structure (Prism Central/Element vars, subnet, VIP, and any load-balancer/DNS integration points) against this customer's environment to identify what's directly usable vs. what needs adaptation.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Nutanix environment structure</w:t>
            </w:r>
          </w:p>
        </w:tc>
      </w:tr>
    </w:tbl>
    <w:p>
      <w:pPr>
        <w:spacing w:after="220" w:before="60"/>
        <w:ind w:left="215"/>
      </w:pPr>
      <w:r>
        <w:rPr>
          <w:b/>
          <w:bCs/>
          <w:i/>
          <w:iCs/>
          <w:sz w:val="19"/>
          <w:szCs w:val="19"/>
        </w:rPr>
        <w:t xml:space="preserve">Acceptance criteria: </w:t>
      </w:r>
      <w:r>
        <w:rPr>
          <w:sz w:val="19"/>
          <w:szCs w:val="19"/>
        </w:rPr>
        <w:t xml:space="preserve">Confirm Nutanix environment structure: single Prism Central managing all 5 sites vs. per-site Prism Central; Prism Element cluster(s), AHV version, and available compute/storage capacity per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networking model &amp; LB approach per site</w:t>
            </w:r>
          </w:p>
        </w:tc>
      </w:tr>
    </w:tbl>
    <w:p>
      <w:pPr>
        <w:spacing w:after="220" w:before="60"/>
        <w:ind w:left="215"/>
      </w:pPr>
      <w:r>
        <w:rPr>
          <w:b/>
          <w:bCs/>
          <w:i/>
          <w:iCs/>
          <w:sz w:val="19"/>
          <w:szCs w:val="19"/>
        </w:rPr>
        <w:t xml:space="preserve">Acceptance criteria: </w:t>
      </w:r>
      <w:r>
        <w:rPr>
          <w:sz w:val="19"/>
          <w:szCs w:val="19"/>
        </w:rPr>
        <w:t xml:space="preserve">Confirm networking model per site: VLAN/subnet for OpenShift nodes, DHCP vs. static IPs/reservations, and how API/Ingress VIPs will be fronted (customer LB such as F5/NSX-ALB, or MetalLB/kube-vip) — confirm which of these the repo's existing Nutanix role already supports vs. expects the customer to provide externally.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DNS ownership &amp; automation per site</w:t>
            </w:r>
          </w:p>
        </w:tc>
      </w:tr>
    </w:tbl>
    <w:p>
      <w:pPr>
        <w:spacing w:after="220" w:before="60"/>
        <w:ind w:left="215"/>
      </w:pPr>
      <w:r>
        <w:rPr>
          <w:b/>
          <w:bCs/>
          <w:i/>
          <w:iCs/>
          <w:sz w:val="19"/>
          <w:szCs w:val="19"/>
        </w:rPr>
        <w:t xml:space="preserve">Acceptance criteria: </w:t>
      </w:r>
      <w:r>
        <w:rPr>
          <w:sz w:val="19"/>
          <w:szCs w:val="19"/>
        </w:rPr>
        <w:t xml:space="preserve">Confirm DNS ownership per site: identify who creates/updates API, </w:t>
      </w:r>
      <w:r>
        <w:rPr>
          <w:rFonts w:ascii="Consolas" w:cs="Consolas" w:eastAsia="Consolas" w:hAnsi="Consolas"/>
          <w:sz w:val="19"/>
          <w:szCs w:val="19"/>
        </w:rPr>
        <w:t xml:space="preserve">*.apps</w:t>
      </w:r>
      <w:r>
        <w:rPr>
          <w:sz w:val="19"/>
          <w:szCs w:val="19"/>
        </w:rPr>
        <w:t xml:space="preserve">, and ingress DNS records for this customer, and whether the repo's existing Nutanix path automates that or expects it as a pre/post-install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Nutanix CSI storage class support</w:t>
            </w:r>
          </w:p>
        </w:tc>
      </w:tr>
    </w:tbl>
    <w:p>
      <w:pPr>
        <w:spacing w:after="220" w:before="60"/>
        <w:ind w:left="215"/>
      </w:pPr>
      <w:r>
        <w:rPr>
          <w:b/>
          <w:bCs/>
          <w:i/>
          <w:iCs/>
          <w:sz w:val="19"/>
          <w:szCs w:val="19"/>
        </w:rPr>
        <w:t xml:space="preserve">Acceptance criteria: </w:t>
      </w:r>
      <w:r>
        <w:rPr>
          <w:sz w:val="19"/>
          <w:szCs w:val="19"/>
        </w:rPr>
        <w:t xml:space="preserve">Confirm storage: whether the repo's existing Nutanix path already wires up Nutanix CSI-backed storage classes for ODF, or whether that needs to be added.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Inventory customer-specific substitutions</w:t>
            </w:r>
          </w:p>
        </w:tc>
      </w:tr>
    </w:tbl>
    <w:p>
      <w:pPr>
        <w:spacing w:after="220" w:before="60"/>
        <w:ind w:left="215"/>
      </w:pPr>
      <w:r>
        <w:rPr>
          <w:b/>
          <w:bCs/>
          <w:i/>
          <w:iCs/>
          <w:sz w:val="19"/>
          <w:szCs w:val="19"/>
        </w:rPr>
        <w:t xml:space="preserve">Acceptance criteria: </w:t>
      </w:r>
      <w:r>
        <w:rPr>
          <w:sz w:val="19"/>
          <w:szCs w:val="19"/>
        </w:rPr>
        <w:t xml:space="preserve">Inventory customer-specific substitutions needed: image registry (Quay vs. customer registry), GitOps repo host (customer GitHub/GitLab vs. public GitHub), SMTP relay, pull secret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Identify security &amp; compliance requirements</w:t>
            </w:r>
          </w:p>
        </w:tc>
      </w:tr>
    </w:tbl>
    <w:p>
      <w:pPr>
        <w:spacing w:after="220" w:before="60"/>
        <w:ind w:left="215"/>
      </w:pPr>
      <w:r>
        <w:rPr>
          <w:b/>
          <w:bCs/>
          <w:i/>
          <w:iCs/>
          <w:sz w:val="19"/>
          <w:szCs w:val="19"/>
        </w:rPr>
        <w:t xml:space="preserve">Acceptance criteria: </w:t>
      </w:r>
      <w:r>
        <w:rPr>
          <w:sz w:val="19"/>
          <w:szCs w:val="19"/>
        </w:rPr>
        <w:t xml:space="preserve">Identify customer security/compliance requirements (network segmentation, egress proxy requirements, logging/SIEM integration, change management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Define success criteria &amp; acceptance tests</w:t>
            </w:r>
          </w:p>
        </w:tc>
      </w:tr>
    </w:tbl>
    <w:p>
      <w:pPr>
        <w:spacing w:after="220" w:before="60"/>
        <w:ind w:left="215"/>
      </w:pPr>
      <w:r>
        <w:rPr>
          <w:b/>
          <w:bCs/>
          <w:i/>
          <w:iCs/>
          <w:sz w:val="19"/>
          <w:szCs w:val="19"/>
        </w:rPr>
        <w:t xml:space="preserve">Acceptance criteria: </w:t>
      </w:r>
      <w:r>
        <w:rPr>
          <w:sz w:val="19"/>
          <w:szCs w:val="19"/>
        </w:rPr>
        <w:t xml:space="preserve">Define success criteria and acceptance tests for "implemented and tested" vs. "production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Establish RACI for 5-site rollout</w:t>
            </w:r>
          </w:p>
        </w:tc>
      </w:tr>
    </w:tbl>
    <w:p>
      <w:pPr>
        <w:spacing w:after="220" w:before="60"/>
        <w:ind w:left="215"/>
      </w:pPr>
      <w:r>
        <w:rPr>
          <w:b/>
          <w:bCs/>
          <w:i/>
          <w:iCs/>
          <w:sz w:val="19"/>
          <w:szCs w:val="19"/>
        </w:rPr>
        <w:t xml:space="preserve">Acceptance criteria: </w:t>
      </w:r>
      <w:r>
        <w:rPr>
          <w:sz w:val="19"/>
          <w:szCs w:val="19"/>
        </w:rPr>
        <w:t xml:space="preserve">Establish RACI for the 5-site rollout (who owns Nutanix capacity/quota, DNS record creation, firewall change requests, on-call during cutover).</w:t>
      </w:r>
    </w:p>
    <w:p>
      <w:pPr>
        <w:pStyle w:val="Heading1"/>
        <w:spacing w:after="160" w:before="320"/>
      </w:pPr>
      <w:r>
        <w:t xml:space="preserve">Phase 1 — Cluster Prerequisites &amp; Network/Firewall Validation</w:t>
      </w:r>
    </w:p>
    <w:p>
      <w:pPr>
        <w:pStyle w:val="Heading2"/>
        <w:spacing w:after="100" w:before="220"/>
      </w:pPr>
      <w:r>
        <w:t xml:space="preserve">1.1 Nutanix Account, Capacity &amp;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Nutanix service account &amp; permissions</w:t>
            </w:r>
          </w:p>
        </w:tc>
      </w:tr>
    </w:tbl>
    <w:p>
      <w:pPr>
        <w:spacing w:after="220" w:before="60"/>
        <w:ind w:left="215"/>
      </w:pPr>
      <w:r>
        <w:rPr>
          <w:b/>
          <w:bCs/>
          <w:i/>
          <w:iCs/>
          <w:sz w:val="19"/>
          <w:szCs w:val="19"/>
        </w:rPr>
        <w:t xml:space="preserve">Acceptance criteria: </w:t>
      </w:r>
      <w:r>
        <w:rPr>
          <w:sz w:val="19"/>
          <w:szCs w:val="19"/>
        </w:rPr>
        <w:t xml:space="preserve">Validate a Nutanix service account/role exists with permissions to create VMs, images, networks, and categories via Prism Central API/Terraform provider, scoped appropriately for the automation (avoid using a full admin account where a scoped role suffices).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per-site compute/storage capacity</w:t>
            </w:r>
          </w:p>
        </w:tc>
      </w:tr>
    </w:tbl>
    <w:p>
      <w:pPr>
        <w:spacing w:after="220" w:before="60"/>
        <w:ind w:left="215"/>
      </w:pPr>
      <w:r>
        <w:rPr>
          <w:b/>
          <w:bCs/>
          <w:i/>
          <w:iCs/>
          <w:sz w:val="19"/>
          <w:szCs w:val="19"/>
        </w:rPr>
        <w:t xml:space="preserve">Acceptance criteria: </w:t>
      </w:r>
      <w:r>
        <w:rPr>
          <w:sz w:val="19"/>
          <w:szCs w:val="19"/>
        </w:rPr>
        <w:t xml:space="preserve">Confirm compute/storage/memory capacity reserved per site is sufficient for the Hub cluster + all planned managed clusters (control plane, worker, and any infra/storage node pools) — there is no cloud-elastic quota to fall back on, so this must be sized up front per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RHCOS image handling approach</w:t>
            </w:r>
          </w:p>
        </w:tc>
      </w:tr>
    </w:tbl>
    <w:p>
      <w:pPr>
        <w:spacing w:after="220" w:before="60"/>
        <w:ind w:left="215"/>
      </w:pPr>
      <w:r>
        <w:rPr>
          <w:b/>
          <w:bCs/>
          <w:i/>
          <w:iCs/>
          <w:sz w:val="19"/>
          <w:szCs w:val="19"/>
        </w:rPr>
        <w:t xml:space="preserve">Acceptance criteria: </w:t>
      </w:r>
      <w:r>
        <w:rPr>
          <w:sz w:val="19"/>
          <w:szCs w:val="19"/>
        </w:rPr>
        <w:t xml:space="preserve">Confirm the RHCOS image handling approach for Nutanix: image upload to Prism Central image service (via installer or pre-staged), and how that's refreshed for each OCP 4.22 z-stream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Provision subnets, VLANs &amp; IP reservations</w:t>
            </w:r>
          </w:p>
        </w:tc>
      </w:tr>
    </w:tbl>
    <w:p>
      <w:pPr>
        <w:spacing w:after="220" w:before="60"/>
        <w:ind w:left="215"/>
      </w:pPr>
      <w:r>
        <w:rPr>
          <w:b/>
          <w:bCs/>
          <w:i/>
          <w:iCs/>
          <w:sz w:val="19"/>
          <w:szCs w:val="19"/>
        </w:rPr>
        <w:t xml:space="preserve">Acceptance criteria: </w:t>
      </w:r>
      <w:r>
        <w:rPr>
          <w:sz w:val="19"/>
          <w:szCs w:val="19"/>
        </w:rPr>
        <w:t xml:space="preserve">Confirm subnet(s)/VLAN(s), IP ranges, and any static IP reservations (or DHCP scope) are provisioned per site for control plane, worker, and bootstrap nodes.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Reserve API &amp; Ingress VIPs</w:t>
            </w:r>
          </w:p>
        </w:tc>
      </w:tr>
    </w:tbl>
    <w:p>
      <w:pPr>
        <w:spacing w:after="220" w:before="60"/>
        <w:ind w:left="215"/>
      </w:pPr>
      <w:r>
        <w:rPr>
          <w:b/>
          <w:bCs/>
          <w:i/>
          <w:iCs/>
          <w:sz w:val="19"/>
          <w:szCs w:val="19"/>
        </w:rPr>
        <w:t xml:space="preserve">Acceptance criteria: </w:t>
      </w:r>
      <w:r>
        <w:rPr>
          <w:sz w:val="19"/>
          <w:szCs w:val="19"/>
        </w:rPr>
        <w:t xml:space="preserve">Confirm API and Ingress VIP addresses/DNS names are reserved per site and consistent with the load-balancer approach decided in Phase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DNS record-creation access</w:t>
            </w:r>
          </w:p>
        </w:tc>
      </w:tr>
    </w:tbl>
    <w:p>
      <w:pPr>
        <w:spacing w:after="220" w:before="60"/>
        <w:ind w:left="215"/>
      </w:pPr>
      <w:r>
        <w:rPr>
          <w:b/>
          <w:bCs/>
          <w:i/>
          <w:iCs/>
          <w:sz w:val="19"/>
          <w:szCs w:val="19"/>
        </w:rPr>
        <w:t xml:space="preserve">Acceptance criteria: </w:t>
      </w:r>
      <w:r>
        <w:rPr>
          <w:sz w:val="19"/>
          <w:szCs w:val="19"/>
        </w:rPr>
        <w:t xml:space="preserve">Confirm DNS zone/record-creation access is in place per site for API, </w:t>
      </w:r>
      <w:r>
        <w:rPr>
          <w:rFonts w:ascii="Consolas" w:cs="Consolas" w:eastAsia="Consolas" w:hAnsi="Consolas"/>
          <w:sz w:val="19"/>
          <w:szCs w:val="19"/>
        </w:rPr>
        <w:t xml:space="preserve">*.apps</w:t>
      </w:r>
      <w:r>
        <w:rPr>
          <w:sz w:val="19"/>
          <w:szCs w:val="19"/>
        </w:rPr>
        <w:t xml:space="preserve"> wildcard (or explicit ingress records), so each site's </w:t>
      </w:r>
      <w:r>
        <w:rPr>
          <w:rFonts w:ascii="Consolas" w:cs="Consolas" w:eastAsia="Consolas" w:hAnsi="Consolas"/>
          <w:sz w:val="19"/>
          <w:szCs w:val="19"/>
        </w:rPr>
        <w:t xml:space="preserve">base_domain</w:t>
      </w:r>
      <w:r>
        <w:rPr>
          <w:sz w:val="19"/>
          <w:szCs w:val="19"/>
        </w:rPr>
        <w:t xml:space="preserve"> resolves correctly before install.</w:t>
      </w:r>
    </w:p>
    <w:p>
      <w:pPr>
        <w:pStyle w:val="Heading2"/>
        <w:spacing w:after="100" w:before="220"/>
      </w:pPr>
      <w:r>
        <w:t xml:space="preserve">1.2 Firewall / Egress Allow-List (least-privilege)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Red Hat registry firewall rules</w:t>
            </w:r>
          </w:p>
        </w:tc>
      </w:tr>
    </w:tbl>
    <w:p>
      <w:pPr>
        <w:spacing w:after="220" w:before="60"/>
        <w:ind w:left="215"/>
      </w:pPr>
      <w:r>
        <w:rPr>
          <w:b/>
          <w:bCs/>
          <w:i/>
          <w:iCs/>
          <w:sz w:val="19"/>
          <w:szCs w:val="19"/>
        </w:rPr>
        <w:t xml:space="preserve">Acceptance criteria: </w:t>
      </w:r>
      <w:r>
        <w:rPr>
          <w:sz w:val="19"/>
          <w:szCs w:val="19"/>
        </w:rPr>
        <w:t xml:space="preserve">Document and validate outbound access to Red Hat registries and services: </w:t>
      </w:r>
      <w:r>
        <w:rPr>
          <w:rFonts w:ascii="Consolas" w:cs="Consolas" w:eastAsia="Consolas" w:hAnsi="Consolas"/>
          <w:sz w:val="19"/>
          <w:szCs w:val="19"/>
        </w:rPr>
        <w:t xml:space="preserve">registry.redhat.io</w:t>
      </w:r>
      <w:r>
        <w:rPr>
          <w:sz w:val="19"/>
          <w:szCs w:val="19"/>
        </w:rPr>
        <w:t xml:space="preserve">, </w:t>
      </w:r>
      <w:r>
        <w:rPr>
          <w:rFonts w:ascii="Consolas" w:cs="Consolas" w:eastAsia="Consolas" w:hAnsi="Consolas"/>
          <w:sz w:val="19"/>
          <w:szCs w:val="19"/>
        </w:rPr>
        <w:t xml:space="preserve">registry.access.redhat.com</w:t>
      </w:r>
      <w:r>
        <w:rPr>
          <w:sz w:val="19"/>
          <w:szCs w:val="19"/>
        </w:rPr>
        <w:t xml:space="preserve">, </w:t>
      </w:r>
      <w:r>
        <w:rPr>
          <w:rFonts w:ascii="Consolas" w:cs="Consolas" w:eastAsia="Consolas" w:hAnsi="Consolas"/>
          <w:sz w:val="19"/>
          <w:szCs w:val="19"/>
        </w:rPr>
        <w:t xml:space="preserve">quay.io</w:t>
      </w:r>
      <w:r>
        <w:rPr>
          <w:sz w:val="19"/>
          <w:szCs w:val="19"/>
        </w:rPr>
        <w:t xml:space="preserve">, </w:t>
      </w:r>
      <w:r>
        <w:rPr>
          <w:rFonts w:ascii="Consolas" w:cs="Consolas" w:eastAsia="Consolas" w:hAnsi="Consolas"/>
          <w:sz w:val="19"/>
          <w:szCs w:val="19"/>
        </w:rPr>
        <w:t xml:space="preserve">cdn.quay.io</w:t>
      </w:r>
      <w:r>
        <w:rPr>
          <w:sz w:val="19"/>
          <w:szCs w:val="19"/>
        </w:rPr>
        <w:t xml:space="preserve">, </w:t>
      </w:r>
      <w:r>
        <w:rPr>
          <w:rFonts w:ascii="Consolas" w:cs="Consolas" w:eastAsia="Consolas" w:hAnsi="Consolas"/>
          <w:sz w:val="19"/>
          <w:szCs w:val="19"/>
        </w:rPr>
        <w:t xml:space="preserve">cdn01/02/03.quay.io</w:t>
      </w:r>
      <w:r>
        <w:rPr>
          <w:sz w:val="19"/>
          <w:szCs w:val="19"/>
        </w:rPr>
        <w:t xml:space="preserve">, </w:t>
      </w:r>
      <w:r>
        <w:rPr>
          <w:rFonts w:ascii="Consolas" w:cs="Consolas" w:eastAsia="Consolas" w:hAnsi="Consolas"/>
          <w:sz w:val="19"/>
          <w:szCs w:val="19"/>
        </w:rPr>
        <w:t xml:space="preserve">sso.redhat.com</w:t>
      </w:r>
      <w:r>
        <w:rPr>
          <w:sz w:val="19"/>
          <w:szCs w:val="19"/>
        </w:rPr>
        <w:t xml:space="preserve">, </w:t>
      </w:r>
      <w:r>
        <w:rPr>
          <w:rFonts w:ascii="Consolas" w:cs="Consolas" w:eastAsia="Consolas" w:hAnsi="Consolas"/>
          <w:sz w:val="19"/>
          <w:szCs w:val="19"/>
        </w:rPr>
        <w:t xml:space="preserve">cert-api.access.redhat.com</w:t>
      </w:r>
      <w:r>
        <w:rPr>
          <w:sz w:val="19"/>
          <w:szCs w:val="19"/>
        </w:rPr>
        <w:t xml:space="preserve">, </w:t>
      </w:r>
      <w:r>
        <w:rPr>
          <w:rFonts w:ascii="Consolas" w:cs="Consolas" w:eastAsia="Consolas" w:hAnsi="Consolas"/>
          <w:sz w:val="19"/>
          <w:szCs w:val="19"/>
        </w:rPr>
        <w:t xml:space="preserve">api.access.redhat.com</w:t>
      </w:r>
      <w:r>
        <w:rPr>
          <w:sz w:val="19"/>
          <w:szCs w:val="19"/>
        </w:rPr>
        <w:t xml:space="preserve">, </w:t>
      </w:r>
      <w:r>
        <w:rPr>
          <w:rFonts w:ascii="Consolas" w:cs="Consolas" w:eastAsia="Consolas" w:hAnsi="Consolas"/>
          <w:sz w:val="19"/>
          <w:szCs w:val="19"/>
        </w:rPr>
        <w:t xml:space="preserve">console.redhat.com</w:t>
      </w:r>
      <w:r>
        <w:rPr>
          <w:sz w:val="19"/>
          <w:szCs w:val="19"/>
        </w:rPr>
        <w:t xml:space="preserve"> (telemetry/insights, if not disabled), </w:t>
      </w:r>
      <w:r>
        <w:rPr>
          <w:rFonts w:ascii="Consolas" w:cs="Consolas" w:eastAsia="Consolas" w:hAnsi="Consolas"/>
          <w:sz w:val="19"/>
          <w:szCs w:val="19"/>
        </w:rPr>
        <w:t xml:space="preserve">mirror.openshift.com</w:t>
      </w:r>
      <w:r>
        <w:rPr>
          <w:sz w:val="19"/>
          <w:szCs w:val="19"/>
        </w:rPr>
        <w:t xml:space="preserve">, </w:t>
      </w:r>
      <w:r>
        <w:rPr>
          <w:rFonts w:ascii="Consolas" w:cs="Consolas" w:eastAsia="Consolas" w:hAnsi="Consolas"/>
          <w:sz w:val="19"/>
          <w:szCs w:val="19"/>
        </w:rPr>
        <w:t xml:space="preserve">api.openshift.com</w:t>
      </w:r>
      <w:r>
        <w:rPr>
          <w:sz w:val="19"/>
          <w:szCs w:val="19"/>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customer image registry firewall rules</w:t>
            </w:r>
          </w:p>
        </w:tc>
      </w:tr>
    </w:tbl>
    <w:p>
      <w:pPr>
        <w:spacing w:after="220" w:before="60"/>
        <w:ind w:left="215"/>
      </w:pPr>
      <w:r>
        <w:rPr>
          <w:b/>
          <w:bCs/>
          <w:i/>
          <w:iCs/>
          <w:sz w:val="19"/>
          <w:szCs w:val="19"/>
        </w:rPr>
        <w:t xml:space="preserve">Acceptance criteria: </w:t>
      </w:r>
      <w:r>
        <w:rPr>
          <w:sz w:val="19"/>
          <w:szCs w:val="19"/>
        </w:rPr>
        <w:t xml:space="preserve">Confirm final hostname(s) for the customer image registry once the registry substitution is implemented, and remove/replace default Quay dependency where the customer intends to run their own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customer Git host firewall rules</w:t>
            </w:r>
          </w:p>
        </w:tc>
      </w:tr>
    </w:tbl>
    <w:p>
      <w:pPr>
        <w:spacing w:after="220" w:before="60"/>
        <w:ind w:left="215"/>
      </w:pPr>
      <w:r>
        <w:rPr>
          <w:b/>
          <w:bCs/>
          <w:i/>
          <w:iCs/>
          <w:sz w:val="19"/>
          <w:szCs w:val="19"/>
        </w:rPr>
        <w:t xml:space="preserve">Acceptance criteria: </w:t>
      </w:r>
      <w:r>
        <w:rPr>
          <w:sz w:val="19"/>
          <w:szCs w:val="19"/>
        </w:rPr>
        <w:t xml:space="preserve">The default Day 2 GitOps roles (</w:t>
      </w:r>
      <w:r>
        <w:rPr>
          <w:rFonts w:ascii="Consolas" w:cs="Consolas" w:eastAsia="Consolas" w:hAnsi="Consolas"/>
          <w:sz w:val="19"/>
          <w:szCs w:val="19"/>
        </w:rPr>
        <w:t xml:space="preserve">apps_install_acm</w:t>
      </w:r>
      <w:r>
        <w:rPr>
          <w:sz w:val="19"/>
          <w:szCs w:val="19"/>
        </w:rPr>
        <w:t xml:space="preserve">, </w:t>
      </w:r>
      <w:r>
        <w:rPr>
          <w:rFonts w:ascii="Consolas" w:cs="Consolas" w:eastAsia="Consolas" w:hAnsi="Consolas"/>
          <w:sz w:val="19"/>
          <w:szCs w:val="19"/>
        </w:rPr>
        <w:t xml:space="preserve">apps_install_odf</w:t>
      </w:r>
      <w:r>
        <w:rPr>
          <w:sz w:val="19"/>
          <w:szCs w:val="19"/>
        </w:rPr>
        <w:t xml:space="preserve">, </w:t>
      </w:r>
      <w:r>
        <w:rPr>
          <w:rFonts w:ascii="Consolas" w:cs="Consolas" w:eastAsia="Consolas" w:hAnsi="Consolas"/>
          <w:sz w:val="19"/>
          <w:szCs w:val="19"/>
        </w:rPr>
        <w:t xml:space="preserve">apps_install_mco</w:t>
      </w:r>
      <w:r>
        <w:rPr>
          <w:sz w:val="19"/>
          <w:szCs w:val="19"/>
        </w:rPr>
        <w:t xml:space="preserve">, </w:t>
      </w:r>
      <w:r>
        <w:rPr>
          <w:rFonts w:ascii="Consolas" w:cs="Consolas" w:eastAsia="Consolas" w:hAnsi="Consolas"/>
          <w:sz w:val="19"/>
          <w:szCs w:val="19"/>
        </w:rPr>
        <w:t xml:space="preserve">apps_install_global_hub</w:t>
      </w:r>
      <w:r>
        <w:rPr>
          <w:sz w:val="19"/>
          <w:szCs w:val="19"/>
        </w:rPr>
        <w:t xml:space="preserve">, </w:t>
      </w:r>
      <w:r>
        <w:rPr>
          <w:rFonts w:ascii="Consolas" w:cs="Consolas" w:eastAsia="Consolas" w:hAnsi="Consolas"/>
          <w:sz w:val="19"/>
          <w:szCs w:val="19"/>
        </w:rPr>
        <w:t xml:space="preserve">apps_install_coo</w:t>
      </w:r>
      <w:r>
        <w:rPr>
          <w:sz w:val="19"/>
          <w:szCs w:val="19"/>
        </w:rPr>
        <w:t xml:space="preserve">, </w:t>
      </w:r>
      <w:r>
        <w:rPr>
          <w:rFonts w:ascii="Consolas" w:cs="Consolas" w:eastAsia="Consolas" w:hAnsi="Consolas"/>
          <w:sz w:val="19"/>
          <w:szCs w:val="19"/>
        </w:rPr>
        <w:t xml:space="preserve">apps_install_quay</w:t>
      </w:r>
      <w:r>
        <w:rPr>
          <w:sz w:val="19"/>
          <w:szCs w:val="19"/>
        </w:rPr>
        <w:t xml:space="preserve">) point at </w:t>
      </w:r>
      <w:r>
        <w:rPr>
          <w:rFonts w:ascii="Consolas" w:cs="Consolas" w:eastAsia="Consolas" w:hAnsi="Consolas"/>
          <w:sz w:val="19"/>
          <w:szCs w:val="19"/>
        </w:rPr>
        <w:t xml:space="preserve">SkylarScaling/gitops-install-*</w:t>
      </w:r>
      <w:r>
        <w:rPr>
          <w:sz w:val="19"/>
          <w:szCs w:val="19"/>
        </w:rPr>
        <w:t xml:space="preserve"> on public GitHub; validate firewall rules against the customer's actual repo host, not the public defaults.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Prism Central firewall access</w:t>
            </w:r>
          </w:p>
        </w:tc>
      </w:tr>
    </w:tbl>
    <w:p>
      <w:pPr>
        <w:spacing w:after="220" w:before="60"/>
        <w:ind w:left="215"/>
      </w:pPr>
      <w:r>
        <w:rPr>
          <w:b/>
          <w:bCs/>
          <w:i/>
          <w:iCs/>
          <w:sz w:val="19"/>
          <w:szCs w:val="19"/>
        </w:rPr>
        <w:t xml:space="preserve">Acceptance criteria: </w:t>
      </w:r>
      <w:r>
        <w:rPr>
          <w:sz w:val="19"/>
          <w:szCs w:val="19"/>
        </w:rPr>
        <w:t xml:space="preserve">Confirm Prism Central API endpoint(s) are reachable from the control node/installer, and confirm firewall/network segmentation between the control node's network and the Prism Central management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Validate/configure outbound proxy settings</w:t>
            </w:r>
          </w:p>
        </w:tc>
      </w:tr>
    </w:tbl>
    <w:p>
      <w:pPr>
        <w:spacing w:after="220" w:before="60"/>
        <w:ind w:left="215"/>
      </w:pPr>
      <w:r>
        <w:rPr>
          <w:b/>
          <w:bCs/>
          <w:i/>
          <w:iCs/>
          <w:sz w:val="19"/>
          <w:szCs w:val="19"/>
        </w:rPr>
        <w:t xml:space="preserve">Acceptance criteria: </w:t>
      </w:r>
      <w:r>
        <w:rPr>
          <w:sz w:val="19"/>
          <w:szCs w:val="19"/>
        </w:rPr>
        <w:t xml:space="preserve">Confirm whether the customer's Nutanix clusters and OpenShift node network require an outbound proxy for internet-bound traffic (Red Hat registries, Git host), and if so, validate </w:t>
      </w:r>
      <w:r>
        <w:rPr>
          <w:rFonts w:ascii="Consolas" w:cs="Consolas" w:eastAsia="Consolas" w:hAnsi="Consolas"/>
          <w:sz w:val="19"/>
          <w:szCs w:val="19"/>
        </w:rPr>
        <w:t xml:space="preserve">openshift-install</w:t>
      </w:r>
      <w:r>
        <w:rPr>
          <w:sz w:val="19"/>
          <w:szCs w:val="19"/>
        </w:rPr>
        <w:t xml:space="preserve"> and the automation's proxy configuration (</w:t>
      </w:r>
      <w:r>
        <w:rPr>
          <w:rFonts w:ascii="Consolas" w:cs="Consolas" w:eastAsia="Consolas" w:hAnsi="Consolas"/>
          <w:sz w:val="19"/>
          <w:szCs w:val="19"/>
        </w:rPr>
        <w:t xml:space="preserve">httpProxy</w:t>
      </w:r>
      <w:r>
        <w:rPr>
          <w:sz w:val="19"/>
          <w:szCs w:val="19"/>
        </w:rPr>
        <w:t xml:space="preserve">/</w:t>
      </w:r>
      <w:r>
        <w:rPr>
          <w:rFonts w:ascii="Consolas" w:cs="Consolas" w:eastAsia="Consolas" w:hAnsi="Consolas"/>
          <w:sz w:val="19"/>
          <w:szCs w:val="19"/>
        </w:rPr>
        <w:t xml:space="preserve">httpsProxy</w:t>
      </w:r>
      <w:r>
        <w:rPr>
          <w:sz w:val="19"/>
          <w:szCs w:val="19"/>
        </w:rPr>
        <w:t xml:space="preserve">/</w:t>
      </w:r>
      <w:r>
        <w:rPr>
          <w:rFonts w:ascii="Consolas" w:cs="Consolas" w:eastAsia="Consolas" w:hAnsi="Consolas"/>
          <w:sz w:val="19"/>
          <w:szCs w:val="19"/>
        </w:rPr>
        <w:t xml:space="preserve">noProxy</w:t>
      </w:r>
      <w:r>
        <w:rPr>
          <w:sz w:val="19"/>
          <w:szCs w:val="19"/>
        </w:rPr>
        <w:t xml:space="preserve">) rather than assuming direct egress.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SMTP relay firewall rule</w:t>
            </w:r>
          </w:p>
        </w:tc>
      </w:tr>
    </w:tbl>
    <w:p>
      <w:pPr>
        <w:spacing w:after="220" w:before="60"/>
        <w:ind w:left="215"/>
      </w:pPr>
      <w:r>
        <w:rPr>
          <w:b/>
          <w:bCs/>
          <w:i/>
          <w:iCs/>
          <w:sz w:val="19"/>
          <w:szCs w:val="19"/>
        </w:rPr>
        <w:t xml:space="preserve">Acceptance criteria: </w:t>
      </w:r>
      <w:r>
        <w:rPr>
          <w:sz w:val="19"/>
          <w:szCs w:val="19"/>
        </w:rPr>
        <w:t xml:space="preserve">Confirm firewall access to the SMTP relay host/port (</w:t>
      </w:r>
      <w:r>
        <w:rPr>
          <w:rFonts w:ascii="Consolas" w:cs="Consolas" w:eastAsia="Consolas" w:hAnsi="Consolas"/>
          <w:sz w:val="19"/>
          <w:szCs w:val="19"/>
        </w:rPr>
        <w:t xml:space="preserve">smtp.host</w:t>
      </w:r>
      <w:r>
        <w:rPr>
          <w:sz w:val="19"/>
          <w:szCs w:val="19"/>
        </w:rPr>
        <w:t xml:space="preserve">/</w:t>
      </w:r>
      <w:r>
        <w:rPr>
          <w:rFonts w:ascii="Consolas" w:cs="Consolas" w:eastAsia="Consolas" w:hAnsi="Consolas"/>
          <w:sz w:val="19"/>
          <w:szCs w:val="19"/>
        </w:rPr>
        <w:t xml:space="preserve">smtp.port</w:t>
      </w:r>
      <w:r>
        <w:rPr>
          <w:sz w:val="19"/>
          <w:szCs w:val="19"/>
        </w:rPr>
        <w:t xml:space="preserve"> in inventory) for alerting.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NTP firewall rule</w:t>
            </w:r>
          </w:p>
        </w:tc>
      </w:tr>
    </w:tbl>
    <w:p>
      <w:pPr>
        <w:spacing w:after="220" w:before="60"/>
        <w:ind w:left="215"/>
      </w:pPr>
      <w:r>
        <w:rPr>
          <w:b/>
          <w:bCs/>
          <w:i/>
          <w:iCs/>
          <w:sz w:val="19"/>
          <w:szCs w:val="19"/>
        </w:rPr>
        <w:t xml:space="preserve">Acceptance criteria: </w:t>
      </w:r>
      <w:r>
        <w:rPr>
          <w:sz w:val="19"/>
          <w:szCs w:val="19"/>
        </w:rPr>
        <w:t xml:space="preserve">Confirm firewall access to required NTP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internal DNS resolver access</w:t>
            </w:r>
          </w:p>
        </w:tc>
      </w:tr>
    </w:tbl>
    <w:p>
      <w:pPr>
        <w:spacing w:after="220" w:before="60"/>
        <w:ind w:left="215"/>
      </w:pPr>
      <w:r>
        <w:rPr>
          <w:b/>
          <w:bCs/>
          <w:i/>
          <w:iCs/>
          <w:sz w:val="19"/>
          <w:szCs w:val="19"/>
        </w:rPr>
        <w:t xml:space="preserve">Acceptance criteria: </w:t>
      </w:r>
      <w:r>
        <w:rPr>
          <w:sz w:val="19"/>
          <w:szCs w:val="19"/>
        </w:rPr>
        <w:t xml:space="preserve">Confirm firewall access to internal DNS resolvers.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control-node egress rules</w:t>
            </w:r>
          </w:p>
        </w:tc>
      </w:tr>
    </w:tbl>
    <w:p>
      <w:pPr>
        <w:spacing w:after="220" w:before="60"/>
        <w:ind w:left="215"/>
      </w:pPr>
      <w:r>
        <w:rPr>
          <w:b/>
          <w:bCs/>
          <w:i/>
          <w:iCs/>
          <w:sz w:val="19"/>
          <w:szCs w:val="19"/>
        </w:rPr>
        <w:t xml:space="preserve">Acceptance criteria: </w:t>
      </w:r>
      <w:r>
        <w:rPr>
          <w:sz w:val="19"/>
          <w:szCs w:val="19"/>
        </w:rPr>
        <w:t xml:space="preserve">Confirm control-node (Ansible/bootstrap host) egress rules match the same allow-list plus package/PyPI mirror access needed for </w:t>
      </w:r>
      <w:r>
        <w:rPr>
          <w:rFonts w:ascii="Consolas" w:cs="Consolas" w:eastAsia="Consolas" w:hAnsi="Consolas"/>
          <w:sz w:val="19"/>
          <w:szCs w:val="19"/>
        </w:rPr>
        <w:t xml:space="preserve">ansible</w:t>
      </w:r>
      <w:r>
        <w:rPr>
          <w:sz w:val="19"/>
          <w:szCs w:val="19"/>
        </w:rPr>
        <w:t xml:space="preserve">, </w:t>
      </w:r>
      <w:r>
        <w:rPr>
          <w:rFonts w:ascii="Consolas" w:cs="Consolas" w:eastAsia="Consolas" w:hAnsi="Consolas"/>
          <w:sz w:val="19"/>
          <w:szCs w:val="19"/>
        </w:rPr>
        <w:t xml:space="preserve">kubernetes.core</w:t>
      </w:r>
      <w:r>
        <w:rPr>
          <w:sz w:val="19"/>
          <w:szCs w:val="19"/>
        </w:rPr>
        <w:t xml:space="preserve">, </w:t>
      </w:r>
      <w:r>
        <w:rPr>
          <w:rFonts w:ascii="Consolas" w:cs="Consolas" w:eastAsia="Consolas" w:hAnsi="Consolas"/>
          <w:sz w:val="19"/>
          <w:szCs w:val="19"/>
        </w:rPr>
        <w:t xml:space="preserve">ansible.posix</w:t>
      </w:r>
      <w:r>
        <w:rPr>
          <w:sz w:val="19"/>
          <w:szCs w:val="19"/>
        </w:rPr>
        <w:t xml:space="preserve">, </w:t>
      </w:r>
      <w:r>
        <w:rPr>
          <w:rFonts w:ascii="Consolas" w:cs="Consolas" w:eastAsia="Consolas" w:hAnsi="Consolas"/>
          <w:sz w:val="19"/>
          <w:szCs w:val="19"/>
        </w:rPr>
        <w:t xml:space="preserve">kubernetes</w:t>
      </w:r>
      <w:r>
        <w:rPr>
          <w:sz w:val="19"/>
          <w:szCs w:val="19"/>
        </w:rPr>
        <w:t xml:space="preserve">, </w:t>
      </w:r>
      <w:r>
        <w:rPr>
          <w:rFonts w:ascii="Consolas" w:cs="Consolas" w:eastAsia="Consolas" w:hAnsi="Consolas"/>
          <w:sz w:val="19"/>
          <w:szCs w:val="19"/>
        </w:rPr>
        <w:t xml:space="preserve">openshift</w:t>
      </w:r>
      <w:r>
        <w:rPr>
          <w:sz w:val="19"/>
          <w:szCs w:val="19"/>
        </w:rPr>
        <w:t xml:space="preserve">, and any Nutanix SDK/provider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Test deny-by-default firewall behavior</w:t>
            </w:r>
          </w:p>
        </w:tc>
      </w:tr>
    </w:tbl>
    <w:p>
      <w:pPr>
        <w:spacing w:after="220" w:before="60"/>
        <w:ind w:left="215"/>
      </w:pPr>
      <w:r>
        <w:rPr>
          <w:b/>
          <w:bCs/>
          <w:i/>
          <w:iCs/>
          <w:sz w:val="19"/>
          <w:szCs w:val="19"/>
        </w:rPr>
        <w:t xml:space="preserve">Acceptance criteria: </w:t>
      </w:r>
      <w:r>
        <w:rPr>
          <w:sz w:val="19"/>
          <w:szCs w:val="19"/>
        </w:rPr>
        <w:t xml:space="preserve">Explicitly test and document deny-by-default behavior: attempt a connection to a non-allow-listed endpoint from a cluster node and confirm it is blocked.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required ingress rules</w:t>
            </w:r>
          </w:p>
        </w:tc>
      </w:tr>
    </w:tbl>
    <w:p>
      <w:pPr>
        <w:spacing w:after="220" w:before="60"/>
        <w:ind w:left="215"/>
      </w:pPr>
      <w:r>
        <w:rPr>
          <w:b/>
          <w:bCs/>
          <w:i/>
          <w:iCs/>
          <w:sz w:val="19"/>
          <w:szCs w:val="19"/>
        </w:rPr>
        <w:t xml:space="preserve">Acceptance criteria: </w:t>
      </w:r>
      <w:r>
        <w:rPr>
          <w:sz w:val="19"/>
          <w:szCs w:val="19"/>
        </w:rPr>
        <w:t xml:space="preserve">Validate ingress rules: control-node → cluster API/bootstrap, and any required inbound for load balancers/ingress per customer network design.</w:t>
      </w:r>
    </w:p>
    <w:p>
      <w:pPr>
        <w:pStyle w:val="Heading2"/>
        <w:spacing w:after="100" w:before="220"/>
      </w:pPr>
      <w:r>
        <w:t xml:space="preserve">1.3 Credentials &amp; Secrets Prerequisites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Obtain Red Hat pull secret</w:t>
            </w:r>
          </w:p>
        </w:tc>
      </w:tr>
    </w:tbl>
    <w:p>
      <w:pPr>
        <w:spacing w:after="220" w:before="60"/>
        <w:ind w:left="215"/>
      </w:pPr>
      <w:r>
        <w:rPr>
          <w:b/>
          <w:bCs/>
          <w:i/>
          <w:iCs/>
          <w:sz w:val="19"/>
          <w:szCs w:val="19"/>
        </w:rPr>
        <w:t xml:space="preserve">Acceptance criteria: </w:t>
      </w:r>
      <w:r>
        <w:rPr>
          <w:sz w:val="19"/>
          <w:szCs w:val="19"/>
        </w:rPr>
        <w:t xml:space="preserve">Obtain/renew Red Hat pull secret (</w:t>
      </w:r>
      <w:r>
        <w:rPr>
          <w:rFonts w:ascii="Consolas" w:cs="Consolas" w:eastAsia="Consolas" w:hAnsi="Consolas"/>
          <w:sz w:val="19"/>
          <w:szCs w:val="19"/>
        </w:rPr>
        <w:t xml:space="preserve">~/pull-secret.json</w:t>
      </w:r>
      <w:r>
        <w:rPr>
          <w:sz w:val="19"/>
          <w:szCs w:val="19"/>
        </w:rPr>
        <w:t xml:space="preserve"> from console.redhat.com) for the customer's Red Hat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Provision SSH keypairs</w:t>
            </w:r>
          </w:p>
        </w:tc>
      </w:tr>
    </w:tbl>
    <w:p>
      <w:pPr>
        <w:spacing w:after="220" w:before="60"/>
        <w:ind w:left="215"/>
      </w:pPr>
      <w:r>
        <w:rPr>
          <w:b/>
          <w:bCs/>
          <w:i/>
          <w:iCs/>
          <w:sz w:val="19"/>
          <w:szCs w:val="19"/>
        </w:rPr>
        <w:t xml:space="preserve">Acceptance criteria: </w:t>
      </w:r>
      <w:r>
        <w:rPr>
          <w:sz w:val="19"/>
          <w:szCs w:val="19"/>
        </w:rPr>
        <w:t xml:space="preserve">Generate or provision SSH keypair(s) (</w:t>
      </w:r>
      <w:r>
        <w:rPr>
          <w:rFonts w:ascii="Consolas" w:cs="Consolas" w:eastAsia="Consolas" w:hAnsi="Consolas"/>
          <w:sz w:val="19"/>
          <w:szCs w:val="19"/>
        </w:rPr>
        <w:t xml:space="preserve">~/.ssh/id_ed25519.pub</w:t>
      </w:r>
      <w:r>
        <w:rPr>
          <w:sz w:val="19"/>
          <w:szCs w:val="19"/>
        </w:rPr>
        <w:t xml:space="preserve">) per site/control-node.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Define secure credential storage process</w:t>
            </w:r>
          </w:p>
        </w:tc>
      </w:tr>
    </w:tbl>
    <w:p>
      <w:pPr>
        <w:spacing w:after="220" w:before="60"/>
        <w:ind w:left="215"/>
      </w:pPr>
      <w:r>
        <w:rPr>
          <w:b/>
          <w:bCs/>
          <w:i/>
          <w:iCs/>
          <w:sz w:val="19"/>
          <w:szCs w:val="19"/>
        </w:rPr>
        <w:t xml:space="preserve">Acceptance criteria: </w:t>
      </w:r>
      <w:r>
        <w:rPr>
          <w:sz w:val="19"/>
          <w:szCs w:val="19"/>
        </w:rPr>
        <w:t xml:space="preserve">Confirm process for storing Prism Central service-account credentials / SMTP app password securely (Ansible Vault, HashiCorp Vault, CyberArk, etc.) rather than committing to inventory in plaintext.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registry &amp; Git credentials available</w:t>
            </w:r>
          </w:p>
        </w:tc>
      </w:tr>
    </w:tbl>
    <w:p>
      <w:pPr>
        <w:spacing w:after="220" w:before="60"/>
        <w:ind w:left="215"/>
      </w:pPr>
      <w:r>
        <w:rPr>
          <w:b/>
          <w:bCs/>
          <w:i/>
          <w:iCs/>
          <w:sz w:val="19"/>
          <w:szCs w:val="19"/>
        </w:rPr>
        <w:t xml:space="preserve">Acceptance criteria: </w:t>
      </w:r>
      <w:r>
        <w:rPr>
          <w:sz w:val="19"/>
          <w:szCs w:val="19"/>
        </w:rPr>
        <w:t xml:space="preserve">Confirm customer image registry credentials and customer Git host credentials/tokens are available for automation use.</w:t>
      </w:r>
    </w:p>
    <w:p>
      <w:pPr>
        <w:pStyle w:val="Heading2"/>
        <w:spacing w:after="100" w:before="220"/>
      </w:pPr>
      <w:r>
        <w:t xml:space="preserve">1.4 Control Node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Provision control node(s)</w:t>
            </w:r>
          </w:p>
        </w:tc>
      </w:tr>
    </w:tbl>
    <w:p>
      <w:pPr>
        <w:spacing w:after="220" w:before="60"/>
        <w:ind w:left="215"/>
      </w:pPr>
      <w:r>
        <w:rPr>
          <w:b/>
          <w:bCs/>
          <w:i/>
          <w:iCs/>
          <w:sz w:val="19"/>
          <w:szCs w:val="19"/>
        </w:rPr>
        <w:t xml:space="preserve">Acceptance criteria: </w:t>
      </w:r>
      <w:r>
        <w:rPr>
          <w:sz w:val="19"/>
          <w:szCs w:val="19"/>
        </w:rPr>
        <w:t xml:space="preserve">Provision control node(s) meeting local tool prerequisites (Python 3 + pip, Ansible).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Install required Ansible collections</w:t>
            </w:r>
          </w:p>
        </w:tc>
      </w:tr>
    </w:tbl>
    <w:p>
      <w:pPr>
        <w:spacing w:after="220" w:before="60"/>
        <w:ind w:left="215"/>
      </w:pPr>
      <w:r>
        <w:rPr>
          <w:b/>
          <w:bCs/>
          <w:i/>
          <w:iCs/>
          <w:sz w:val="19"/>
          <w:szCs w:val="19"/>
        </w:rPr>
        <w:t xml:space="preserve">Acceptance criteria: </w:t>
      </w:r>
      <w:r>
        <w:rPr>
          <w:sz w:val="19"/>
          <w:szCs w:val="19"/>
        </w:rPr>
        <w:t xml:space="preserve">Run </w:t>
      </w:r>
      <w:r>
        <w:rPr>
          <w:rFonts w:ascii="Consolas" w:cs="Consolas" w:eastAsia="Consolas" w:hAnsi="Consolas"/>
          <w:sz w:val="19"/>
          <w:szCs w:val="19"/>
        </w:rPr>
        <w:t xml:space="preserve">ansible-galaxy collection install kubernetes.core ansible.posix</w:t>
      </w:r>
      <w:r>
        <w:rPr>
          <w:sz w:val="19"/>
          <w:szCs w:val="19"/>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OCP prerequisites playbook</w:t>
            </w:r>
          </w:p>
        </w:tc>
      </w:tr>
    </w:tbl>
    <w:p>
      <w:pPr>
        <w:spacing w:after="220" w:before="60"/>
        <w:ind w:left="215"/>
      </w:pPr>
      <w:r>
        <w:rPr>
          <w:b/>
          <w:bCs/>
          <w:i/>
          <w:iCs/>
          <w:sz w:val="19"/>
          <w:szCs w:val="19"/>
        </w:rPr>
        <w:t xml:space="preserve">Acceptance criteria: </w:t>
      </w:r>
      <w:r>
        <w:rPr>
          <w:sz w:val="19"/>
          <w:szCs w:val="19"/>
        </w:rPr>
        <w:t xml:space="preserve">Run </w:t>
      </w:r>
      <w:r>
        <w:rPr>
          <w:rFonts w:ascii="Consolas" w:cs="Consolas" w:eastAsia="Consolas" w:hAnsi="Consolas"/>
          <w:sz w:val="19"/>
          <w:szCs w:val="19"/>
        </w:rPr>
        <w:t xml:space="preserve">ansible-playbook ocp/install-ocp-prerequisites.yaml --ask-become-pass</w:t>
      </w:r>
      <w:r>
        <w:rPr>
          <w:sz w:val="19"/>
          <w:szCs w:val="19"/>
        </w:rPr>
        <w:t xml:space="preserve"> from </w:t>
      </w:r>
      <w:r>
        <w:rPr>
          <w:rFonts w:ascii="Consolas" w:cs="Consolas" w:eastAsia="Consolas" w:hAnsi="Consolas"/>
          <w:sz w:val="19"/>
          <w:szCs w:val="19"/>
        </w:rPr>
        <w:t xml:space="preserve">playbooks/</w:t>
      </w:r>
      <w:r>
        <w:rPr>
          <w:sz w:val="19"/>
          <w:szCs w:val="19"/>
        </w:rPr>
        <w:t xml:space="preserve"> and confirm </w:t>
      </w:r>
      <w:r>
        <w:rPr>
          <w:rFonts w:ascii="Consolas" w:cs="Consolas" w:eastAsia="Consolas" w:hAnsi="Consolas"/>
          <w:sz w:val="19"/>
          <w:szCs w:val="19"/>
        </w:rPr>
        <w:t xml:space="preserve">oc</w:t>
      </w:r>
      <w:r>
        <w:rPr>
          <w:sz w:val="19"/>
          <w:szCs w:val="19"/>
        </w:rPr>
        <w:t xml:space="preserve">, </w:t>
      </w:r>
      <w:r>
        <w:rPr>
          <w:rFonts w:ascii="Consolas" w:cs="Consolas" w:eastAsia="Consolas" w:hAnsi="Consolas"/>
          <w:sz w:val="19"/>
          <w:szCs w:val="19"/>
        </w:rPr>
        <w:t xml:space="preserve">openshift-install</w:t>
      </w:r>
      <w:r>
        <w:rPr>
          <w:sz w:val="19"/>
          <w:szCs w:val="19"/>
        </w:rPr>
        <w:t xml:space="preserve">, required Python libs, and any Nutanix-specific CLI/SDK tooling install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force_update binary refresh path</w:t>
            </w:r>
          </w:p>
        </w:tc>
      </w:tr>
    </w:tbl>
    <w:p>
      <w:pPr>
        <w:spacing w:after="220" w:before="60"/>
        <w:ind w:left="215"/>
      </w:pPr>
      <w:r>
        <w:rPr>
          <w:b/>
          <w:bCs/>
          <w:i/>
          <w:iCs/>
          <w:sz w:val="19"/>
          <w:szCs w:val="19"/>
        </w:rPr>
        <w:t xml:space="preserve">Acceptance criteria: </w:t>
      </w:r>
      <w:r>
        <w:rPr>
          <w:sz w:val="19"/>
          <w:szCs w:val="19"/>
        </w:rPr>
        <w:t xml:space="preserve">Validate </w:t>
      </w:r>
      <w:r>
        <w:rPr>
          <w:rFonts w:ascii="Consolas" w:cs="Consolas" w:eastAsia="Consolas" w:hAnsi="Consolas"/>
          <w:sz w:val="19"/>
          <w:szCs w:val="19"/>
        </w:rPr>
        <w:t xml:space="preserve">-e force_update=true</w:t>
      </w:r>
      <w:r>
        <w:rPr>
          <w:sz w:val="19"/>
          <w:szCs w:val="19"/>
        </w:rPr>
        <w:t xml:space="preserve"> path for refreshing binaries, and document when this should be used.</w:t>
      </w:r>
    </w:p>
    <w:p>
      <w:pPr>
        <w:pStyle w:val="Heading1"/>
        <w:spacing w:after="160" w:before="320"/>
      </w:pPr>
      <w:r>
        <w:t xml:space="preserve">Phase 2 — Implementation, Testing &amp; Customization (Lab/Non-Prod Environment)</w:t>
      </w:r>
    </w:p>
    <w:p>
      <w:pPr>
        <w:pStyle w:val="Heading2"/>
        <w:spacing w:after="100" w:before="220"/>
      </w:pPr>
      <w:r>
        <w:t xml:space="preserve">2.1 Nutanix Path — Code Review &amp; Gap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Review existing Nutanix IPI automation logic</w:t>
            </w:r>
          </w:p>
        </w:tc>
      </w:tr>
    </w:tbl>
    <w:p>
      <w:pPr>
        <w:spacing w:after="220" w:before="60"/>
        <w:ind w:left="215"/>
      </w:pPr>
      <w:r>
        <w:rPr>
          <w:b/>
          <w:bCs/>
          <w:i/>
          <w:iCs/>
          <w:sz w:val="19"/>
          <w:szCs w:val="19"/>
        </w:rPr>
        <w:t xml:space="preserve">Acceptance criteria: </w:t>
      </w:r>
      <w:r>
        <w:rPr>
          <w:sz w:val="19"/>
          <w:szCs w:val="19"/>
        </w:rPr>
        <w:t xml:space="preserve">Read through the repo's existing Nutanix IPI role/playbook logic (</w:t>
      </w:r>
      <w:r>
        <w:rPr>
          <w:rFonts w:ascii="Consolas" w:cs="Consolas" w:eastAsia="Consolas" w:hAnsi="Consolas"/>
          <w:sz w:val="19"/>
          <w:szCs w:val="19"/>
        </w:rPr>
        <w:t xml:space="preserve">install-config.yaml</w:t>
      </w:r>
      <w:r>
        <w:rPr>
          <w:sz w:val="19"/>
          <w:szCs w:val="19"/>
        </w:rPr>
        <w:t xml:space="preserve"> generation, Prism Central/Element vars, subnet/VIP handling, DNS/LB integration points, storage class wiring) to build a shared understanding of what it does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prior OCP version test coverage</w:t>
            </w:r>
          </w:p>
        </w:tc>
      </w:tr>
    </w:tbl>
    <w:p>
      <w:pPr>
        <w:spacing w:after="220" w:before="60"/>
        <w:ind w:left="215"/>
      </w:pPr>
      <w:r>
        <w:rPr>
          <w:b/>
          <w:bCs/>
          <w:i/>
          <w:iCs/>
          <w:sz w:val="19"/>
          <w:szCs w:val="19"/>
        </w:rPr>
        <w:t xml:space="preserve">Acceptance criteria: </w:t>
      </w:r>
      <w:r>
        <w:rPr>
          <w:sz w:val="19"/>
          <w:szCs w:val="19"/>
        </w:rPr>
        <w:t xml:space="preserve">Confirm which OpenShift version(s) the existing Nutanix path has been tested against previously, and identify any known gaps toward </w:t>
      </w:r>
      <w:r>
        <w:rPr>
          <w:rFonts w:ascii="Consolas" w:cs="Consolas" w:eastAsia="Consolas" w:hAnsi="Consolas"/>
          <w:sz w:val="19"/>
          <w:szCs w:val="19"/>
        </w:rPr>
        <w:t xml:space="preserve">4.22</w:t>
      </w:r>
      <w:r>
        <w:rPr>
          <w:sz w:val="19"/>
          <w:szCs w:val="19"/>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Map Nutanix variables to customer environment</w:t>
            </w:r>
          </w:p>
        </w:tc>
      </w:tr>
    </w:tbl>
    <w:p>
      <w:pPr>
        <w:spacing w:after="220" w:before="60"/>
        <w:ind w:left="215"/>
      </w:pPr>
      <w:r>
        <w:rPr>
          <w:b/>
          <w:bCs/>
          <w:i/>
          <w:iCs/>
          <w:sz w:val="19"/>
          <w:szCs w:val="19"/>
        </w:rPr>
        <w:t xml:space="preserve">Acceptance criteria: </w:t>
      </w:r>
      <w:r>
        <w:rPr>
          <w:sz w:val="19"/>
          <w:szCs w:val="19"/>
        </w:rPr>
        <w:t xml:space="preserve">Map the existing Nutanix variable structure against this customer's environment (Prism Central/Element details, subnet, VIPs, DNS mechanism, LB approach) and flag any fields the customer's environment needs that aren't yet parameterized.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hub-spoke playbook invokes Nutanix path</w:t>
            </w:r>
          </w:p>
        </w:tc>
      </w:tr>
    </w:tbl>
    <w:p>
      <w:pPr>
        <w:spacing w:after="220" w:before="60"/>
        <w:ind w:left="215"/>
      </w:pPr>
      <w:r>
        <w:rPr>
          <w:b/>
          <w:bCs/>
          <w:i/>
          <w:iCs/>
          <w:sz w:val="19"/>
          <w:szCs w:val="19"/>
        </w:rPr>
        <w:t xml:space="preserve">Acceptance criteria: </w:t>
      </w:r>
      <w:r>
        <w:rPr>
          <w:sz w:val="19"/>
          <w:szCs w:val="19"/>
        </w:rPr>
        <w:t xml:space="preserve">Confirm the two-tier </w:t>
      </w:r>
      <w:r>
        <w:rPr>
          <w:rFonts w:ascii="Consolas" w:cs="Consolas" w:eastAsia="Consolas" w:hAnsi="Consolas"/>
          <w:sz w:val="19"/>
          <w:szCs w:val="19"/>
        </w:rPr>
        <w:t xml:space="preserve">hub-spoke-ipi-setup.yaml</w:t>
      </w:r>
      <w:r>
        <w:rPr>
          <w:sz w:val="19"/>
          <w:szCs w:val="19"/>
        </w:rPr>
        <w:t xml:space="preserve"> playbook correctly invokes the Nutanix path for both </w:t>
      </w:r>
      <w:r>
        <w:rPr>
          <w:rFonts w:ascii="Consolas" w:cs="Consolas" w:eastAsia="Consolas" w:hAnsi="Consolas"/>
          <w:sz w:val="19"/>
          <w:szCs w:val="19"/>
        </w:rPr>
        <w:t xml:space="preserve">hub_cluster</w:t>
      </w:r>
      <w:r>
        <w:rPr>
          <w:sz w:val="19"/>
          <w:szCs w:val="19"/>
        </w:rPr>
        <w:t xml:space="preserve"> and </w:t>
      </w:r>
      <w:r>
        <w:rPr>
          <w:rFonts w:ascii="Consolas" w:cs="Consolas" w:eastAsia="Consolas" w:hAnsi="Consolas"/>
          <w:sz w:val="19"/>
          <w:szCs w:val="19"/>
        </w:rPr>
        <w:t xml:space="preserve">managed_clusters</w:t>
      </w:r>
      <w:r>
        <w:rPr>
          <w:sz w:val="19"/>
          <w:szCs w:val="19"/>
        </w:rPr>
        <w:t xml:space="preserve"> groups (not just validated previously against a 3-tier layout, if that was the prior test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kubeconfig output path on Nutanix</w:t>
            </w:r>
          </w:p>
        </w:tc>
      </w:tr>
    </w:tbl>
    <w:p>
      <w:pPr>
        <w:spacing w:after="220" w:before="60"/>
        <w:ind w:left="215"/>
      </w:pPr>
      <w:r>
        <w:rPr>
          <w:b/>
          <w:bCs/>
          <w:i/>
          <w:iCs/>
          <w:sz w:val="19"/>
          <w:szCs w:val="19"/>
        </w:rPr>
        <w:t xml:space="preserve">Acceptance criteria: </w:t>
      </w:r>
      <w:r>
        <w:rPr>
          <w:sz w:val="19"/>
          <w:szCs w:val="19"/>
        </w:rPr>
        <w:t xml:space="preserve">Confirm kubeconfig output path convention (</w:t>
      </w:r>
      <w:r>
        <w:rPr>
          <w:rFonts w:ascii="Consolas" w:cs="Consolas" w:eastAsia="Consolas" w:hAnsi="Consolas"/>
          <w:sz w:val="19"/>
          <w:szCs w:val="19"/>
        </w:rPr>
        <w:t xml:space="preserve">{{ tmp_dir }}/acm-global-hub/install/{{ ocp_cluster.name }}/auth/kubeconfig</w:t>
      </w:r>
      <w:r>
        <w:rPr>
          <w:sz w:val="19"/>
          <w:szCs w:val="19"/>
        </w:rPr>
        <w:t xml:space="preserve">) behaves the same on Nutanix as on AWS.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Document Nutanix automation gaps</w:t>
            </w:r>
          </w:p>
        </w:tc>
      </w:tr>
    </w:tbl>
    <w:p>
      <w:pPr>
        <w:spacing w:after="220" w:before="60"/>
        <w:ind w:left="215"/>
      </w:pPr>
      <w:r>
        <w:rPr>
          <w:b/>
          <w:bCs/>
          <w:i/>
          <w:iCs/>
          <w:sz w:val="19"/>
          <w:szCs w:val="19"/>
        </w:rPr>
        <w:t xml:space="preserve">Acceptance criteria: </w:t>
      </w:r>
      <w:r>
        <w:rPr>
          <w:sz w:val="19"/>
          <w:szCs w:val="19"/>
        </w:rPr>
        <w:t xml:space="preserve">Document any genuine gaps found (e.g., DNS record creation not automated, LB integration assumes a specific product, storage class not wired to Nutanix CSI) as scoped work items rather than assumed blockers.</w:t>
      </w:r>
    </w:p>
    <w:p>
      <w:pPr>
        <w:pStyle w:val="Heading2"/>
        <w:spacing w:after="100" w:before="220"/>
      </w:pPr>
      <w:r>
        <w:t xml:space="preserve">2.2 Close Identified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Implement DNS record automation (if needed)</w:t>
            </w:r>
          </w:p>
        </w:tc>
      </w:tr>
    </w:tbl>
    <w:p>
      <w:pPr>
        <w:spacing w:after="220" w:before="60"/>
        <w:ind w:left="215"/>
      </w:pPr>
      <w:r>
        <w:rPr>
          <w:b/>
          <w:bCs/>
          <w:i/>
          <w:iCs/>
          <w:sz w:val="19"/>
          <w:szCs w:val="19"/>
        </w:rPr>
        <w:t xml:space="preserve">Acceptance criteria: </w:t>
      </w:r>
      <w:r>
        <w:rPr>
          <w:sz w:val="19"/>
          <w:szCs w:val="19"/>
        </w:rPr>
        <w:t xml:space="preserve">Implement/adjust any DNS record creation or hand-off step needed for this customer's DNS system — only if the gap analysis found this isn't already handled.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Implement LB integration (if needed)</w:t>
            </w:r>
          </w:p>
        </w:tc>
      </w:tr>
    </w:tbl>
    <w:p>
      <w:pPr>
        <w:spacing w:after="220" w:before="60"/>
        <w:ind w:left="215"/>
      </w:pPr>
      <w:r>
        <w:rPr>
          <w:b/>
          <w:bCs/>
          <w:i/>
          <w:iCs/>
          <w:sz w:val="19"/>
          <w:szCs w:val="19"/>
        </w:rPr>
        <w:t xml:space="preserve">Acceptance criteria: </w:t>
      </w:r>
      <w:r>
        <w:rPr>
          <w:sz w:val="19"/>
          <w:szCs w:val="19"/>
        </w:rPr>
        <w:t xml:space="preserve">Implement/adjust load-balancer integration for API/Ingress VIPs to match the customer's chosen approach — only if the gap analysis found this needs customer-specific config rather than existing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Add/adjust Nutanix capacity pre-checks</w:t>
            </w:r>
          </w:p>
        </w:tc>
      </w:tr>
    </w:tbl>
    <w:p>
      <w:pPr>
        <w:spacing w:after="220" w:before="60"/>
        <w:ind w:left="215"/>
      </w:pPr>
      <w:r>
        <w:rPr>
          <w:b/>
          <w:bCs/>
          <w:i/>
          <w:iCs/>
          <w:sz w:val="19"/>
          <w:szCs w:val="19"/>
        </w:rPr>
        <w:t xml:space="preserve">Acceptance criteria: </w:t>
      </w:r>
      <w:r>
        <w:rPr>
          <w:sz w:val="19"/>
          <w:szCs w:val="19"/>
        </w:rPr>
        <w:t xml:space="preserve">Confirm/adjust Nutanix capacity pre-checks (available vCPU/memory/storage per Prism Element cluster against planned node counts) exist or are added.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ODF uses Nutanix CSI storage classes</w:t>
            </w:r>
          </w:p>
        </w:tc>
      </w:tr>
    </w:tbl>
    <w:p>
      <w:pPr>
        <w:spacing w:after="220" w:before="60"/>
        <w:ind w:left="215"/>
      </w:pPr>
      <w:r>
        <w:rPr>
          <w:b/>
          <w:bCs/>
          <w:i/>
          <w:iCs/>
          <w:sz w:val="19"/>
          <w:szCs w:val="19"/>
        </w:rPr>
        <w:t xml:space="preserve">Acceptance criteria: </w:t>
      </w:r>
      <w:r>
        <w:rPr>
          <w:sz w:val="19"/>
          <w:szCs w:val="19"/>
        </w:rPr>
        <w:t xml:space="preserve">Confirm ODF/storage role uses Nutanix CSI-backed storage classes correctly for this customer's Nutanix cluster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Add Nutanix CLI/SDK to prerequisites playbook</w:t>
            </w:r>
          </w:p>
        </w:tc>
      </w:tr>
    </w:tbl>
    <w:p>
      <w:pPr>
        <w:spacing w:after="220" w:before="60"/>
        <w:ind w:left="215"/>
      </w:pPr>
      <w:r>
        <w:rPr>
          <w:b/>
          <w:bCs/>
          <w:i/>
          <w:iCs/>
          <w:sz w:val="19"/>
          <w:szCs w:val="19"/>
        </w:rPr>
        <w:t xml:space="preserve">Acceptance criteria: </w:t>
      </w:r>
      <w:r>
        <w:rPr>
          <w:sz w:val="19"/>
          <w:szCs w:val="19"/>
        </w:rPr>
        <w:t xml:space="preserve">Confirm </w:t>
      </w:r>
      <w:r>
        <w:rPr>
          <w:rFonts w:ascii="Consolas" w:cs="Consolas" w:eastAsia="Consolas" w:hAnsi="Consolas"/>
          <w:sz w:val="19"/>
          <w:szCs w:val="19"/>
        </w:rPr>
        <w:t xml:space="preserve">install-ocp-prerequisites.yaml</w:t>
      </w:r>
      <w:r>
        <w:rPr>
          <w:sz w:val="19"/>
          <w:szCs w:val="19"/>
        </w:rPr>
        <w:t xml:space="preserve"> installs any Nutanix-specific CLI/SDK dependencies needed on the control node (e.g., Nutanix Terraform provider, </w:t>
      </w:r>
      <w:r>
        <w:rPr>
          <w:rFonts w:ascii="Consolas" w:cs="Consolas" w:eastAsia="Consolas" w:hAnsi="Consolas"/>
          <w:sz w:val="19"/>
          <w:szCs w:val="19"/>
        </w:rPr>
        <w:t xml:space="preserve">ntnx</w:t>
      </w:r>
      <w:r>
        <w:rPr>
          <w:sz w:val="19"/>
          <w:szCs w:val="19"/>
        </w:rPr>
        <w:t xml:space="preserve"> CLI/SDK) alongside </w:t>
      </w:r>
      <w:r>
        <w:rPr>
          <w:rFonts w:ascii="Consolas" w:cs="Consolas" w:eastAsia="Consolas" w:hAnsi="Consolas"/>
          <w:sz w:val="19"/>
          <w:szCs w:val="19"/>
        </w:rPr>
        <w:t xml:space="preserve">oc</w:t>
      </w:r>
      <w:r>
        <w:rPr>
          <w:sz w:val="19"/>
          <w:szCs w:val="19"/>
        </w:rPr>
        <w:t xml:space="preserve">/</w:t>
      </w:r>
      <w:r>
        <w:rPr>
          <w:rFonts w:ascii="Consolas" w:cs="Consolas" w:eastAsia="Consolas" w:hAnsi="Consolas"/>
          <w:sz w:val="19"/>
          <w:szCs w:val="19"/>
        </w:rPr>
        <w:t xml:space="preserve">openshift-install</w:t>
      </w:r>
      <w:r>
        <w:rPr>
          <w:sz w:val="19"/>
          <w:szCs w:val="19"/>
        </w:rPr>
        <w:t xml:space="preserve">/Python libs.</w:t>
      </w:r>
    </w:p>
    <w:p>
      <w:pPr>
        <w:pStyle w:val="Heading2"/>
        <w:spacing w:after="100" w:before="220"/>
      </w:pPr>
      <w:r>
        <w:t xml:space="preserve">2.3 Baseline Implementation &amp; Validation (Nutanix, two-tier)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Build two-tier Nutanix inventory.yaml</w:t>
            </w:r>
          </w:p>
        </w:tc>
      </w:tr>
    </w:tbl>
    <w:p>
      <w:pPr>
        <w:spacing w:after="220" w:before="60"/>
        <w:ind w:left="215"/>
      </w:pPr>
      <w:r>
        <w:rPr>
          <w:b/>
          <w:bCs/>
          <w:i/>
          <w:iCs/>
          <w:sz w:val="19"/>
          <w:szCs w:val="19"/>
        </w:rPr>
        <w:t xml:space="preserve">Acceptance criteria: </w:t>
      </w:r>
      <w:r>
        <w:rPr>
          <w:sz w:val="19"/>
          <w:szCs w:val="19"/>
        </w:rPr>
        <w:t xml:space="preserve">Build an </w:t>
      </w:r>
      <w:r>
        <w:rPr>
          <w:rFonts w:ascii="Consolas" w:cs="Consolas" w:eastAsia="Consolas" w:hAnsi="Consolas"/>
          <w:sz w:val="19"/>
          <w:szCs w:val="19"/>
        </w:rPr>
        <w:t xml:space="preserve">inventory.yaml</w:t>
      </w:r>
      <w:r>
        <w:rPr>
          <w:sz w:val="19"/>
          <w:szCs w:val="19"/>
        </w:rPr>
        <w:t xml:space="preserve"> for the two-tier </w:t>
      </w:r>
      <w:r>
        <w:rPr>
          <w:rFonts w:ascii="Consolas" w:cs="Consolas" w:eastAsia="Consolas" w:hAnsi="Consolas"/>
          <w:sz w:val="19"/>
          <w:szCs w:val="19"/>
        </w:rPr>
        <w:t xml:space="preserve">hub_cluster</w:t>
      </w:r>
      <w:r>
        <w:rPr>
          <w:sz w:val="19"/>
          <w:szCs w:val="19"/>
        </w:rPr>
        <w:t xml:space="preserve"> / </w:t>
      </w:r>
      <w:r>
        <w:rPr>
          <w:rFonts w:ascii="Consolas" w:cs="Consolas" w:eastAsia="Consolas" w:hAnsi="Consolas"/>
          <w:sz w:val="19"/>
          <w:szCs w:val="19"/>
        </w:rPr>
        <w:t xml:space="preserve">managed_clusters</w:t>
      </w:r>
      <w:r>
        <w:rPr>
          <w:sz w:val="19"/>
          <w:szCs w:val="19"/>
        </w:rPr>
        <w:t xml:space="preserve"> topology (no </w:t>
      </w:r>
      <w:r>
        <w:rPr>
          <w:rFonts w:ascii="Consolas" w:cs="Consolas" w:eastAsia="Consolas" w:hAnsi="Consolas"/>
          <w:sz w:val="19"/>
          <w:szCs w:val="19"/>
        </w:rPr>
        <w:t xml:space="preserve">regional_hubs</w:t>
      </w:r>
      <w:r>
        <w:rPr>
          <w:sz w:val="19"/>
          <w:szCs w:val="19"/>
        </w:rPr>
        <w:t xml:space="preserve"> group) with </w:t>
      </w:r>
      <w:r>
        <w:rPr>
          <w:rFonts w:ascii="Consolas" w:cs="Consolas" w:eastAsia="Consolas" w:hAnsi="Consolas"/>
          <w:sz w:val="19"/>
          <w:szCs w:val="19"/>
        </w:rPr>
        <w:t xml:space="preserve">openshift_version</w:t>
      </w:r>
      <w:r>
        <w:rPr>
          <w:sz w:val="19"/>
          <w:szCs w:val="19"/>
        </w:rPr>
        <w:t xml:space="preserve"> bumped to </w:t>
      </w:r>
      <w:r>
        <w:rPr>
          <w:rFonts w:ascii="Consolas" w:cs="Consolas" w:eastAsia="Consolas" w:hAnsi="Consolas"/>
          <w:sz w:val="19"/>
          <w:szCs w:val="19"/>
        </w:rPr>
        <w:t xml:space="preserve">4.22</w:t>
      </w:r>
      <w:r>
        <w:rPr>
          <w:sz w:val="19"/>
          <w:szCs w:val="19"/>
        </w:rPr>
        <w:t xml:space="preserve">, using the existing Nutanix variable structure (Prism Central/Element details, subnet, VIPs).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tier1 (Hub) install in lab</w:t>
            </w:r>
          </w:p>
        </w:tc>
      </w:tr>
    </w:tbl>
    <w:p>
      <w:pPr>
        <w:spacing w:after="220" w:before="60"/>
        <w:ind w:left="215"/>
      </w:pPr>
      <w:r>
        <w:rPr>
          <w:b/>
          <w:bCs/>
          <w:i/>
          <w:iCs/>
          <w:sz w:val="19"/>
          <w:szCs w:val="19"/>
        </w:rPr>
        <w:t xml:space="preserve">Acceptance criteria: </w:t>
      </w:r>
      <w:r>
        <w:rPr>
          <w:sz w:val="19"/>
          <w:szCs w:val="19"/>
        </w:rPr>
        <w:t xml:space="preserve">Run </w:t>
      </w:r>
      <w:r>
        <w:rPr>
          <w:rFonts w:ascii="Consolas" w:cs="Consolas" w:eastAsia="Consolas" w:hAnsi="Consolas"/>
          <w:sz w:val="19"/>
          <w:szCs w:val="19"/>
        </w:rPr>
        <w:t xml:space="preserve">hub-spoke-ipi-setup.yaml</w:t>
      </w:r>
      <w:r>
        <w:rPr>
          <w:sz w:val="19"/>
          <w:szCs w:val="19"/>
        </w:rPr>
        <w:t xml:space="preserve"> tagged </w:t>
      </w:r>
      <w:r>
        <w:rPr>
          <w:rFonts w:ascii="Consolas" w:cs="Consolas" w:eastAsia="Consolas" w:hAnsi="Consolas"/>
          <w:sz w:val="19"/>
          <w:szCs w:val="19"/>
        </w:rPr>
        <w:t xml:space="preserve">tier1</w:t>
      </w:r>
      <w:r>
        <w:rPr>
          <w:sz w:val="19"/>
          <w:szCs w:val="19"/>
        </w:rPr>
        <w:t xml:space="preserve"> only first in a Nutanix lab/non-prod environment, validate the ACM Hub comes up clean before proceeding.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tier2 (managed cluster) install in lab</w:t>
            </w:r>
          </w:p>
        </w:tc>
      </w:tr>
    </w:tbl>
    <w:p>
      <w:pPr>
        <w:spacing w:after="220" w:before="60"/>
        <w:ind w:left="215"/>
      </w:pPr>
      <w:r>
        <w:rPr>
          <w:b/>
          <w:bCs/>
          <w:i/>
          <w:iCs/>
          <w:sz w:val="19"/>
          <w:szCs w:val="19"/>
        </w:rPr>
        <w:t xml:space="preserve">Acceptance criteria: </w:t>
      </w:r>
      <w:r>
        <w:rPr>
          <w:sz w:val="19"/>
          <w:szCs w:val="19"/>
        </w:rPr>
        <w:t xml:space="preserve">Run </w:t>
      </w:r>
      <w:r>
        <w:rPr>
          <w:rFonts w:ascii="Consolas" w:cs="Consolas" w:eastAsia="Consolas" w:hAnsi="Consolas"/>
          <w:sz w:val="19"/>
          <w:szCs w:val="19"/>
        </w:rPr>
        <w:t xml:space="preserve">--tags tier2 --limit &lt;managed-cluster&gt;</w:t>
      </w:r>
      <w:r>
        <w:rPr>
          <w:sz w:val="19"/>
          <w:szCs w:val="19"/>
        </w:rPr>
        <w:t xml:space="preserve"> to add a single managed cluster, validate it registers correctly into the hub's </w:t>
      </w:r>
      <w:r>
        <w:rPr>
          <w:rFonts w:ascii="Consolas" w:cs="Consolas" w:eastAsia="Consolas" w:hAnsi="Consolas"/>
          <w:sz w:val="19"/>
          <w:szCs w:val="19"/>
        </w:rPr>
        <w:t xml:space="preserve">spokes_clusterset</w:t>
      </w:r>
      <w:r>
        <w:rPr>
          <w:sz w:val="19"/>
          <w:szCs w:val="19"/>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clusterset parent/child matching</w:t>
            </w:r>
          </w:p>
        </w:tc>
      </w:tr>
    </w:tbl>
    <w:p>
      <w:pPr>
        <w:spacing w:after="220" w:before="60"/>
        <w:ind w:left="215"/>
      </w:pPr>
      <w:r>
        <w:rPr>
          <w:b/>
          <w:bCs/>
          <w:i/>
          <w:iCs/>
          <w:sz w:val="19"/>
          <w:szCs w:val="19"/>
        </w:rPr>
        <w:t xml:space="preserve">Acceptance criteria: </w:t>
      </w:r>
      <w:r>
        <w:rPr>
          <w:sz w:val="19"/>
          <w:szCs w:val="19"/>
        </w:rPr>
        <w:t xml:space="preserve">Validate </w:t>
      </w:r>
      <w:r>
        <w:rPr>
          <w:rFonts w:ascii="Consolas" w:cs="Consolas" w:eastAsia="Consolas" w:hAnsi="Consolas"/>
          <w:sz w:val="19"/>
          <w:szCs w:val="19"/>
        </w:rPr>
        <w:t xml:space="preserve">parent_clusterset</w:t>
      </w:r>
      <w:r>
        <w:rPr>
          <w:sz w:val="19"/>
          <w:szCs w:val="19"/>
        </w:rPr>
        <w:t xml:space="preserve"> on each managed cluster matches the hub's </w:t>
      </w:r>
      <w:r>
        <w:rPr>
          <w:rFonts w:ascii="Consolas" w:cs="Consolas" w:eastAsia="Consolas" w:hAnsi="Consolas"/>
          <w:sz w:val="19"/>
          <w:szCs w:val="19"/>
        </w:rPr>
        <w:t xml:space="preserve">spokes_clusterset</w:t>
      </w:r>
      <w:r>
        <w:rPr>
          <w:sz w:val="19"/>
          <w:szCs w:val="19"/>
        </w:rPr>
        <w:t xml:space="preserve"> exactly (common misconfiguration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kubeconfig output for all clusters</w:t>
            </w:r>
          </w:p>
        </w:tc>
      </w:tr>
    </w:tbl>
    <w:p>
      <w:pPr>
        <w:spacing w:after="220" w:before="60"/>
        <w:ind w:left="215"/>
      </w:pPr>
      <w:r>
        <w:rPr>
          <w:b/>
          <w:bCs/>
          <w:i/>
          <w:iCs/>
          <w:sz w:val="19"/>
          <w:szCs w:val="19"/>
        </w:rPr>
        <w:t xml:space="preserve">Acceptance criteria: </w:t>
      </w:r>
      <w:r>
        <w:rPr>
          <w:sz w:val="19"/>
          <w:szCs w:val="19"/>
        </w:rPr>
        <w:t xml:space="preserve">Confirm kubeconfigs land at the expected path for every cluster and are usable.</w:t>
      </w:r>
    </w:p>
    <w:p>
      <w:pPr>
        <w:pStyle w:val="Heading2"/>
        <w:spacing w:after="100" w:before="220"/>
      </w:pPr>
      <w:r>
        <w:t xml:space="preserve">2.4 Customization for Customer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Implement image registry substitution</w:t>
            </w:r>
          </w:p>
        </w:tc>
      </w:tr>
    </w:tbl>
    <w:p>
      <w:pPr>
        <w:spacing w:after="220" w:before="60"/>
        <w:ind w:left="215"/>
      </w:pPr>
      <w:r>
        <w:rPr>
          <w:b/>
          <w:bCs/>
          <w:i/>
          <w:iCs/>
          <w:sz w:val="19"/>
          <w:szCs w:val="19"/>
        </w:rPr>
        <w:t xml:space="preserve">Acceptance criteria: </w:t>
      </w:r>
      <w:r>
        <w:rPr>
          <w:sz w:val="19"/>
          <w:szCs w:val="19"/>
        </w:rPr>
        <w:t xml:space="preserve">Point Day 2 Quay/registry roles at the customer's image registry instead of default Quay install path, or confirm customer wants the repo's own Quay install (</w:t>
      </w:r>
      <w:r>
        <w:rPr>
          <w:rFonts w:ascii="Consolas" w:cs="Consolas" w:eastAsia="Consolas" w:hAnsi="Consolas"/>
          <w:sz w:val="19"/>
          <w:szCs w:val="19"/>
        </w:rPr>
        <w:t xml:space="preserve">apps_install_quay</w:t>
      </w:r>
      <w:r>
        <w:rPr>
          <w:sz w:val="19"/>
          <w:szCs w:val="19"/>
        </w:rPr>
        <w:t xml:space="preserve"> → </w:t>
      </w:r>
      <w:r>
        <w:rPr>
          <w:rFonts w:ascii="Consolas" w:cs="Consolas" w:eastAsia="Consolas" w:hAnsi="Consolas"/>
          <w:sz w:val="19"/>
          <w:szCs w:val="19"/>
        </w:rPr>
        <w:t xml:space="preserve">gitops-install-quay</w:t>
      </w:r>
      <w:r>
        <w:rPr>
          <w:sz w:val="19"/>
          <w:szCs w:val="19"/>
        </w:rPr>
        <w:t xml:space="preserve">) and adjust accordingly.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Implement GitOps repo substitution</w:t>
            </w:r>
          </w:p>
        </w:tc>
      </w:tr>
    </w:tbl>
    <w:p>
      <w:pPr>
        <w:spacing w:after="220" w:before="60"/>
        <w:ind w:left="215"/>
      </w:pPr>
      <w:r>
        <w:rPr>
          <w:b/>
          <w:bCs/>
          <w:i/>
          <w:iCs/>
          <w:sz w:val="19"/>
          <w:szCs w:val="19"/>
        </w:rPr>
        <w:t xml:space="preserve">Acceptance criteria: </w:t>
      </w:r>
      <w:r>
        <w:rPr>
          <w:sz w:val="19"/>
          <w:szCs w:val="19"/>
        </w:rPr>
        <w:t xml:space="preserve">Override default repo URLs in inventory/role vars for the Day 2 components in scope (ACM, ODF, MCO, COO, Quay — excluding the Global Hub component, which isn't used) to point at the customer's internal GitHub/GitLab org instead of </w:t>
      </w:r>
      <w:r>
        <w:rPr>
          <w:rFonts w:ascii="Consolas" w:cs="Consolas" w:eastAsia="Consolas" w:hAnsi="Consolas"/>
          <w:sz w:val="19"/>
          <w:szCs w:val="19"/>
        </w:rPr>
        <w:t xml:space="preserve">SkylarScaling/gitops-install-*</w:t>
      </w:r>
      <w:r>
        <w:rPr>
          <w:sz w:val="19"/>
          <w:szCs w:val="19"/>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Fork &amp; pin GitOps repos to customer Git host</w:t>
            </w:r>
          </w:p>
        </w:tc>
      </w:tr>
    </w:tbl>
    <w:p>
      <w:pPr>
        <w:spacing w:after="220" w:before="60"/>
        <w:ind w:left="215"/>
      </w:pPr>
      <w:r>
        <w:rPr>
          <w:b/>
          <w:bCs/>
          <w:i/>
          <w:iCs/>
          <w:sz w:val="19"/>
          <w:szCs w:val="19"/>
        </w:rPr>
        <w:t xml:space="preserve">Acceptance criteria: </w:t>
      </w:r>
      <w:r>
        <w:rPr>
          <w:sz w:val="19"/>
          <w:szCs w:val="19"/>
        </w:rPr>
        <w:t xml:space="preserve">Fork/mirror the </w:t>
      </w:r>
      <w:r>
        <w:rPr>
          <w:rFonts w:ascii="Consolas" w:cs="Consolas" w:eastAsia="Consolas" w:hAnsi="Consolas"/>
          <w:sz w:val="19"/>
          <w:szCs w:val="19"/>
        </w:rPr>
        <w:t xml:space="preserve">gitops-install-*</w:t>
      </w:r>
      <w:r>
        <w:rPr>
          <w:sz w:val="19"/>
          <w:szCs w:val="19"/>
        </w:rPr>
        <w:t xml:space="preserve"> repos into the customer's Git host, adapt any customer-specific policy/config in those repos, and pin </w:t>
      </w:r>
      <w:r>
        <w:rPr>
          <w:rFonts w:ascii="Consolas" w:cs="Consolas" w:eastAsia="Consolas" w:hAnsi="Consolas"/>
          <w:sz w:val="19"/>
          <w:szCs w:val="19"/>
        </w:rPr>
        <w:t xml:space="preserve">acm_git_repo_revision</w:t>
      </w:r>
      <w:r>
        <w:rPr>
          <w:sz w:val="19"/>
          <w:szCs w:val="19"/>
        </w:rPr>
        <w:t xml:space="preserve"> / </w:t>
      </w:r>
      <w:r>
        <w:rPr>
          <w:rFonts w:ascii="Consolas" w:cs="Consolas" w:eastAsia="Consolas" w:hAnsi="Consolas"/>
          <w:sz w:val="19"/>
          <w:szCs w:val="19"/>
        </w:rPr>
        <w:t xml:space="preserve">odf_git_repo_revision</w:t>
      </w:r>
      <w:r>
        <w:rPr>
          <w:sz w:val="19"/>
          <w:szCs w:val="19"/>
        </w:rPr>
        <w:t xml:space="preserve"> to appropriate branches/tags (not floating </w:t>
      </w:r>
      <w:r>
        <w:rPr>
          <w:rFonts w:ascii="Consolas" w:cs="Consolas" w:eastAsia="Consolas" w:hAnsi="Consolas"/>
          <w:sz w:val="19"/>
          <w:szCs w:val="19"/>
        </w:rPr>
        <w:t xml:space="preserve">main</w:t>
      </w:r>
      <w:r>
        <w:rPr>
          <w:sz w:val="19"/>
          <w:szCs w:val="19"/>
        </w:rPr>
        <w:t xml:space="preserve"> for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Update SMTP alerting configuration</w:t>
            </w:r>
          </w:p>
        </w:tc>
      </w:tr>
    </w:tbl>
    <w:p>
      <w:pPr>
        <w:spacing w:after="220" w:before="60"/>
        <w:ind w:left="215"/>
      </w:pPr>
      <w:r>
        <w:rPr>
          <w:b/>
          <w:bCs/>
          <w:i/>
          <w:iCs/>
          <w:sz w:val="19"/>
          <w:szCs w:val="19"/>
        </w:rPr>
        <w:t xml:space="preserve">Acceptance criteria: </w:t>
      </w:r>
      <w:r>
        <w:rPr>
          <w:sz w:val="19"/>
          <w:szCs w:val="19"/>
        </w:rPr>
        <w:t xml:space="preserve">Update SMTP settings (</w:t>
      </w:r>
      <w:r>
        <w:rPr>
          <w:rFonts w:ascii="Consolas" w:cs="Consolas" w:eastAsia="Consolas" w:hAnsi="Consolas"/>
          <w:sz w:val="19"/>
          <w:szCs w:val="19"/>
        </w:rPr>
        <w:t xml:space="preserve">smtp.host</w:t>
      </w:r>
      <w:r>
        <w:rPr>
          <w:sz w:val="19"/>
          <w:szCs w:val="19"/>
        </w:rPr>
        <w:t xml:space="preserve">, </w:t>
      </w:r>
      <w:r>
        <w:rPr>
          <w:rFonts w:ascii="Consolas" w:cs="Consolas" w:eastAsia="Consolas" w:hAnsi="Consolas"/>
          <w:sz w:val="19"/>
          <w:szCs w:val="19"/>
        </w:rPr>
        <w:t xml:space="preserve">from_address</w:t>
      </w:r>
      <w:r>
        <w:rPr>
          <w:sz w:val="19"/>
          <w:szCs w:val="19"/>
        </w:rPr>
        <w:t xml:space="preserve">, </w:t>
      </w:r>
      <w:r>
        <w:rPr>
          <w:rFonts w:ascii="Consolas" w:cs="Consolas" w:eastAsia="Consolas" w:hAnsi="Consolas"/>
          <w:sz w:val="19"/>
          <w:szCs w:val="19"/>
        </w:rPr>
        <w:t xml:space="preserve">default_to</w:t>
      </w:r>
      <w:r>
        <w:rPr>
          <w:sz w:val="19"/>
          <w:szCs w:val="19"/>
        </w:rPr>
        <w:t xml:space="preserve">, </w:t>
      </w:r>
      <w:r>
        <w:rPr>
          <w:rFonts w:ascii="Consolas" w:cs="Consolas" w:eastAsia="Consolas" w:hAnsi="Consolas"/>
          <w:sz w:val="19"/>
          <w:szCs w:val="19"/>
        </w:rPr>
        <w:t xml:space="preserve">esp_to</w:t>
      </w:r>
      <w:r>
        <w:rPr>
          <w:sz w:val="19"/>
          <w:szCs w:val="19"/>
        </w:rPr>
        <w:t xml:space="preserve">, app password) to customer's mail relay and alert routing.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Adjust VM sizing &amp; replica counts</w:t>
            </w:r>
          </w:p>
        </w:tc>
      </w:tr>
    </w:tbl>
    <w:p>
      <w:pPr>
        <w:spacing w:after="220" w:before="60"/>
        <w:ind w:left="215"/>
      </w:pPr>
      <w:r>
        <w:rPr>
          <w:b/>
          <w:bCs/>
          <w:i/>
          <w:iCs/>
          <w:sz w:val="19"/>
          <w:szCs w:val="19"/>
        </w:rPr>
        <w:t xml:space="preserve">Acceptance criteria: </w:t>
      </w:r>
      <w:r>
        <w:rPr>
          <w:sz w:val="19"/>
          <w:szCs w:val="19"/>
        </w:rPr>
        <w:t xml:space="preserve">Adjust </w:t>
      </w:r>
      <w:r>
        <w:rPr>
          <w:rFonts w:ascii="Consolas" w:cs="Consolas" w:eastAsia="Consolas" w:hAnsi="Consolas"/>
          <w:sz w:val="19"/>
          <w:szCs w:val="19"/>
        </w:rPr>
        <w:t xml:space="preserve">install_config</w:t>
      </w:r>
      <w:r>
        <w:rPr>
          <w:sz w:val="19"/>
          <w:szCs w:val="19"/>
        </w:rPr>
        <w:t xml:space="preserve"> VM sizing (vCPU/memory/disk) and replica counts per tier to match customer's sizing/capacity requirements and available Nutanix cluster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Configure enable_uwm per cluster</w:t>
            </w:r>
          </w:p>
        </w:tc>
      </w:tr>
    </w:tbl>
    <w:p>
      <w:pPr>
        <w:spacing w:after="220" w:before="60"/>
        <w:ind w:left="215"/>
      </w:pPr>
      <w:r>
        <w:rPr>
          <w:b/>
          <w:bCs/>
          <w:i/>
          <w:iCs/>
          <w:sz w:val="19"/>
          <w:szCs w:val="19"/>
        </w:rPr>
        <w:t xml:space="preserve">Acceptance criteria: </w:t>
      </w:r>
      <w:r>
        <w:rPr>
          <w:sz w:val="19"/>
          <w:szCs w:val="19"/>
        </w:rPr>
        <w:t xml:space="preserve">Decide and set </w:t>
      </w:r>
      <w:r>
        <w:rPr>
          <w:rFonts w:ascii="Consolas" w:cs="Consolas" w:eastAsia="Consolas" w:hAnsi="Consolas"/>
          <w:sz w:val="19"/>
          <w:szCs w:val="19"/>
        </w:rPr>
        <w:t xml:space="preserve">enable_uwm</w:t>
      </w:r>
      <w:r>
        <w:rPr>
          <w:sz w:val="19"/>
          <w:szCs w:val="19"/>
        </w:rPr>
        <w:t xml:space="preserve"> per cluster based on whether customer runs user-namespace workloads needing monitoring (e.g., ArgoCD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Set gitops_version per managed cluster</w:t>
            </w:r>
          </w:p>
        </w:tc>
      </w:tr>
    </w:tbl>
    <w:p>
      <w:pPr>
        <w:spacing w:after="220" w:before="60"/>
        <w:ind w:left="215"/>
      </w:pPr>
      <w:r>
        <w:rPr>
          <w:b/>
          <w:bCs/>
          <w:i/>
          <w:iCs/>
          <w:sz w:val="19"/>
          <w:szCs w:val="19"/>
        </w:rPr>
        <w:t xml:space="preserve">Acceptance criteria: </w:t>
      </w:r>
      <w:r>
        <w:rPr>
          <w:sz w:val="19"/>
          <w:szCs w:val="19"/>
        </w:rPr>
        <w:t xml:space="preserve">Set </w:t>
      </w:r>
      <w:r>
        <w:rPr>
          <w:rFonts w:ascii="Consolas" w:cs="Consolas" w:eastAsia="Consolas" w:hAnsi="Consolas"/>
          <w:sz w:val="19"/>
          <w:szCs w:val="19"/>
        </w:rPr>
        <w:t xml:space="preserve">gitops_version</w:t>
      </w:r>
      <w:r>
        <w:rPr>
          <w:sz w:val="19"/>
          <w:szCs w:val="19"/>
        </w:rPr>
        <w:t xml:space="preserve"> consistently per managed cluster per customer's supported GitOps operator version (1.18 or 1.19).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Review node placement &amp; redundancy settings</w:t>
            </w:r>
          </w:p>
        </w:tc>
      </w:tr>
    </w:tbl>
    <w:p>
      <w:pPr>
        <w:spacing w:after="220" w:before="60"/>
        <w:ind w:left="215"/>
      </w:pPr>
      <w:r>
        <w:rPr>
          <w:b/>
          <w:bCs/>
          <w:i/>
          <w:iCs/>
          <w:sz w:val="19"/>
          <w:szCs w:val="19"/>
        </w:rPr>
        <w:t xml:space="preserve">Acceptance criteria: </w:t>
      </w:r>
      <w:r>
        <w:rPr>
          <w:sz w:val="19"/>
          <w:szCs w:val="19"/>
        </w:rPr>
        <w:t xml:space="preserve">Review node placement/redundancy settings per tier against customer's production requirements (e.g., spreading control plane across Prism Element hosts/blocks where the Nutanix cluster's fault-domain design allows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Disable Global Hub-only Day 2 role</w:t>
            </w:r>
          </w:p>
        </w:tc>
      </w:tr>
    </w:tbl>
    <w:p>
      <w:pPr>
        <w:spacing w:after="220" w:before="60"/>
        <w:ind w:left="215"/>
      </w:pPr>
      <w:r>
        <w:rPr>
          <w:b/>
          <w:bCs/>
          <w:i/>
          <w:iCs/>
          <w:sz w:val="19"/>
          <w:szCs w:val="19"/>
        </w:rPr>
        <w:t xml:space="preserve">Acceptance criteria: </w:t>
      </w:r>
      <w:r>
        <w:rPr>
          <w:sz w:val="19"/>
          <w:szCs w:val="19"/>
        </w:rPr>
        <w:t xml:space="preserve">Confirm the Global Hub-only Day 2 role (</w:t>
      </w:r>
      <w:r>
        <w:rPr>
          <w:rFonts w:ascii="Consolas" w:cs="Consolas" w:eastAsia="Consolas" w:hAnsi="Consolas"/>
          <w:sz w:val="19"/>
          <w:szCs w:val="19"/>
        </w:rPr>
        <w:t xml:space="preserve">argo/apps_install_global_hub</w:t>
      </w:r>
      <w:r>
        <w:rPr>
          <w:sz w:val="19"/>
          <w:szCs w:val="19"/>
        </w:rPr>
        <w:t xml:space="preserve">) is disabled/excluded from the customized inventory and playbook path, since this deployment has no Global Hub 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Add customer-specific compliance/tagging automation</w:t>
            </w:r>
          </w:p>
        </w:tc>
      </w:tr>
    </w:tbl>
    <w:p>
      <w:pPr>
        <w:spacing w:after="220" w:before="60"/>
        <w:ind w:left="215"/>
      </w:pPr>
      <w:r>
        <w:rPr>
          <w:b/>
          <w:bCs/>
          <w:i/>
          <w:iCs/>
          <w:sz w:val="19"/>
          <w:szCs w:val="19"/>
        </w:rPr>
        <w:t xml:space="preserve">Acceptance criteria: </w:t>
      </w:r>
      <w:r>
        <w:rPr>
          <w:sz w:val="19"/>
          <w:szCs w:val="19"/>
        </w:rPr>
        <w:t xml:space="preserve">Add/adjust any customer-required tagging, backup, or compliance automation not present in the base repo (document as extensions, keep changes isolated from upstream roles where possible for maintainability).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Version-control customized inventory &amp; roles</w:t>
            </w:r>
          </w:p>
        </w:tc>
      </w:tr>
    </w:tbl>
    <w:p>
      <w:pPr>
        <w:spacing w:after="220" w:before="60"/>
        <w:ind w:left="215"/>
      </w:pPr>
      <w:r>
        <w:rPr>
          <w:b/>
          <w:bCs/>
          <w:i/>
          <w:iCs/>
          <w:sz w:val="19"/>
          <w:szCs w:val="19"/>
        </w:rPr>
        <w:t xml:space="preserve">Acceptance criteria: </w:t>
      </w:r>
      <w:r>
        <w:rPr>
          <w:sz w:val="19"/>
          <w:szCs w:val="19"/>
        </w:rPr>
        <w:t xml:space="preserve">Version-control the customized inventory and any modified roles in the customer's own repo/branching strategy.</w:t>
      </w:r>
    </w:p>
    <w:p>
      <w:pPr>
        <w:pStyle w:val="Heading2"/>
        <w:spacing w:after="100" w:before="220"/>
      </w:pPr>
      <w:r>
        <w:t xml:space="preserve">2.5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full functional test (hub + managed cluster)</w:t>
            </w:r>
          </w:p>
        </w:tc>
      </w:tr>
    </w:tbl>
    <w:p>
      <w:pPr>
        <w:spacing w:after="220" w:before="60"/>
        <w:ind w:left="215"/>
      </w:pPr>
      <w:r>
        <w:rPr>
          <w:b/>
          <w:bCs/>
          <w:i/>
          <w:iCs/>
          <w:sz w:val="19"/>
          <w:szCs w:val="19"/>
        </w:rPr>
        <w:t xml:space="preserve">Acceptance criteria: </w:t>
      </w:r>
      <w:r>
        <w:rPr>
          <w:sz w:val="19"/>
          <w:szCs w:val="19"/>
        </w:rPr>
        <w:t xml:space="preserve">Functional test: full two-tier (hub + managed cluster) stand-up on Nutanix from a clean environment using the final customized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idempotency test</w:t>
            </w:r>
          </w:p>
        </w:tc>
      </w:tr>
    </w:tbl>
    <w:p>
      <w:pPr>
        <w:spacing w:after="220" w:before="60"/>
        <w:ind w:left="215"/>
      </w:pPr>
      <w:r>
        <w:rPr>
          <w:b/>
          <w:bCs/>
          <w:i/>
          <w:iCs/>
          <w:sz w:val="19"/>
          <w:szCs w:val="19"/>
        </w:rPr>
        <w:t xml:space="preserve">Acceptance criteria: </w:t>
      </w:r>
      <w:r>
        <w:rPr>
          <w:sz w:val="19"/>
          <w:szCs w:val="19"/>
        </w:rPr>
        <w:t xml:space="preserve">Re-run playbooks against an already-provisioned environment, confirm no unintended changes/destructive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targeted tier1/tier2 test</w:t>
            </w:r>
          </w:p>
        </w:tc>
      </w:tr>
    </w:tbl>
    <w:p>
      <w:pPr>
        <w:spacing w:after="220" w:before="60"/>
        <w:ind w:left="215"/>
      </w:pPr>
      <w:r>
        <w:rPr>
          <w:b/>
          <w:bCs/>
          <w:i/>
          <w:iCs/>
          <w:sz w:val="19"/>
          <w:szCs w:val="19"/>
        </w:rPr>
        <w:t xml:space="preserve">Acceptance criteria: </w:t>
      </w:r>
      <w:r>
        <w:rPr>
          <w:sz w:val="19"/>
          <w:szCs w:val="19"/>
        </w:rPr>
        <w:t xml:space="preserve">Single-tier/targeted test: confirm </w:t>
      </w:r>
      <w:r>
        <w:rPr>
          <w:rFonts w:ascii="Consolas" w:cs="Consolas" w:eastAsia="Consolas" w:hAnsi="Consolas"/>
          <w:sz w:val="19"/>
          <w:szCs w:val="19"/>
        </w:rPr>
        <w:t xml:space="preserve">--tags tier1</w:t>
      </w:r>
      <w:r>
        <w:rPr>
          <w:sz w:val="19"/>
          <w:szCs w:val="19"/>
        </w:rPr>
        <w:t xml:space="preserve"> and </w:t>
      </w:r>
      <w:r>
        <w:rPr>
          <w:rFonts w:ascii="Consolas" w:cs="Consolas" w:eastAsia="Consolas" w:hAnsi="Consolas"/>
          <w:sz w:val="19"/>
          <w:szCs w:val="19"/>
        </w:rPr>
        <w:t xml:space="preserve">--tags tier2 --limit &lt;cluster&gt;</w:t>
      </w:r>
      <w:r>
        <w:rPr>
          <w:sz w:val="19"/>
          <w:szCs w:val="19"/>
        </w:rPr>
        <w:t xml:space="preserve"> work in isolation against an existing 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failure/recovery test</w:t>
            </w:r>
          </w:p>
        </w:tc>
      </w:tr>
    </w:tbl>
    <w:p>
      <w:pPr>
        <w:spacing w:after="220" w:before="60"/>
        <w:ind w:left="215"/>
      </w:pPr>
      <w:r>
        <w:rPr>
          <w:b/>
          <w:bCs/>
          <w:i/>
          <w:iCs/>
          <w:sz w:val="19"/>
          <w:szCs w:val="19"/>
        </w:rPr>
        <w:t xml:space="preserve">Acceptance criteria: </w:t>
      </w:r>
      <w:r>
        <w:rPr>
          <w:sz w:val="19"/>
          <w:szCs w:val="19"/>
        </w:rPr>
        <w:t xml:space="preserve">Simulate a failed managed-cluster provision and confirm re-run behavior and alerting via SMTP.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firewall validation test</w:t>
            </w:r>
          </w:p>
        </w:tc>
      </w:tr>
    </w:tbl>
    <w:p>
      <w:pPr>
        <w:spacing w:after="220" w:before="60"/>
        <w:ind w:left="215"/>
      </w:pPr>
      <w:r>
        <w:rPr>
          <w:b/>
          <w:bCs/>
          <w:i/>
          <w:iCs/>
          <w:sz w:val="19"/>
          <w:szCs w:val="19"/>
        </w:rPr>
        <w:t xml:space="preserve">Acceptance criteria: </w:t>
      </w:r>
      <w:r>
        <w:rPr>
          <w:sz w:val="19"/>
          <w:szCs w:val="19"/>
        </w:rPr>
        <w:t xml:space="preserve">Run the full automation with only the allow-listed endpoints open (per Phase 1.2) and confirm no hidden dependencies on non-allow-listed hosts.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registry substitution test</w:t>
            </w:r>
          </w:p>
        </w:tc>
      </w:tr>
    </w:tbl>
    <w:p>
      <w:pPr>
        <w:spacing w:after="220" w:before="60"/>
        <w:ind w:left="215"/>
      </w:pPr>
      <w:r>
        <w:rPr>
          <w:b/>
          <w:bCs/>
          <w:i/>
          <w:iCs/>
          <w:sz w:val="19"/>
          <w:szCs w:val="19"/>
        </w:rPr>
        <w:t xml:space="preserve">Acceptance criteria: </w:t>
      </w:r>
      <w:r>
        <w:rPr>
          <w:sz w:val="19"/>
          <w:szCs w:val="19"/>
        </w:rPr>
        <w:t xml:space="preserve">Confirm images pull correctly from customer registry (or Quay) with no fallback to public Red Hat registries where not intended.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GitOps substitution test</w:t>
            </w:r>
          </w:p>
        </w:tc>
      </w:tr>
    </w:tbl>
    <w:p>
      <w:pPr>
        <w:spacing w:after="220" w:before="60"/>
        <w:ind w:left="215"/>
      </w:pPr>
      <w:r>
        <w:rPr>
          <w:b/>
          <w:bCs/>
          <w:i/>
          <w:iCs/>
          <w:sz w:val="19"/>
          <w:szCs w:val="19"/>
        </w:rPr>
        <w:t xml:space="preserve">Acceptance criteria: </w:t>
      </w:r>
      <w:r>
        <w:rPr>
          <w:sz w:val="19"/>
          <w:szCs w:val="19"/>
        </w:rPr>
        <w:t xml:space="preserve">Confirm ArgoCD Applications sync from customer's Git host and not the public default repos.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security review of secrets handling</w:t>
            </w:r>
          </w:p>
        </w:tc>
      </w:tr>
    </w:tbl>
    <w:p>
      <w:pPr>
        <w:spacing w:after="220" w:before="60"/>
        <w:ind w:left="215"/>
      </w:pPr>
      <w:r>
        <w:rPr>
          <w:b/>
          <w:bCs/>
          <w:i/>
          <w:iCs/>
          <w:sz w:val="19"/>
          <w:szCs w:val="19"/>
        </w:rPr>
        <w:t xml:space="preserve">Acceptance criteria: </w:t>
      </w:r>
      <w:r>
        <w:rPr>
          <w:sz w:val="19"/>
          <w:szCs w:val="19"/>
        </w:rPr>
        <w:t xml:space="preserve">Confirm no secrets are logged in Ansible output/artifacts, credentials are sourced from vault/secrets manager, and pull secret/SSH key handling meets customer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scale/timing test</w:t>
            </w:r>
          </w:p>
        </w:tc>
      </w:tr>
    </w:tbl>
    <w:p>
      <w:pPr>
        <w:spacing w:after="220" w:before="60"/>
        <w:ind w:left="215"/>
      </w:pPr>
      <w:r>
        <w:rPr>
          <w:b/>
          <w:bCs/>
          <w:i/>
          <w:iCs/>
          <w:sz w:val="19"/>
          <w:szCs w:val="19"/>
        </w:rPr>
        <w:t xml:space="preserve">Acceptance criteria: </w:t>
      </w:r>
      <w:r>
        <w:rPr>
          <w:sz w:val="19"/>
          <w:szCs w:val="19"/>
        </w:rPr>
        <w:t xml:space="preserve">Measure end-to-end provisioning time per tier to inform production rollout scheduling and maintenance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teardown/cleanup test</w:t>
            </w:r>
          </w:p>
        </w:tc>
      </w:tr>
    </w:tbl>
    <w:p>
      <w:pPr>
        <w:spacing w:after="220" w:before="60"/>
        <w:ind w:left="215"/>
      </w:pPr>
      <w:r>
        <w:rPr>
          <w:b/>
          <w:bCs/>
          <w:i/>
          <w:iCs/>
          <w:sz w:val="19"/>
          <w:szCs w:val="19"/>
        </w:rPr>
        <w:t xml:space="preserve">Acceptance criteria: </w:t>
      </w:r>
      <w:r>
        <w:rPr>
          <w:sz w:val="19"/>
          <w:szCs w:val="19"/>
        </w:rPr>
        <w:t xml:space="preserve">Confirm a clean decommission path exists for lab clusters (important before repeating in 5 prod 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Write customer runbook documentation</w:t>
            </w:r>
          </w:p>
        </w:tc>
      </w:tr>
    </w:tbl>
    <w:p>
      <w:pPr>
        <w:spacing w:after="220" w:before="60"/>
        <w:ind w:left="215"/>
      </w:pPr>
      <w:r>
        <w:rPr>
          <w:b/>
          <w:bCs/>
          <w:i/>
          <w:iCs/>
          <w:sz w:val="19"/>
          <w:szCs w:val="19"/>
        </w:rPr>
        <w:t xml:space="preserve">Acceptance criteria: </w:t>
      </w:r>
      <w:r>
        <w:rPr>
          <w:sz w:val="19"/>
          <w:szCs w:val="19"/>
        </w:rPr>
        <w:t xml:space="preserve">Capture a customer-specific runbook covering inventory structure, customization points, and known gotchas (Nutanix capacity sizing, clusterset matching, repo overrides, DNS/LB steps).</w:t>
      </w:r>
    </w:p>
    <w:p>
      <w:pPr>
        <w:pStyle w:val="Heading2"/>
        <w:spacing w:after="100" w:before="220"/>
      </w:pPr>
      <w:r>
        <w:t xml:space="preserve">2.6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Conduct lab walkthrough/demo</w:t>
            </w:r>
          </w:p>
        </w:tc>
      </w:tr>
    </w:tbl>
    <w:p>
      <w:pPr>
        <w:spacing w:after="220" w:before="60"/>
        <w:ind w:left="215"/>
      </w:pPr>
      <w:r>
        <w:rPr>
          <w:b/>
          <w:bCs/>
          <w:i/>
          <w:iCs/>
          <w:sz w:val="19"/>
          <w:szCs w:val="19"/>
        </w:rPr>
        <w:t xml:space="preserve">Acceptance criteria: </w:t>
      </w:r>
      <w:r>
        <w:rPr>
          <w:sz w:val="19"/>
          <w:szCs w:val="19"/>
        </w:rPr>
        <w:t xml:space="preserve">Walkthrough/demo of lab environment with customer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Obtain formal lab sign-off</w:t>
            </w:r>
          </w:p>
        </w:tc>
      </w:tr>
    </w:tbl>
    <w:p>
      <w:pPr>
        <w:spacing w:after="220" w:before="60"/>
        <w:ind w:left="215"/>
      </w:pPr>
      <w:r>
        <w:rPr>
          <w:b/>
          <w:bCs/>
          <w:i/>
          <w:iCs/>
          <w:sz w:val="19"/>
          <w:szCs w:val="19"/>
        </w:rPr>
        <w:t xml:space="preserve">Acceptance criteria: </w:t>
      </w:r>
      <w:r>
        <w:rPr>
          <w:sz w:val="19"/>
          <w:szCs w:val="19"/>
        </w:rPr>
        <w:t xml:space="preserve">Formal sign-off on customized automation and firewall rule set before production rollout begins.</w:t>
      </w:r>
    </w:p>
    <w:p>
      <w:pPr>
        <w:pStyle w:val="Heading1"/>
        <w:spacing w:after="160" w:before="320"/>
      </w:pPr>
      <w:r>
        <w:t xml:space="preserve">Phase 3 — Production Rollout: 5 Sites</w:t>
      </w:r>
    </w:p>
    <w:p>
      <w:pPr>
        <w:pStyle w:val="Heading2"/>
        <w:spacing w:after="100" w:before="220"/>
      </w:pPr>
      <w:r>
        <w:t xml:space="preserve">3.1 Per-Site Pre-Rollout Checklist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Nutanix access &amp; capacity for site</w:t>
            </w:r>
          </w:p>
        </w:tc>
      </w:tr>
    </w:tbl>
    <w:p>
      <w:pPr>
        <w:spacing w:after="220" w:before="60"/>
        <w:ind w:left="215"/>
      </w:pPr>
      <w:r>
        <w:rPr>
          <w:b/>
          <w:bCs/>
          <w:i/>
          <w:iCs/>
          <w:sz w:val="19"/>
          <w:szCs w:val="19"/>
        </w:rPr>
        <w:t xml:space="preserve">Acceptance criteria: </w:t>
      </w:r>
      <w:r>
        <w:rPr>
          <w:sz w:val="19"/>
          <w:szCs w:val="19"/>
        </w:rPr>
        <w:t xml:space="preserve">Confirm Nutanix Prism Central/Element access, service-account credentials, and capacity (vCPU/memory/storage) provisioned for this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networking &amp; VIPs allocated for site</w:t>
            </w:r>
          </w:p>
        </w:tc>
      </w:tr>
    </w:tbl>
    <w:p>
      <w:pPr>
        <w:spacing w:after="220" w:before="60"/>
        <w:ind w:left="215"/>
      </w:pPr>
      <w:r>
        <w:rPr>
          <w:b/>
          <w:bCs/>
          <w:i/>
          <w:iCs/>
          <w:sz w:val="19"/>
          <w:szCs w:val="19"/>
        </w:rPr>
        <w:t xml:space="preserve">Acceptance criteria: </w:t>
      </w:r>
      <w:r>
        <w:rPr>
          <w:sz w:val="19"/>
          <w:szCs w:val="19"/>
        </w:rPr>
        <w:t xml:space="preserve">Confirm subnet/VLAN, IP scheme (DHCP or static reservations), and API/Ingress VIPs are allocated for this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DNS readiness for site</w:t>
            </w:r>
          </w:p>
        </w:tc>
      </w:tr>
    </w:tbl>
    <w:p>
      <w:pPr>
        <w:spacing w:after="220" w:before="60"/>
        <w:ind w:left="215"/>
      </w:pPr>
      <w:r>
        <w:rPr>
          <w:b/>
          <w:bCs/>
          <w:i/>
          <w:iCs/>
          <w:sz w:val="19"/>
          <w:szCs w:val="19"/>
        </w:rPr>
        <w:t xml:space="preserve">Acceptance criteria: </w:t>
      </w:r>
      <w:r>
        <w:rPr>
          <w:sz w:val="19"/>
          <w:szCs w:val="19"/>
        </w:rPr>
        <w:t xml:space="preserve">Confirm DNS records (or the process to create them) and base domain are ready to resolve for this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Submit firewall change request for site</w:t>
            </w:r>
          </w:p>
        </w:tc>
      </w:tr>
    </w:tbl>
    <w:p>
      <w:pPr>
        <w:spacing w:after="220" w:before="60"/>
        <w:ind w:left="215"/>
      </w:pPr>
      <w:r>
        <w:rPr>
          <w:b/>
          <w:bCs/>
          <w:i/>
          <w:iCs/>
          <w:sz w:val="19"/>
          <w:szCs w:val="19"/>
        </w:rPr>
        <w:t xml:space="preserve">Acceptance criteria: </w:t>
      </w:r>
      <w:r>
        <w:rPr>
          <w:sz w:val="19"/>
          <w:szCs w:val="19"/>
        </w:rPr>
        <w:t xml:space="preserve">Submit and confirm firewall change request implementing the validated allow-list (Phase 1.2) for this site's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Provision site-specific credentials</w:t>
            </w:r>
          </w:p>
        </w:tc>
      </w:tr>
    </w:tbl>
    <w:p>
      <w:pPr>
        <w:spacing w:after="220" w:before="60"/>
        <w:ind w:left="215"/>
      </w:pPr>
      <w:r>
        <w:rPr>
          <w:b/>
          <w:bCs/>
          <w:i/>
          <w:iCs/>
          <w:sz w:val="19"/>
          <w:szCs w:val="19"/>
        </w:rPr>
        <w:t xml:space="preserve">Acceptance criteria: </w:t>
      </w:r>
      <w:r>
        <w:rPr>
          <w:sz w:val="19"/>
          <w:szCs w:val="19"/>
        </w:rPr>
        <w:t xml:space="preserve">Confirm site-specific pull secret/SSH key/registry-credentials/Git-credentials are provisioned and stored securely.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Build site-specific inventory.yaml</w:t>
            </w:r>
          </w:p>
        </w:tc>
      </w:tr>
    </w:tbl>
    <w:p>
      <w:pPr>
        <w:spacing w:after="220" w:before="60"/>
        <w:ind w:left="215"/>
      </w:pPr>
      <w:r>
        <w:rPr>
          <w:b/>
          <w:bCs/>
          <w:i/>
          <w:iCs/>
          <w:sz w:val="19"/>
          <w:szCs w:val="19"/>
        </w:rPr>
        <w:t xml:space="preserve">Acceptance criteria: </w:t>
      </w:r>
      <w:r>
        <w:rPr>
          <w:sz w:val="19"/>
          <w:szCs w:val="19"/>
        </w:rPr>
        <w:t xml:space="preserve">Build site-specific </w:t>
      </w:r>
      <w:r>
        <w:rPr>
          <w:rFonts w:ascii="Consolas" w:cs="Consolas" w:eastAsia="Consolas" w:hAnsi="Consolas"/>
          <w:sz w:val="19"/>
          <w:szCs w:val="19"/>
        </w:rPr>
        <w:t xml:space="preserve">inventory.yaml</w:t>
      </w:r>
      <w:r>
        <w:rPr>
          <w:sz w:val="19"/>
          <w:szCs w:val="19"/>
        </w:rPr>
        <w:t xml:space="preserve"> from the customized template (site name, clusterset names, sizing, Nutanix cluster/subnet identifiers, SMTP recipients).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Schedule maintenance window for site</w:t>
            </w:r>
          </w:p>
        </w:tc>
      </w:tr>
    </w:tbl>
    <w:p>
      <w:pPr>
        <w:spacing w:after="220" w:before="60"/>
        <w:ind w:left="215"/>
      </w:pPr>
      <w:r>
        <w:rPr>
          <w:b/>
          <w:bCs/>
          <w:i/>
          <w:iCs/>
          <w:sz w:val="19"/>
          <w:szCs w:val="19"/>
        </w:rPr>
        <w:t xml:space="preserve">Acceptance criteria: </w:t>
      </w:r>
      <w:r>
        <w:rPr>
          <w:sz w:val="19"/>
          <w:szCs w:val="19"/>
        </w:rPr>
        <w:t xml:space="preserve">Schedule maintenance window / change management approval for this site.</w:t>
      </w:r>
    </w:p>
    <w:p>
      <w:pPr>
        <w:pStyle w:val="Heading2"/>
        <w:spacing w:after="100" w:before="220"/>
      </w:pPr>
      <w:r>
        <w:t xml:space="preserve">3.2 Per-Site Execution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Provision control node for site</w:t>
            </w:r>
          </w:p>
        </w:tc>
      </w:tr>
    </w:tbl>
    <w:p>
      <w:pPr>
        <w:spacing w:after="220" w:before="60"/>
        <w:ind w:left="215"/>
      </w:pPr>
      <w:r>
        <w:rPr>
          <w:b/>
          <w:bCs/>
          <w:i/>
          <w:iCs/>
          <w:sz w:val="19"/>
          <w:szCs w:val="19"/>
        </w:rPr>
        <w:t xml:space="preserve">Acceptance criteria: </w:t>
      </w:r>
      <w:r>
        <w:rPr>
          <w:sz w:val="19"/>
          <w:szCs w:val="19"/>
        </w:rPr>
        <w:t xml:space="preserve">Provision control node for this site (or confirm shared control node has network access/credentials scoped for this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tier1 (Hub) install for site</w:t>
            </w:r>
          </w:p>
        </w:tc>
      </w:tr>
    </w:tbl>
    <w:p>
      <w:pPr>
        <w:spacing w:after="220" w:before="60"/>
        <w:ind w:left="215"/>
      </w:pPr>
      <w:r>
        <w:rPr>
          <w:b/>
          <w:bCs/>
          <w:i/>
          <w:iCs/>
          <w:sz w:val="19"/>
          <w:szCs w:val="19"/>
        </w:rPr>
        <w:t xml:space="preserve">Acceptance criteria: </w:t>
      </w:r>
      <w:r>
        <w:rPr>
          <w:sz w:val="19"/>
          <w:szCs w:val="19"/>
        </w:rPr>
        <w:t xml:space="preserve">Run </w:t>
      </w:r>
      <w:r>
        <w:rPr>
          <w:rFonts w:ascii="Consolas" w:cs="Consolas" w:eastAsia="Consolas" w:hAnsi="Consolas"/>
          <w:sz w:val="19"/>
          <w:szCs w:val="19"/>
        </w:rPr>
        <w:t xml:space="preserve">tier1</w:t>
      </w:r>
      <w:r>
        <w:rPr>
          <w:sz w:val="19"/>
          <w:szCs w:val="19"/>
        </w:rPr>
        <w:t xml:space="preserve"> (this site's ACM Hub) and validate before proceeding.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tier2 (managed clusters) install for site</w:t>
            </w:r>
          </w:p>
        </w:tc>
      </w:tr>
    </w:tbl>
    <w:p>
      <w:pPr>
        <w:spacing w:after="220" w:before="60"/>
        <w:ind w:left="215"/>
      </w:pPr>
      <w:r>
        <w:rPr>
          <w:b/>
          <w:bCs/>
          <w:i/>
          <w:iCs/>
          <w:sz w:val="19"/>
          <w:szCs w:val="19"/>
        </w:rPr>
        <w:t xml:space="preserve">Acceptance criteria: </w:t>
      </w:r>
      <w:r>
        <w:rPr>
          <w:sz w:val="19"/>
          <w:szCs w:val="19"/>
        </w:rPr>
        <w:t xml:space="preserve">Run </w:t>
      </w:r>
      <w:r>
        <w:rPr>
          <w:rFonts w:ascii="Consolas" w:cs="Consolas" w:eastAsia="Consolas" w:hAnsi="Consolas"/>
          <w:sz w:val="19"/>
          <w:szCs w:val="19"/>
        </w:rPr>
        <w:t xml:space="preserve">tier2</w:t>
      </w:r>
      <w:r>
        <w:rPr>
          <w:sz w:val="19"/>
          <w:szCs w:val="19"/>
        </w:rPr>
        <w:t xml:space="preserve"> (Managed Cluster(s)) and validate registration to the hub, GitOps sync, and monitoring data flow into the hub's Grafana.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Day 2 components via ArgoCD</w:t>
            </w:r>
          </w:p>
        </w:tc>
      </w:tr>
    </w:tbl>
    <w:p>
      <w:pPr>
        <w:spacing w:after="220" w:before="60"/>
        <w:ind w:left="215"/>
      </w:pPr>
      <w:r>
        <w:rPr>
          <w:b/>
          <w:bCs/>
          <w:i/>
          <w:iCs/>
          <w:sz w:val="19"/>
          <w:szCs w:val="19"/>
        </w:rPr>
        <w:t xml:space="preserve">Acceptance criteria: </w:t>
      </w:r>
      <w:r>
        <w:rPr>
          <w:sz w:val="19"/>
          <w:szCs w:val="19"/>
        </w:rPr>
        <w:t xml:space="preserve">Validate Day 2 components (ACM, ODF, MCO, COO, Quay/registry) all reconcile successfully via ArgoCD.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production firewall validation test</w:t>
            </w:r>
          </w:p>
        </w:tc>
      </w:tr>
    </w:tbl>
    <w:p>
      <w:pPr>
        <w:spacing w:after="220" w:before="60"/>
        <w:ind w:left="215"/>
      </w:pPr>
      <w:r>
        <w:rPr>
          <w:b/>
          <w:bCs/>
          <w:i/>
          <w:iCs/>
          <w:sz w:val="19"/>
          <w:szCs w:val="19"/>
        </w:rPr>
        <w:t xml:space="preserve">Acceptance criteria: </w:t>
      </w:r>
      <w:r>
        <w:rPr>
          <w:sz w:val="19"/>
          <w:szCs w:val="19"/>
        </w:rPr>
        <w:t xml:space="preserve">Run firewall validation test again in production network (confirm allow-list is sufficient, no unplanned egress).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SMTP alerting for site</w:t>
            </w:r>
          </w:p>
        </w:tc>
      </w:tr>
    </w:tbl>
    <w:p>
      <w:pPr>
        <w:spacing w:after="220" w:before="60"/>
        <w:ind w:left="215"/>
      </w:pPr>
      <w:r>
        <w:rPr>
          <w:b/>
          <w:bCs/>
          <w:i/>
          <w:iCs/>
          <w:sz w:val="19"/>
          <w:szCs w:val="19"/>
        </w:rPr>
        <w:t xml:space="preserve">Acceptance criteria: </w:t>
      </w:r>
      <w:r>
        <w:rPr>
          <w:sz w:val="19"/>
          <w:szCs w:val="19"/>
        </w:rPr>
        <w:t xml:space="preserve">Confirm alerting (SMTP) delivers to the correct on-call/recipient list for this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Hand off kubeconfig &amp; RBAC to ops</w:t>
            </w:r>
          </w:p>
        </w:tc>
      </w:tr>
    </w:tbl>
    <w:p>
      <w:pPr>
        <w:spacing w:after="220" w:before="60"/>
        <w:ind w:left="215"/>
      </w:pPr>
      <w:r>
        <w:rPr>
          <w:b/>
          <w:bCs/>
          <w:i/>
          <w:iCs/>
          <w:sz w:val="19"/>
          <w:szCs w:val="19"/>
        </w:rPr>
        <w:t xml:space="preserve">Acceptance criteria: </w:t>
      </w:r>
      <w:r>
        <w:rPr>
          <w:sz w:val="19"/>
          <w:szCs w:val="19"/>
        </w:rPr>
        <w:t xml:space="preserve">Confirm kubeconfig access and RBAC handed off correctly to customer's operations team for this site.</w:t>
      </w:r>
    </w:p>
    <w:p>
      <w:pPr>
        <w:pStyle w:val="Heading2"/>
        <w:spacing w:after="100" w:before="220"/>
      </w:pPr>
      <w:r>
        <w:t xml:space="preserve">3.3 Per-Site Post-Go-Live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Validate observability/Grafana for site</w:t>
            </w:r>
          </w:p>
        </w:tc>
      </w:tr>
    </w:tbl>
    <w:p>
      <w:pPr>
        <w:spacing w:after="220" w:before="60"/>
        <w:ind w:left="215"/>
      </w:pPr>
      <w:r>
        <w:rPr>
          <w:b/>
          <w:bCs/>
          <w:i/>
          <w:iCs/>
          <w:sz w:val="19"/>
          <w:szCs w:val="19"/>
        </w:rPr>
        <w:t xml:space="preserve">Acceptance criteria: </w:t>
      </w:r>
      <w:r>
        <w:rPr>
          <w:sz w:val="19"/>
          <w:szCs w:val="19"/>
        </w:rPr>
        <w:t xml:space="preserve">Validate observability: metrics from this site's managed clusters visible in this site's ACM Hub Grafana/dashboards.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Run acceptance tests for site</w:t>
            </w:r>
          </w:p>
        </w:tc>
      </w:tr>
    </w:tbl>
    <w:p>
      <w:pPr>
        <w:spacing w:after="220" w:before="60"/>
        <w:ind w:left="215"/>
      </w:pPr>
      <w:r>
        <w:rPr>
          <w:b/>
          <w:bCs/>
          <w:i/>
          <w:iCs/>
          <w:sz w:val="19"/>
          <w:szCs w:val="19"/>
        </w:rPr>
        <w:t xml:space="preserve">Acceptance criteria: </w:t>
      </w:r>
      <w:r>
        <w:rPr>
          <w:sz w:val="19"/>
          <w:szCs w:val="19"/>
        </w:rPr>
        <w:t xml:space="preserve">Run acceptance tests defined in Phase 0 against this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backup/DR posture for site</w:t>
            </w:r>
          </w:p>
        </w:tc>
      </w:tr>
    </w:tbl>
    <w:p>
      <w:pPr>
        <w:spacing w:after="220" w:before="60"/>
        <w:ind w:left="215"/>
      </w:pPr>
      <w:r>
        <w:rPr>
          <w:b/>
          <w:bCs/>
          <w:i/>
          <w:iCs/>
          <w:sz w:val="19"/>
          <w:szCs w:val="19"/>
        </w:rPr>
        <w:t xml:space="preserve">Acceptance criteria: </w:t>
      </w:r>
      <w:r>
        <w:rPr>
          <w:sz w:val="19"/>
          <w:szCs w:val="19"/>
        </w:rPr>
        <w:t xml:space="preserve">Confirm backup/DR posture (if in scope) for this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Document site-specific deviations</w:t>
            </w:r>
          </w:p>
        </w:tc>
      </w:tr>
    </w:tbl>
    <w:p>
      <w:pPr>
        <w:spacing w:after="220" w:before="60"/>
        <w:ind w:left="215"/>
      </w:pPr>
      <w:r>
        <w:rPr>
          <w:b/>
          <w:bCs/>
          <w:i/>
          <w:iCs/>
          <w:sz w:val="19"/>
          <w:szCs w:val="19"/>
        </w:rPr>
        <w:t xml:space="preserve">Acceptance criteria: </w:t>
      </w:r>
      <w:r>
        <w:rPr>
          <w:sz w:val="19"/>
          <w:szCs w:val="19"/>
        </w:rPr>
        <w:t xml:space="preserve">Document any site-specific deviations from the standard inventory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Obtain customer sign-off for site</w:t>
            </w:r>
          </w:p>
        </w:tc>
      </w:tr>
    </w:tbl>
    <w:p>
      <w:pPr>
        <w:spacing w:after="220" w:before="60"/>
        <w:ind w:left="215"/>
      </w:pPr>
      <w:r>
        <w:rPr>
          <w:b/>
          <w:bCs/>
          <w:i/>
          <w:iCs/>
          <w:sz w:val="19"/>
          <w:szCs w:val="19"/>
        </w:rPr>
        <w:t xml:space="preserve">Acceptance criteria: </w:t>
      </w:r>
      <w:r>
        <w:rPr>
          <w:sz w:val="19"/>
          <w:szCs w:val="19"/>
        </w:rPr>
        <w:t xml:space="preserve">Customer sign-off for this site.</w:t>
      </w:r>
    </w:p>
    <w:p>
      <w:pPr>
        <w:pStyle w:val="Heading2"/>
        <w:spacing w:after="100" w:before="220"/>
      </w:pPr>
      <w:r>
        <w:t xml:space="preserve">3.4 Cross-Site Rollout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Define site rollout sequence</w:t>
            </w:r>
          </w:p>
        </w:tc>
      </w:tr>
    </w:tbl>
    <w:p>
      <w:pPr>
        <w:spacing w:after="220" w:before="60"/>
        <w:ind w:left="215"/>
      </w:pPr>
      <w:r>
        <w:rPr>
          <w:b/>
          <w:bCs/>
          <w:i/>
          <w:iCs/>
          <w:sz w:val="19"/>
          <w:szCs w:val="19"/>
        </w:rPr>
        <w:t xml:space="preserve">Acceptance criteria: </w:t>
      </w:r>
      <w:r>
        <w:rPr>
          <w:sz w:val="19"/>
          <w:szCs w:val="19"/>
        </w:rPr>
        <w:t xml:space="preserve">Sequence the 5 sites (recommend: 1 pilot site first, validate fully, then remaining 4) rather than parallel first-time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Conduct pilot-site retrospective</w:t>
            </w:r>
          </w:p>
        </w:tc>
      </w:tr>
    </w:tbl>
    <w:p>
      <w:pPr>
        <w:spacing w:after="220" w:before="60"/>
        <w:ind w:left="215"/>
      </w:pPr>
      <w:r>
        <w:rPr>
          <w:b/>
          <w:bCs/>
          <w:i/>
          <w:iCs/>
          <w:sz w:val="19"/>
          <w:szCs w:val="19"/>
        </w:rPr>
        <w:t xml:space="preserve">Acceptance criteria: </w:t>
      </w:r>
      <w:r>
        <w:rPr>
          <w:sz w:val="19"/>
          <w:szCs w:val="19"/>
        </w:rPr>
        <w:t xml:space="preserve">After pilot site, conduct retrospective and fold any fixes back into the shared customized automation/roles before proceeding to remaining 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Track cross-site Nutanix capacity</w:t>
            </w:r>
          </w:p>
        </w:tc>
      </w:tr>
    </w:tbl>
    <w:p>
      <w:pPr>
        <w:spacing w:after="220" w:before="60"/>
        <w:ind w:left="215"/>
      </w:pPr>
      <w:r>
        <w:rPr>
          <w:b/>
          <w:bCs/>
          <w:i/>
          <w:iCs/>
          <w:sz w:val="19"/>
          <w:szCs w:val="19"/>
        </w:rPr>
        <w:t xml:space="preserve">Acceptance criteria: </w:t>
      </w:r>
      <w:r>
        <w:rPr>
          <w:sz w:val="19"/>
          <w:szCs w:val="19"/>
        </w:rPr>
        <w:t xml:space="preserve">Track Nutanix capacity usage centrally if sites share a Prism Central instance, to avoid one site's deployment starving another's planned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pinned GitOps revisions per site</w:t>
            </w:r>
          </w:p>
        </w:tc>
      </w:tr>
    </w:tbl>
    <w:p>
      <w:pPr>
        <w:spacing w:after="220" w:before="60"/>
        <w:ind w:left="215"/>
      </w:pPr>
      <w:r>
        <w:rPr>
          <w:b/>
          <w:bCs/>
          <w:i/>
          <w:iCs/>
          <w:sz w:val="19"/>
          <w:szCs w:val="19"/>
        </w:rPr>
        <w:t xml:space="preserve">Acceptance criteria: </w:t>
      </w:r>
      <w:r>
        <w:rPr>
          <w:sz w:val="19"/>
          <w:szCs w:val="19"/>
        </w:rPr>
        <w:t xml:space="preserve">Confirm each site's GitOps repo references point to correctly pinned revisions (not shared floating branches that could cause a change in one site to unintentionally affect another).</w:t>
      </w:r>
    </w:p>
    <w:p>
      <w:pPr>
        <w:pStyle w:val="Heading1"/>
        <w:spacing w:after="160" w:before="320"/>
      </w:pPr>
      <w:r>
        <w:t xml:space="preserve">Phase 4 — Handover &amp; Closeout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Deliver final runbook</w:t>
            </w:r>
          </w:p>
        </w:tc>
      </w:tr>
    </w:tbl>
    <w:p>
      <w:pPr>
        <w:spacing w:after="220" w:before="60"/>
        <w:ind w:left="215"/>
      </w:pPr>
      <w:r>
        <w:rPr>
          <w:b/>
          <w:bCs/>
          <w:i/>
          <w:iCs/>
          <w:sz w:val="19"/>
          <w:szCs w:val="19"/>
        </w:rPr>
        <w:t xml:space="preserve">Acceptance criteria: </w:t>
      </w:r>
      <w:r>
        <w:rPr>
          <w:sz w:val="19"/>
          <w:szCs w:val="19"/>
        </w:rPr>
        <w:t xml:space="preserve">Deliver final runbook covering: prerequisites, firewall allow-list, customized inventory structure, per-site rollout procedure, and rollback/teardown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Deliver architecture diagram</w:t>
            </w:r>
          </w:p>
        </w:tc>
      </w:tr>
    </w:tbl>
    <w:p>
      <w:pPr>
        <w:spacing w:after="220" w:before="60"/>
        <w:ind w:left="215"/>
      </w:pPr>
      <w:r>
        <w:rPr>
          <w:b/>
          <w:bCs/>
          <w:i/>
          <w:iCs/>
          <w:sz w:val="19"/>
          <w:szCs w:val="19"/>
        </w:rPr>
        <w:t xml:space="preserve">Acceptance criteria: </w:t>
      </w:r>
      <w:r>
        <w:rPr>
          <w:sz w:val="19"/>
          <w:szCs w:val="19"/>
        </w:rPr>
        <w:t xml:space="preserve">Deliver architecture diagram reflecting the customer's actual 5-site topology (hub/managed-cluster mapping per site, on Nutanix).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Conduct knowledge transfer session</w:t>
            </w:r>
          </w:p>
        </w:tc>
      </w:tr>
    </w:tbl>
    <w:p>
      <w:pPr>
        <w:spacing w:after="220" w:before="60"/>
        <w:ind w:left="215"/>
      </w:pPr>
      <w:r>
        <w:rPr>
          <w:b/>
          <w:bCs/>
          <w:i/>
          <w:iCs/>
          <w:sz w:val="19"/>
          <w:szCs w:val="19"/>
        </w:rPr>
        <w:t xml:space="preserve">Acceptance criteria: </w:t>
      </w:r>
      <w:r>
        <w:rPr>
          <w:sz w:val="19"/>
          <w:szCs w:val="19"/>
        </w:rPr>
        <w:t xml:space="preserve">Knowledge transfer session with customer operations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Confirm customer self-service for new clusters</w:t>
            </w:r>
          </w:p>
        </w:tc>
      </w:tr>
    </w:tbl>
    <w:p>
      <w:pPr>
        <w:spacing w:after="220" w:before="60"/>
        <w:ind w:left="215"/>
      </w:pPr>
      <w:r>
        <w:rPr>
          <w:b/>
          <w:bCs/>
          <w:i/>
          <w:iCs/>
          <w:sz w:val="19"/>
          <w:szCs w:val="19"/>
        </w:rPr>
        <w:t xml:space="preserve">Acceptance criteria: </w:t>
      </w:r>
      <w:r>
        <w:rPr>
          <w:sz w:val="19"/>
          <w:szCs w:val="19"/>
        </w:rPr>
        <w:t xml:space="preserve">Confirm customer owns and can independently re-run </w:t>
      </w:r>
      <w:r>
        <w:rPr>
          <w:rFonts w:ascii="Consolas" w:cs="Consolas" w:eastAsia="Consolas" w:hAnsi="Consolas"/>
          <w:sz w:val="19"/>
          <w:szCs w:val="19"/>
        </w:rPr>
        <w:t xml:space="preserve">--tags tier2 --limit &lt;new-cluster&gt;</w:t>
      </w:r>
      <w:r>
        <w:rPr>
          <w:sz w:val="19"/>
          <w:szCs w:val="19"/>
        </w:rPr>
        <w:t xml:space="preserve"> to add future managed clusters without vendor involvement.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FAADC" w:sz="4"/>
              <w:left w:val="single" w:color="8FAADC" w:sz="4"/>
              <w:bottom w:val="single" w:color="8FAADC" w:sz="4"/>
              <w:right w:val="single" w:color="8FAADC" w:sz="4"/>
            </w:tcBorders>
            <w:shd w:fill="E7EEF9" w:color="auto" w:val="clear"/>
            <w:tcMar>
              <w:top w:type="dxa" w:w="100"/>
              <w:left w:type="dxa" w:w="150"/>
              <w:bottom w:type="dxa" w:w="100"/>
              <w:right w:type="dxa" w:w="150"/>
            </w:tcMar>
          </w:tcPr>
          <w:p>
            <w:r>
              <w:rPr>
                <w:b/>
                <w:bCs/>
                <w:color w:val="2E5395"/>
                <w:sz w:val="18"/>
                <w:szCs w:val="18"/>
              </w:rPr>
              <w:t xml:space="preserve">CARD: </w:t>
            </w:r>
            <w:r>
              <w:rPr>
                <w:b/>
                <w:bCs/>
                <w:sz w:val="21"/>
                <w:szCs w:val="21"/>
              </w:rPr>
              <w:t xml:space="preserve">Final project sign-off &amp; closeout</w:t>
            </w:r>
          </w:p>
        </w:tc>
      </w:tr>
    </w:tbl>
    <w:p>
      <w:pPr>
        <w:spacing w:after="220" w:before="60"/>
        <w:ind w:left="215"/>
      </w:pPr>
      <w:r>
        <w:rPr>
          <w:b/>
          <w:bCs/>
          <w:i/>
          <w:iCs/>
          <w:sz w:val="19"/>
          <w:szCs w:val="19"/>
        </w:rPr>
        <w:t xml:space="preserve">Acceptance criteria: </w:t>
      </w:r>
      <w:r>
        <w:rPr>
          <w:sz w:val="19"/>
          <w:szCs w:val="19"/>
        </w:rPr>
        <w:t xml:space="preserve">Final sign-off and project closeout.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2026-07-16T19:56:08.592Z</dcterms:created>
  <dcterms:modified xsi:type="dcterms:W3CDTF">2026-07-16T19:56:08.603Z</dcterms:modified>
</cp:coreProperties>
</file>

<file path=docProps/custom.xml><?xml version="1.0" encoding="utf-8"?>
<Properties xmlns="http://schemas.openxmlformats.org/officeDocument/2006/custom-properties" xmlns:vt="http://schemas.openxmlformats.org/officeDocument/2006/docPropsVTypes"/>
</file>