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edHatText-bold.ttf" ContentType="application/x-font-ttf"/>
  <Override PartName="/word/fonts/RedHatText-boldItalic.ttf" ContentType="application/x-font-ttf"/>
  <Override PartName="/word/fonts/RedHatText-italic.ttf" ContentType="application/x-font-ttf"/>
  <Override PartName="/word/fonts/RedHatText-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sz w:val="28"/>
        </w:rPr>
        <w:t>[Customer Name]</w:t>
      </w:r>
    </w:p>
    <w:p>
      <w:pPr>
        <w:pStyle w:val="Title"/>
      </w:pPr>
      <w:r>
        <w:t>High Level Design</w:t>
        <w:br/>
      </w:r>
      <w:r>
        <w:rPr>
          <w:sz w:val="52"/>
        </w:rPr>
        <w:t>OpenShift Single Node Platform for Disconnected Bare-Metal Environments</w:t>
      </w:r>
    </w:p>
    <w:p>
      <w:pPr>
        <w:pStyle w:val="Subtitle"/>
      </w:pPr>
      <w:r>
        <w:t>Prepared for: [Customer Name]</w:t>
      </w:r>
    </w:p>
    <w:p>
      <w:r>
        <w:t>Project Number: [TBD]</w:t>
      </w:r>
    </w:p>
    <w:p>
      <w:pPr>
        <w:pStyle w:val="Subtitle"/>
      </w:pPr>
      <w:r>
        <w:t>Version 1</w:t>
      </w:r>
    </w:p>
    <w:p>
      <w:r>
        <w:br w:type="page"/>
      </w:r>
    </w:p>
    <w:p>
      <w:pPr>
        <w:pStyle w:val="Heading1"/>
      </w:pPr>
      <w:r>
        <w:t>Confidentiality, Copyright, and Disclaimer</w:t>
      </w:r>
    </w:p>
    <w:p>
      <w:r>
        <w:rPr>
          <w:b w:val="0"/>
          <w:i w:val="0"/>
        </w:rPr>
        <w:t>This is a customer-facing document between the implementing delivery team and [Customer Name].</w:t>
      </w:r>
    </w:p>
    <w:p>
      <w:r>
        <w:rPr>
          <w:b w:val="0"/>
          <w:i w:val="0"/>
        </w:rPr>
        <w:t>This document is not a quote and does not include any binding commitments by the implementing team.</w:t>
      </w:r>
    </w:p>
    <w:p>
      <w:pPr>
        <w:pStyle w:val="Heading2"/>
      </w:pPr>
      <w:r>
        <w:t>Trademarks</w:t>
      </w:r>
    </w:p>
    <w:p>
      <w:r>
        <w:rPr>
          <w:b w:val="0"/>
          <w:i w:val="0"/>
        </w:rPr>
        <w:t>Trademarked names may appear throughout this document. Rather than list the names and entities that own the trademarks or insert a trademark symbol with each mention of the trademarked name, the names are used only for editorial purposes and to the benefit of the trademark owner with no intention of infringing upon that trademark.</w:t>
      </w:r>
    </w:p>
    <w:p>
      <w:pPr>
        <w:pStyle w:val="Heading2"/>
      </w:pPr>
      <w:r>
        <w:t>Review History</w:t>
      </w:r>
    </w:p>
    <w:tbl>
      <w:tblPr>
        <w:tblStyle w:val="Table1"/>
        <w:tblW w:type="auto" w:w="0"/>
        <w:tblLook w:firstColumn="1" w:firstRow="1" w:lastColumn="0" w:lastRow="0" w:noHBand="0" w:noVBand="1" w:val="04A0"/>
      </w:tblPr>
      <w:tblGrid>
        <w:gridCol w:w="2340"/>
        <w:gridCol w:w="2340"/>
        <w:gridCol w:w="2340"/>
        <w:gridCol w:w="2340"/>
      </w:tblGrid>
      <w:tr>
        <w:tc>
          <w:tcPr>
            <w:tcW w:type="dxa" w:w="2340"/>
            <w:shd w:val="clear" w:fill="cccccc"/>
          </w:tcPr>
          <w:p>
            <w:r/>
            <w:r>
              <w:rPr>
                <w:b/>
              </w:rPr>
              <w:t>Version</w:t>
            </w:r>
          </w:p>
        </w:tc>
        <w:tc>
          <w:tcPr>
            <w:tcW w:type="dxa" w:w="2340"/>
            <w:shd w:val="clear" w:fill="cccccc"/>
          </w:tcPr>
          <w:p>
            <w:r/>
            <w:r>
              <w:rPr>
                <w:b/>
              </w:rPr>
              <w:t>Date</w:t>
            </w:r>
          </w:p>
        </w:tc>
        <w:tc>
          <w:tcPr>
            <w:tcW w:type="dxa" w:w="2340"/>
            <w:shd w:val="clear" w:fill="cccccc"/>
          </w:tcPr>
          <w:p>
            <w:r/>
            <w:r>
              <w:rPr>
                <w:b/>
              </w:rPr>
              <w:t>Contributor</w:t>
            </w:r>
          </w:p>
        </w:tc>
        <w:tc>
          <w:tcPr>
            <w:tcW w:type="dxa" w:w="2340"/>
            <w:shd w:val="clear" w:fill="cccccc"/>
          </w:tcPr>
          <w:p>
            <w:r/>
            <w:r>
              <w:rPr>
                <w:b/>
              </w:rPr>
              <w:t>Description</w:t>
            </w:r>
          </w:p>
        </w:tc>
      </w:tr>
      <w:tr>
        <w:tc>
          <w:tcPr>
            <w:tcW w:type="dxa" w:w="2340"/>
          </w:tcPr>
          <w:p>
            <w:r/>
            <w:r>
              <w:rPr>
                <w:b w:val="0"/>
              </w:rPr>
              <w:t>1</w:t>
            </w:r>
          </w:p>
        </w:tc>
        <w:tc>
          <w:tcPr>
            <w:tcW w:type="dxa" w:w="2340"/>
          </w:tcPr>
          <w:p>
            <w:r/>
            <w:r>
              <w:rPr>
                <w:b w:val="0"/>
              </w:rPr>
              <w:t>[TBD]</w:t>
            </w:r>
          </w:p>
        </w:tc>
        <w:tc>
          <w:tcPr>
            <w:tcW w:type="dxa" w:w="2340"/>
          </w:tcPr>
          <w:p>
            <w:r/>
            <w:r>
              <w:rPr>
                <w:b w:val="0"/>
              </w:rPr>
              <w:t>[TBD]</w:t>
            </w:r>
          </w:p>
        </w:tc>
        <w:tc>
          <w:tcPr>
            <w:tcW w:type="dxa" w:w="2340"/>
          </w:tcPr>
          <w:p>
            <w:r/>
            <w:r>
              <w:rPr>
                <w:b w:val="0"/>
              </w:rPr>
              <w:t>Initial draft, generated from docs/bare-metal-architecture.md</w:t>
            </w:r>
          </w:p>
        </w:tc>
      </w:tr>
    </w:tbl>
    <w:p/>
    <w:p>
      <w:r>
        <w:br w:type="page"/>
      </w:r>
    </w:p>
    <w:p>
      <w:pPr>
        <w:pStyle w:val="Heading1"/>
      </w:pPr>
      <w:r>
        <w:t>1. Introduction</w:t>
      </w:r>
    </w:p>
    <w:p>
      <w:r>
        <w:rPr>
          <w:b w:val="0"/>
          <w:i w:val="0"/>
        </w:rPr>
        <w:t>The implementing team has been engaged to design and deploy a Single Node OpenShift (SNO) platform for [Customer Name], targeting a single bare-metal server at the customer's production site, together with the supporting automation that builds, configures, and maintains it as a repeatable, disconnected deployment.</w:t>
      </w:r>
    </w:p>
    <w:p>
      <w:r>
        <w:rPr>
          <w:b w:val="0"/>
          <w:i w:val="0"/>
        </w:rPr>
        <w:t>The platform runs in a fully disconnected (air-gapped) manner — the SNO node and its bastion have no internet route at all. Required content (OpenShift release images, Operator catalogs, application images) is prepared on a separate internet-connected host and relayed in through a mirroring pipeline described in section 3.3.</w:t>
      </w:r>
    </w:p>
    <w:p>
      <w:pPr>
        <w:pStyle w:val="Heading2"/>
      </w:pPr>
      <w:r>
        <w:t>1.1. Purpose</w:t>
      </w:r>
    </w:p>
    <w:p>
      <w:r>
        <w:rPr>
          <w:b w:val="0"/>
          <w:i w:val="0"/>
        </w:rPr>
        <w:t>This document outlines the target bare-metal architecture for stakeholders whose agreement and understanding are required to deliver the solution — infrastructure, security, and operations teams within [Customer Name], and the implementing delivery team.</w:t>
      </w:r>
    </w:p>
    <w:p>
      <w:pPr>
        <w:pStyle w:val="Heading2"/>
      </w:pPr>
      <w:r>
        <w:t>1.2. Scope</w:t>
      </w:r>
    </w:p>
    <w:p>
      <w:r>
        <w:rPr>
          <w:b w:val="0"/>
          <w:i w:val="0"/>
        </w:rPr>
        <w:t>This document describes the problem statement, requirements, proposed architecture, and the rationale behind the design decisions made.</w:t>
      </w:r>
    </w:p>
    <w:p>
      <w:r>
        <w:rPr>
          <w:b w:val="0"/>
          <w:i w:val="0"/>
        </w:rPr>
        <w:t>Anything not explicitly listed as in-scope is deemed out of scope of this design document.</w:t>
      </w:r>
    </w:p>
    <w:p>
      <w:pPr>
        <w:pStyle w:val="Heading2"/>
      </w:pPr>
      <w:r>
        <w:t>1.3. Audience</w:t>
      </w:r>
    </w:p>
    <w:p>
      <w:r>
        <w:rPr>
          <w:b w:val="0"/>
          <w:i w:val="0"/>
        </w:rPr>
        <w:t>The primary audience is the [Customer Name] infrastructure/platform team responsible for the design, implementation, and ongoing operational support of the solution.</w:t>
      </w:r>
    </w:p>
    <w:tbl>
      <w:tblPr>
        <w:tblStyle w:val="Table1"/>
        <w:tblW w:type="auto" w:w="0"/>
        <w:tblLook w:firstColumn="1" w:firstRow="1" w:lastColumn="0" w:lastRow="0" w:noHBand="0" w:noVBand="1" w:val="04A0"/>
      </w:tblPr>
      <w:tblGrid>
        <w:gridCol w:w="3120"/>
        <w:gridCol w:w="3120"/>
        <w:gridCol w:w="3120"/>
      </w:tblGrid>
      <w:tr>
        <w:tc>
          <w:tcPr>
            <w:tcW w:type="dxa" w:w="3120"/>
            <w:shd w:val="clear" w:fill="cccccc"/>
          </w:tcPr>
          <w:p>
            <w:r/>
            <w:r>
              <w:rPr>
                <w:b/>
              </w:rPr>
              <w:t>Name</w:t>
            </w:r>
          </w:p>
        </w:tc>
        <w:tc>
          <w:tcPr>
            <w:tcW w:type="dxa" w:w="3120"/>
            <w:shd w:val="clear" w:fill="cccccc"/>
          </w:tcPr>
          <w:p>
            <w:r/>
            <w:r>
              <w:rPr>
                <w:b/>
              </w:rPr>
              <w:t>Position</w:t>
            </w:r>
          </w:p>
        </w:tc>
        <w:tc>
          <w:tcPr>
            <w:tcW w:type="dxa" w:w="3120"/>
            <w:shd w:val="clear" w:fill="cccccc"/>
          </w:tcPr>
          <w:p>
            <w:r/>
            <w:r>
              <w:rPr>
                <w:b/>
              </w:rPr>
              <w:t>Email</w:t>
            </w:r>
          </w:p>
        </w:tc>
      </w:tr>
      <w:tr>
        <w:tc>
          <w:tcPr>
            <w:tcW w:type="dxa" w:w="3120"/>
          </w:tcPr>
          <w:p>
            <w:r/>
            <w:r>
              <w:rPr>
                <w:b w:val="0"/>
              </w:rPr>
              <w:t>[TBD]</w:t>
            </w:r>
          </w:p>
        </w:tc>
        <w:tc>
          <w:tcPr>
            <w:tcW w:type="dxa" w:w="3120"/>
          </w:tcPr>
          <w:p>
            <w:r/>
            <w:r>
              <w:rPr>
                <w:b w:val="0"/>
              </w:rPr>
              <w:t>[TBD]</w:t>
            </w:r>
          </w:p>
        </w:tc>
        <w:tc>
          <w:tcPr>
            <w:tcW w:type="dxa" w:w="3120"/>
          </w:tcPr>
          <w:p>
            <w:r/>
            <w:r>
              <w:rPr>
                <w:b w:val="0"/>
              </w:rPr>
              <w:t>[TBD]</w:t>
            </w:r>
          </w:p>
        </w:tc>
      </w:tr>
    </w:tbl>
    <w:p/>
    <w:p>
      <w:pPr>
        <w:pStyle w:val="Heading2"/>
      </w:pPr>
      <w:r>
        <w:t>1.4. Terms and Acronyms</w:t>
      </w:r>
    </w:p>
    <w:tbl>
      <w:tblPr>
        <w:tblStyle w:val="Table1"/>
        <w:tblW w:type="auto" w:w="0"/>
        <w:tblLook w:firstColumn="1" w:firstRow="1" w:lastColumn="0" w:lastRow="0" w:noHBand="0" w:noVBand="1" w:val="04A0"/>
      </w:tblPr>
      <w:tblGrid>
        <w:gridCol w:w="4680"/>
        <w:gridCol w:w="4680"/>
      </w:tblGrid>
      <w:tr>
        <w:tc>
          <w:tcPr>
            <w:tcW w:type="dxa" w:w="4680"/>
            <w:shd w:val="clear" w:fill="cccccc"/>
          </w:tcPr>
          <w:p>
            <w:r/>
            <w:r>
              <w:rPr>
                <w:b/>
              </w:rPr>
              <w:t>Acronym</w:t>
            </w:r>
          </w:p>
        </w:tc>
        <w:tc>
          <w:tcPr>
            <w:tcW w:type="dxa" w:w="4680"/>
            <w:shd w:val="clear" w:fill="cccccc"/>
          </w:tcPr>
          <w:p>
            <w:r/>
            <w:r>
              <w:rPr>
                <w:b/>
              </w:rPr>
              <w:t>Description</w:t>
            </w:r>
          </w:p>
        </w:tc>
      </w:tr>
      <w:tr>
        <w:tc>
          <w:tcPr>
            <w:tcW w:type="dxa" w:w="4680"/>
          </w:tcPr>
          <w:p>
            <w:r/>
            <w:r>
              <w:rPr>
                <w:b w:val="0"/>
              </w:rPr>
              <w:t>BMC</w:t>
            </w:r>
          </w:p>
        </w:tc>
        <w:tc>
          <w:tcPr>
            <w:tcW w:type="dxa" w:w="4680"/>
          </w:tcPr>
          <w:p>
            <w:r/>
            <w:r>
              <w:rPr>
                <w:b w:val="0"/>
              </w:rPr>
              <w:t>Baseboard Management Controller</w:t>
            </w:r>
          </w:p>
        </w:tc>
      </w:tr>
      <w:tr>
        <w:tc>
          <w:tcPr>
            <w:tcW w:type="dxa" w:w="4680"/>
          </w:tcPr>
          <w:p>
            <w:r/>
            <w:r>
              <w:rPr>
                <w:b w:val="0"/>
              </w:rPr>
              <w:t>LVMS</w:t>
            </w:r>
          </w:p>
        </w:tc>
        <w:tc>
          <w:tcPr>
            <w:tcW w:type="dxa" w:w="4680"/>
          </w:tcPr>
          <w:p>
            <w:r/>
            <w:r>
              <w:rPr>
                <w:b w:val="0"/>
              </w:rPr>
              <w:t>Logical Volume Manager Storage</w:t>
            </w:r>
          </w:p>
        </w:tc>
      </w:tr>
      <w:tr>
        <w:tc>
          <w:tcPr>
            <w:tcW w:type="dxa" w:w="4680"/>
          </w:tcPr>
          <w:p>
            <w:r/>
            <w:r>
              <w:rPr>
                <w:b w:val="0"/>
              </w:rPr>
              <w:t>MCG</w:t>
            </w:r>
          </w:p>
        </w:tc>
        <w:tc>
          <w:tcPr>
            <w:tcW w:type="dxa" w:w="4680"/>
          </w:tcPr>
          <w:p>
            <w:r/>
            <w:r>
              <w:rPr>
                <w:b w:val="0"/>
              </w:rPr>
              <w:t>Multicloud Object Gateway (standalone NooBaa)</w:t>
            </w:r>
          </w:p>
        </w:tc>
      </w:tr>
      <w:tr>
        <w:tc>
          <w:tcPr>
            <w:tcW w:type="dxa" w:w="4680"/>
          </w:tcPr>
          <w:p>
            <w:r/>
            <w:r>
              <w:rPr>
                <w:b w:val="0"/>
              </w:rPr>
              <w:t>ODF</w:t>
            </w:r>
          </w:p>
        </w:tc>
        <w:tc>
          <w:tcPr>
            <w:tcW w:type="dxa" w:w="4680"/>
          </w:tcPr>
          <w:p>
            <w:r/>
            <w:r>
              <w:rPr>
                <w:b w:val="0"/>
              </w:rPr>
              <w:t>OpenShift Data Foundation</w:t>
            </w:r>
          </w:p>
        </w:tc>
      </w:tr>
      <w:tr>
        <w:tc>
          <w:tcPr>
            <w:tcW w:type="dxa" w:w="4680"/>
          </w:tcPr>
          <w:p>
            <w:r/>
            <w:r>
              <w:rPr>
                <w:b w:val="0"/>
              </w:rPr>
              <w:t>OADP</w:t>
            </w:r>
          </w:p>
        </w:tc>
        <w:tc>
          <w:tcPr>
            <w:tcW w:type="dxa" w:w="4680"/>
          </w:tcPr>
          <w:p>
            <w:r/>
            <w:r>
              <w:rPr>
                <w:b w:val="0"/>
              </w:rPr>
              <w:t>OpenShift API for Data Protection</w:t>
            </w:r>
          </w:p>
        </w:tc>
      </w:tr>
      <w:tr>
        <w:tc>
          <w:tcPr>
            <w:tcW w:type="dxa" w:w="4680"/>
          </w:tcPr>
          <w:p>
            <w:r/>
            <w:r>
              <w:rPr>
                <w:b w:val="0"/>
              </w:rPr>
              <w:t>OCP</w:t>
            </w:r>
          </w:p>
        </w:tc>
        <w:tc>
          <w:tcPr>
            <w:tcW w:type="dxa" w:w="4680"/>
          </w:tcPr>
          <w:p>
            <w:r/>
            <w:r>
              <w:rPr>
                <w:b w:val="0"/>
              </w:rPr>
              <w:t>OpenShift Container Platform</w:t>
            </w:r>
          </w:p>
        </w:tc>
      </w:tr>
      <w:tr>
        <w:tc>
          <w:tcPr>
            <w:tcW w:type="dxa" w:w="4680"/>
          </w:tcPr>
          <w:p>
            <w:r/>
            <w:r>
              <w:rPr>
                <w:b w:val="0"/>
              </w:rPr>
              <w:t>RHCOS</w:t>
            </w:r>
          </w:p>
        </w:tc>
        <w:tc>
          <w:tcPr>
            <w:tcW w:type="dxa" w:w="4680"/>
          </w:tcPr>
          <w:p>
            <w:r/>
            <w:r>
              <w:rPr>
                <w:b w:val="0"/>
              </w:rPr>
              <w:t>Red Hat CoreOS</w:t>
            </w:r>
          </w:p>
        </w:tc>
      </w:tr>
      <w:tr>
        <w:tc>
          <w:tcPr>
            <w:tcW w:type="dxa" w:w="4680"/>
          </w:tcPr>
          <w:p>
            <w:r/>
            <w:r>
              <w:rPr>
                <w:b w:val="0"/>
              </w:rPr>
              <w:t>RPO</w:t>
            </w:r>
          </w:p>
        </w:tc>
        <w:tc>
          <w:tcPr>
            <w:tcW w:type="dxa" w:w="4680"/>
          </w:tcPr>
          <w:p>
            <w:r/>
            <w:r>
              <w:rPr>
                <w:b w:val="0"/>
              </w:rPr>
              <w:t>Recovery Point Objective</w:t>
            </w:r>
          </w:p>
        </w:tc>
      </w:tr>
      <w:tr>
        <w:tc>
          <w:tcPr>
            <w:tcW w:type="dxa" w:w="4680"/>
          </w:tcPr>
          <w:p>
            <w:r/>
            <w:r>
              <w:rPr>
                <w:b w:val="0"/>
              </w:rPr>
              <w:t>RTO</w:t>
            </w:r>
          </w:p>
        </w:tc>
        <w:tc>
          <w:tcPr>
            <w:tcW w:type="dxa" w:w="4680"/>
          </w:tcPr>
          <w:p>
            <w:r/>
            <w:r>
              <w:rPr>
                <w:b w:val="0"/>
              </w:rPr>
              <w:t>Recovery Time Objective</w:t>
            </w:r>
          </w:p>
        </w:tc>
      </w:tr>
      <w:tr>
        <w:tc>
          <w:tcPr>
            <w:tcW w:type="dxa" w:w="4680"/>
          </w:tcPr>
          <w:p>
            <w:r/>
            <w:r>
              <w:rPr>
                <w:b w:val="0"/>
              </w:rPr>
              <w:t>SIEM</w:t>
            </w:r>
          </w:p>
        </w:tc>
        <w:tc>
          <w:tcPr>
            <w:tcW w:type="dxa" w:w="4680"/>
          </w:tcPr>
          <w:p>
            <w:r/>
            <w:r>
              <w:rPr>
                <w:b w:val="0"/>
              </w:rPr>
              <w:t>Security Information and Event Management</w:t>
            </w:r>
          </w:p>
        </w:tc>
      </w:tr>
      <w:tr>
        <w:tc>
          <w:tcPr>
            <w:tcW w:type="dxa" w:w="4680"/>
          </w:tcPr>
          <w:p>
            <w:r/>
            <w:r>
              <w:rPr>
                <w:b w:val="0"/>
              </w:rPr>
              <w:t>SMTP</w:t>
            </w:r>
          </w:p>
        </w:tc>
        <w:tc>
          <w:tcPr>
            <w:tcW w:type="dxa" w:w="4680"/>
          </w:tcPr>
          <w:p>
            <w:r/>
            <w:r>
              <w:rPr>
                <w:b w:val="0"/>
              </w:rPr>
              <w:t>Simple Mail Transfer Protocol</w:t>
            </w:r>
          </w:p>
        </w:tc>
      </w:tr>
      <w:tr>
        <w:tc>
          <w:tcPr>
            <w:tcW w:type="dxa" w:w="4680"/>
          </w:tcPr>
          <w:p>
            <w:r/>
            <w:r>
              <w:rPr>
                <w:b w:val="0"/>
              </w:rPr>
              <w:t>SNO</w:t>
            </w:r>
          </w:p>
        </w:tc>
        <w:tc>
          <w:tcPr>
            <w:tcW w:type="dxa" w:w="4680"/>
          </w:tcPr>
          <w:p>
            <w:r/>
            <w:r>
              <w:rPr>
                <w:b w:val="0"/>
              </w:rPr>
              <w:t>Single Node OpenShift</w:t>
            </w:r>
          </w:p>
        </w:tc>
      </w:tr>
      <w:tr>
        <w:tc>
          <w:tcPr>
            <w:tcW w:type="dxa" w:w="4680"/>
          </w:tcPr>
          <w:p>
            <w:r/>
            <w:r>
              <w:rPr>
                <w:b w:val="0"/>
              </w:rPr>
              <w:t>VIP</w:t>
            </w:r>
          </w:p>
        </w:tc>
        <w:tc>
          <w:tcPr>
            <w:tcW w:type="dxa" w:w="4680"/>
          </w:tcPr>
          <w:p>
            <w:r/>
            <w:r>
              <w:rPr>
                <w:b w:val="0"/>
              </w:rPr>
              <w:t>Virtual IP</w:t>
            </w:r>
          </w:p>
        </w:tc>
      </w:tr>
    </w:tbl>
    <w:p/>
    <w:p>
      <w:pPr>
        <w:pStyle w:val="Heading2"/>
      </w:pPr>
      <w:r>
        <w:t>1.5. Referenced Documents</w:t>
      </w:r>
    </w:p>
    <w:tbl>
      <w:tblPr>
        <w:tblStyle w:val="Table1"/>
        <w:tblW w:type="auto" w:w="0"/>
        <w:tblLook w:firstColumn="1" w:firstRow="1" w:lastColumn="0" w:lastRow="0" w:noHBand="0" w:noVBand="1" w:val="04A0"/>
      </w:tblPr>
      <w:tblGrid>
        <w:gridCol w:w="4680"/>
        <w:gridCol w:w="4680"/>
      </w:tblGrid>
      <w:tr>
        <w:tc>
          <w:tcPr>
            <w:tcW w:type="dxa" w:w="4680"/>
            <w:shd w:val="clear" w:fill="cccccc"/>
          </w:tcPr>
          <w:p>
            <w:r/>
            <w:r>
              <w:rPr>
                <w:b/>
              </w:rPr>
              <w:t>Document</w:t>
            </w:r>
          </w:p>
        </w:tc>
        <w:tc>
          <w:tcPr>
            <w:tcW w:type="dxa" w:w="4680"/>
            <w:shd w:val="clear" w:fill="cccccc"/>
          </w:tcPr>
          <w:p>
            <w:r/>
            <w:r>
              <w:rPr>
                <w:b/>
              </w:rPr>
              <w:t>Description</w:t>
            </w:r>
          </w:p>
        </w:tc>
      </w:tr>
      <w:tr>
        <w:tc>
          <w:tcPr>
            <w:tcW w:type="dxa" w:w="4680"/>
          </w:tcPr>
          <w:p>
            <w:r/>
            <w:r>
              <w:rPr>
                <w:b w:val="0"/>
              </w:rPr>
              <w:t>bare-metal-architecture.md</w:t>
            </w:r>
          </w:p>
        </w:tc>
        <w:tc>
          <w:tcPr>
            <w:tcW w:type="dxa" w:w="4680"/>
          </w:tcPr>
          <w:p>
            <w:r/>
            <w:r>
              <w:rPr>
                <w:b w:val="0"/>
              </w:rPr>
              <w:t>Living implementation reference — what's deployed, why, which role/playbook owns it, and the requirements-traceability table this report summarizes</w:t>
            </w:r>
          </w:p>
        </w:tc>
      </w:tr>
      <w:tr>
        <w:tc>
          <w:tcPr>
            <w:tcW w:type="dxa" w:w="4680"/>
          </w:tcPr>
          <w:p>
            <w:r/>
            <w:r>
              <w:rPr>
                <w:b w:val="0"/>
              </w:rPr>
              <w:t>architectural-decisions.md</w:t>
            </w:r>
          </w:p>
        </w:tc>
        <w:tc>
          <w:tcPr>
            <w:tcW w:type="dxa" w:w="4680"/>
          </w:tcPr>
          <w:p>
            <w:r/>
            <w:r>
              <w:rPr>
                <w:b w:val="0"/>
              </w:rPr>
              <w:t>Rationale for specific carried-forward design patterns (disconnected mirroring, backup storage isolation)</w:t>
            </w:r>
          </w:p>
        </w:tc>
      </w:tr>
      <w:tr>
        <w:tc>
          <w:tcPr>
            <w:tcW w:type="dxa" w:w="4680"/>
          </w:tcPr>
          <w:p>
            <w:r/>
            <w:r>
              <w:rPr>
                <w:b w:val="0"/>
              </w:rPr>
              <w:t>Red Hat OpenShift Container Platform documentation</w:t>
            </w:r>
          </w:p>
        </w:tc>
        <w:tc>
          <w:tcPr>
            <w:tcW w:type="dxa" w:w="4680"/>
          </w:tcPr>
          <w:p>
            <w:r/>
            <w:r>
              <w:rPr>
                <w:b w:val="0"/>
              </w:rPr>
              <w:t>Product documentation for the installed OpenShift version</w:t>
            </w:r>
          </w:p>
        </w:tc>
      </w:tr>
      <w:tr>
        <w:tc>
          <w:tcPr>
            <w:tcW w:type="dxa" w:w="4680"/>
          </w:tcPr>
          <w:p>
            <w:r/>
            <w:r>
              <w:rPr>
                <w:b w:val="0"/>
              </w:rPr>
              <w:t>Red Hat Quay documentation</w:t>
            </w:r>
          </w:p>
        </w:tc>
        <w:tc>
          <w:tcPr>
            <w:tcW w:type="dxa" w:w="4680"/>
          </w:tcPr>
          <w:p>
            <w:r/>
            <w:r>
              <w:rPr>
                <w:b w:val="0"/>
              </w:rPr>
              <w:t>Product documentation for the mirror and on-cluster registries</w:t>
            </w:r>
          </w:p>
        </w:tc>
      </w:tr>
    </w:tbl>
    <w:p/>
    <w:p>
      <w:r>
        <w:br w:type="page"/>
      </w:r>
    </w:p>
    <w:p>
      <w:pPr>
        <w:pStyle w:val="Heading1"/>
      </w:pPr>
      <w:r>
        <w:t>2. High Level Overview</w:t>
      </w:r>
    </w:p>
    <w:p>
      <w:pPr>
        <w:pStyle w:val="Heading2"/>
      </w:pPr>
      <w:r>
        <w:t>2.1. Objective</w:t>
      </w:r>
    </w:p>
    <w:p>
      <w:r>
        <w:rPr>
          <w:b w:val="0"/>
          <w:i w:val="0"/>
        </w:rPr>
        <w:t>The platform provides [Customer Name] with a production-grade, single-node OpenShift environment running at a single physical site, built once via automation and kept consistent across every future rebuild or disaster-recovery scenario.</w:t>
      </w:r>
    </w:p>
    <w:p>
      <w:pPr>
        <w:pStyle w:val="Heading2"/>
      </w:pPr>
      <w:r>
        <w:t>2.2. Requirements</w:t>
      </w:r>
    </w:p>
    <w:p>
      <w:r>
        <w:rPr>
          <w:b w:val="0"/>
          <w:i w:val="0"/>
        </w:rPr>
        <w:t>The MoSCoW method is used to classify requirements:</w:t>
      </w:r>
    </w:p>
    <w:p>
      <w:r>
        <w:t>•  MUST — a fit-for-purpose requirement that cannot be changed (regulatory, contractual, or firm business/technical constraint).</w:t>
      </w:r>
    </w:p>
    <w:p>
      <w:r>
        <w:t>•  SHOULD — a fit-for-purpose requirement that can be modified if needed.</w:t>
      </w:r>
    </w:p>
    <w:p>
      <w:r>
        <w:t>•  COULD — a best-effort requirement; the solution is still fit-for-purpose if unmet.</w:t>
      </w:r>
    </w:p>
    <w:p>
      <w:r>
        <w:t>•  WON'T — a deliberate-omission requirement the solution does not attempt to meet.</w:t>
      </w:r>
    </w:p>
    <w:p>
      <w:r>
        <w:rPr>
          <w:b w:val="0"/>
          <w:i w:val="0"/>
        </w:rPr>
        <w:t>Note: the requirements below are expressed in this MoSCoW framing as a structuring aid by the implementing team; confirm the classifications against the customer's own stated priorities before treating them as agreed fact.</w:t>
      </w:r>
    </w:p>
    <w:tbl>
      <w:tblPr>
        <w:tblStyle w:val="Table1"/>
        <w:tblW w:type="auto" w:w="0"/>
        <w:tblLook w:firstColumn="1" w:firstRow="1" w:lastColumn="0" w:lastRow="0" w:noHBand="0" w:noVBand="1" w:val="04A0"/>
      </w:tblPr>
      <w:tblGrid>
        <w:gridCol w:w="2340"/>
        <w:gridCol w:w="2340"/>
        <w:gridCol w:w="2340"/>
        <w:gridCol w:w="2340"/>
      </w:tblGrid>
      <w:tr>
        <w:tc>
          <w:tcPr>
            <w:tcW w:type="dxa" w:w="2340"/>
            <w:shd w:val="clear" w:fill="cccccc"/>
          </w:tcPr>
          <w:p>
            <w:r/>
            <w:r>
              <w:rPr>
                <w:b/>
              </w:rPr>
              <w:t>ID</w:t>
            </w:r>
          </w:p>
        </w:tc>
        <w:tc>
          <w:tcPr>
            <w:tcW w:type="dxa" w:w="2340"/>
            <w:shd w:val="clear" w:fill="cccccc"/>
          </w:tcPr>
          <w:p>
            <w:r/>
            <w:r>
              <w:rPr>
                <w:b/>
              </w:rPr>
              <w:t>Category</w:t>
            </w:r>
          </w:p>
        </w:tc>
        <w:tc>
          <w:tcPr>
            <w:tcW w:type="dxa" w:w="2340"/>
            <w:shd w:val="clear" w:fill="cccccc"/>
          </w:tcPr>
          <w:p>
            <w:r/>
            <w:r>
              <w:rPr>
                <w:b/>
              </w:rPr>
              <w:t>Importance</w:t>
            </w:r>
          </w:p>
        </w:tc>
        <w:tc>
          <w:tcPr>
            <w:tcW w:type="dxa" w:w="2340"/>
            <w:shd w:val="clear" w:fill="cccccc"/>
          </w:tcPr>
          <w:p>
            <w:r/>
            <w:r>
              <w:rPr>
                <w:b/>
              </w:rPr>
              <w:t>Requirement</w:t>
            </w:r>
          </w:p>
        </w:tc>
      </w:tr>
      <w:tr>
        <w:tc>
          <w:tcPr>
            <w:tcW w:type="dxa" w:w="2340"/>
          </w:tcPr>
          <w:p>
            <w:r/>
            <w:r>
              <w:rPr>
                <w:b w:val="0"/>
              </w:rPr>
              <w:t>1</w:t>
            </w:r>
          </w:p>
        </w:tc>
        <w:tc>
          <w:tcPr>
            <w:tcW w:type="dxa" w:w="2340"/>
          </w:tcPr>
          <w:p>
            <w:r/>
            <w:r>
              <w:rPr>
                <w:b w:val="0"/>
              </w:rPr>
              <w:t>Platform Architecture</w:t>
            </w:r>
          </w:p>
        </w:tc>
        <w:tc>
          <w:tcPr>
            <w:tcW w:type="dxa" w:w="2340"/>
          </w:tcPr>
          <w:p>
            <w:r/>
            <w:r>
              <w:rPr>
                <w:b w:val="0"/>
              </w:rPr>
              <w:t>MUST</w:t>
            </w:r>
          </w:p>
        </w:tc>
        <w:tc>
          <w:tcPr>
            <w:tcW w:type="dxa" w:w="2340"/>
          </w:tcPr>
          <w:p>
            <w:r/>
            <w:r>
              <w:rPr>
                <w:b w:val="0"/>
              </w:rPr>
              <w:t>The solution consists of a Single Node OpenShift cluster — single server, single switch, single bastion — at the customer's production site.</w:t>
            </w:r>
          </w:p>
        </w:tc>
      </w:tr>
      <w:tr>
        <w:tc>
          <w:tcPr>
            <w:tcW w:type="dxa" w:w="2340"/>
          </w:tcPr>
          <w:p>
            <w:r/>
            <w:r>
              <w:rPr>
                <w:b w:val="0"/>
              </w:rPr>
              <w:t>2</w:t>
            </w:r>
          </w:p>
        </w:tc>
        <w:tc>
          <w:tcPr>
            <w:tcW w:type="dxa" w:w="2340"/>
          </w:tcPr>
          <w:p>
            <w:r/>
            <w:r>
              <w:rPr>
                <w:b w:val="0"/>
              </w:rPr>
              <w:t>Hosting Location</w:t>
            </w:r>
          </w:p>
        </w:tc>
        <w:tc>
          <w:tcPr>
            <w:tcW w:type="dxa" w:w="2340"/>
          </w:tcPr>
          <w:p>
            <w:r/>
            <w:r>
              <w:rPr>
                <w:b w:val="0"/>
              </w:rPr>
              <w:t>MUST</w:t>
            </w:r>
          </w:p>
        </w:tc>
        <w:tc>
          <w:tcPr>
            <w:tcW w:type="dxa" w:w="2340"/>
          </w:tcPr>
          <w:p>
            <w:r/>
            <w:r>
              <w:rPr>
                <w:b w:val="0"/>
              </w:rPr>
              <w:t>The solution is deployed on-premises, within a secured and segmented network boundary.</w:t>
            </w:r>
          </w:p>
        </w:tc>
      </w:tr>
      <w:tr>
        <w:tc>
          <w:tcPr>
            <w:tcW w:type="dxa" w:w="2340"/>
          </w:tcPr>
          <w:p>
            <w:r/>
            <w:r>
              <w:rPr>
                <w:b w:val="0"/>
              </w:rPr>
              <w:t>3</w:t>
            </w:r>
          </w:p>
        </w:tc>
        <w:tc>
          <w:tcPr>
            <w:tcW w:type="dxa" w:w="2340"/>
          </w:tcPr>
          <w:p>
            <w:r/>
            <w:r>
              <w:rPr>
                <w:b w:val="0"/>
              </w:rPr>
              <w:t>General Design</w:t>
            </w:r>
          </w:p>
        </w:tc>
        <w:tc>
          <w:tcPr>
            <w:tcW w:type="dxa" w:w="2340"/>
          </w:tcPr>
          <w:p>
            <w:r/>
            <w:r>
              <w:rPr>
                <w:b w:val="0"/>
              </w:rPr>
              <w:t>MUST</w:t>
            </w:r>
          </w:p>
        </w:tc>
        <w:tc>
          <w:tcPr>
            <w:tcW w:type="dxa" w:w="2340"/>
          </w:tcPr>
          <w:p>
            <w:r/>
            <w:r>
              <w:rPr>
                <w:b w:val="0"/>
              </w:rPr>
              <w:t>The solution operates fully disconnected (air-gapped) — the SNO node and bastion have no internet route under any circumstance.</w:t>
            </w:r>
          </w:p>
        </w:tc>
      </w:tr>
      <w:tr>
        <w:tc>
          <w:tcPr>
            <w:tcW w:type="dxa" w:w="2340"/>
          </w:tcPr>
          <w:p>
            <w:r/>
            <w:r>
              <w:rPr>
                <w:b w:val="0"/>
              </w:rPr>
              <w:t>4</w:t>
            </w:r>
          </w:p>
        </w:tc>
        <w:tc>
          <w:tcPr>
            <w:tcW w:type="dxa" w:w="2340"/>
          </w:tcPr>
          <w:p>
            <w:r/>
            <w:r>
              <w:rPr>
                <w:b w:val="0"/>
              </w:rPr>
              <w:t>Image Management</w:t>
            </w:r>
          </w:p>
        </w:tc>
        <w:tc>
          <w:tcPr>
            <w:tcW w:type="dxa" w:w="2340"/>
          </w:tcPr>
          <w:p>
            <w:r/>
            <w:r>
              <w:rPr>
                <w:b w:val="0"/>
              </w:rPr>
              <w:t>MUST</w:t>
            </w:r>
          </w:p>
        </w:tc>
        <w:tc>
          <w:tcPr>
            <w:tcW w:type="dxa" w:w="2340"/>
          </w:tcPr>
          <w:p>
            <w:r/>
            <w:r>
              <w:rPr>
                <w:b w:val="0"/>
              </w:rPr>
              <w:t>Required content is staged on a separate internet-connected host, then relayed to the bastion's local mirror registry before being used by the cluster.</w:t>
            </w:r>
          </w:p>
        </w:tc>
      </w:tr>
      <w:tr>
        <w:tc>
          <w:tcPr>
            <w:tcW w:type="dxa" w:w="2340"/>
          </w:tcPr>
          <w:p>
            <w:r/>
            <w:r>
              <w:rPr>
                <w:b w:val="0"/>
              </w:rPr>
              <w:t>5</w:t>
            </w:r>
          </w:p>
        </w:tc>
        <w:tc>
          <w:tcPr>
            <w:tcW w:type="dxa" w:w="2340"/>
          </w:tcPr>
          <w:p>
            <w:r/>
            <w:r>
              <w:rPr>
                <w:b w:val="0"/>
              </w:rPr>
              <w:t>Cluster Installation</w:t>
            </w:r>
          </w:p>
        </w:tc>
        <w:tc>
          <w:tcPr>
            <w:tcW w:type="dxa" w:w="2340"/>
          </w:tcPr>
          <w:p>
            <w:r/>
            <w:r>
              <w:rPr>
                <w:b w:val="0"/>
              </w:rPr>
              <w:t>MUST</w:t>
            </w:r>
          </w:p>
        </w:tc>
        <w:tc>
          <w:tcPr>
            <w:tcW w:type="dxa" w:w="2340"/>
          </w:tcPr>
          <w:p>
            <w:r/>
            <w:r>
              <w:rPr>
                <w:b w:val="0"/>
              </w:rPr>
              <w:t>The cluster is deployed using the Agent-Based Installer, using Red Hat Enterprise Linux CoreOS (RHCOS) on the node.</w:t>
            </w:r>
          </w:p>
        </w:tc>
      </w:tr>
      <w:tr>
        <w:tc>
          <w:tcPr>
            <w:tcW w:type="dxa" w:w="2340"/>
          </w:tcPr>
          <w:p>
            <w:r/>
            <w:r>
              <w:rPr>
                <w:b w:val="0"/>
              </w:rPr>
              <w:t>6</w:t>
            </w:r>
          </w:p>
        </w:tc>
        <w:tc>
          <w:tcPr>
            <w:tcW w:type="dxa" w:w="2340"/>
          </w:tcPr>
          <w:p>
            <w:r/>
            <w:r>
              <w:rPr>
                <w:b w:val="0"/>
              </w:rPr>
              <w:t>Hardware Provisioning</w:t>
            </w:r>
          </w:p>
        </w:tc>
        <w:tc>
          <w:tcPr>
            <w:tcW w:type="dxa" w:w="2340"/>
          </w:tcPr>
          <w:p>
            <w:r/>
            <w:r>
              <w:rPr>
                <w:b w:val="0"/>
              </w:rPr>
              <w:t>MUST</w:t>
            </w:r>
          </w:p>
        </w:tc>
        <w:tc>
          <w:tcPr>
            <w:tcW w:type="dxa" w:w="2340"/>
          </w:tcPr>
          <w:p>
            <w:r/>
            <w:r>
              <w:rPr>
                <w:b w:val="0"/>
              </w:rPr>
              <w:t>The node is provisioned by mounting the installer ISO via the server's BMC (Redfish) and power-cycling it — no manual media handling.</w:t>
            </w:r>
          </w:p>
        </w:tc>
      </w:tr>
      <w:tr>
        <w:tc>
          <w:tcPr>
            <w:tcW w:type="dxa" w:w="2340"/>
          </w:tcPr>
          <w:p>
            <w:r/>
            <w:r>
              <w:rPr>
                <w:b w:val="0"/>
              </w:rPr>
              <w:t>7</w:t>
            </w:r>
          </w:p>
        </w:tc>
        <w:tc>
          <w:tcPr>
            <w:tcW w:type="dxa" w:w="2340"/>
          </w:tcPr>
          <w:p>
            <w:r/>
            <w:r>
              <w:rPr>
                <w:b w:val="0"/>
              </w:rPr>
              <w:t>Networking</w:t>
            </w:r>
          </w:p>
        </w:tc>
        <w:tc>
          <w:tcPr>
            <w:tcW w:type="dxa" w:w="2340"/>
          </w:tcPr>
          <w:p>
            <w:r/>
            <w:r>
              <w:rPr>
                <w:b w:val="0"/>
              </w:rPr>
              <w:t>MUST</w:t>
            </w:r>
          </w:p>
        </w:tc>
        <w:tc>
          <w:tcPr>
            <w:tcW w:type="dxa" w:w="2340"/>
          </w:tcPr>
          <w:p>
            <w:r/>
            <w:r>
              <w:rPr>
                <w:b w:val="0"/>
              </w:rPr>
              <w:t>Application HTTP(S) ingress uses the default OpenShift Ingress Controller; there is no separate API/Ingress VIP.</w:t>
            </w:r>
          </w:p>
        </w:tc>
      </w:tr>
      <w:tr>
        <w:tc>
          <w:tcPr>
            <w:tcW w:type="dxa" w:w="2340"/>
          </w:tcPr>
          <w:p>
            <w:r/>
            <w:r>
              <w:rPr>
                <w:b w:val="0"/>
              </w:rPr>
              <w:t>8</w:t>
            </w:r>
          </w:p>
        </w:tc>
        <w:tc>
          <w:tcPr>
            <w:tcW w:type="dxa" w:w="2340"/>
          </w:tcPr>
          <w:p>
            <w:r/>
            <w:r>
              <w:rPr>
                <w:b w:val="0"/>
              </w:rPr>
              <w:t>Networking</w:t>
            </w:r>
          </w:p>
        </w:tc>
        <w:tc>
          <w:tcPr>
            <w:tcW w:type="dxa" w:w="2340"/>
          </w:tcPr>
          <w:p>
            <w:r/>
            <w:r>
              <w:rPr>
                <w:b w:val="0"/>
              </w:rPr>
              <w:t>SHOULD</w:t>
            </w:r>
          </w:p>
        </w:tc>
        <w:tc>
          <w:tcPr>
            <w:tcW w:type="dxa" w:w="2340"/>
          </w:tcPr>
          <w:p>
            <w:r/>
            <w:r>
              <w:rPr>
                <w:b w:val="0"/>
              </w:rPr>
              <w:t>Non-HTTP TCP middleware services (message queue, database, cache) are optionally exposed via a MetalLB-provisioned address pool.</w:t>
            </w:r>
          </w:p>
        </w:tc>
      </w:tr>
      <w:tr>
        <w:tc>
          <w:tcPr>
            <w:tcW w:type="dxa" w:w="2340"/>
          </w:tcPr>
          <w:p>
            <w:r/>
            <w:r>
              <w:rPr>
                <w:b w:val="0"/>
              </w:rPr>
              <w:t>9</w:t>
            </w:r>
          </w:p>
        </w:tc>
        <w:tc>
          <w:tcPr>
            <w:tcW w:type="dxa" w:w="2340"/>
          </w:tcPr>
          <w:p>
            <w:r/>
            <w:r>
              <w:rPr>
                <w:b w:val="0"/>
              </w:rPr>
              <w:t>Networking</w:t>
            </w:r>
          </w:p>
        </w:tc>
        <w:tc>
          <w:tcPr>
            <w:tcW w:type="dxa" w:w="2340"/>
          </w:tcPr>
          <w:p>
            <w:r/>
            <w:r>
              <w:rPr>
                <w:b w:val="0"/>
              </w:rPr>
              <w:t>WON'T</w:t>
            </w:r>
          </w:p>
        </w:tc>
        <w:tc>
          <w:tcPr>
            <w:tcW w:type="dxa" w:w="2340"/>
          </w:tcPr>
          <w:p>
            <w:r/>
            <w:r>
              <w:rPr>
                <w:b w:val="0"/>
              </w:rPr>
              <w:t>NIC bonding/traffic isolation is not implemented — the target hardware uses a single NIC per function with no bonding.</w:t>
            </w:r>
          </w:p>
        </w:tc>
      </w:tr>
      <w:tr>
        <w:tc>
          <w:tcPr>
            <w:tcW w:type="dxa" w:w="2340"/>
          </w:tcPr>
          <w:p>
            <w:r/>
            <w:r>
              <w:rPr>
                <w:b w:val="0"/>
              </w:rPr>
              <w:t>10</w:t>
            </w:r>
          </w:p>
        </w:tc>
        <w:tc>
          <w:tcPr>
            <w:tcW w:type="dxa" w:w="2340"/>
          </w:tcPr>
          <w:p>
            <w:r/>
            <w:r>
              <w:rPr>
                <w:b w:val="0"/>
              </w:rPr>
              <w:t>Storage</w:t>
            </w:r>
          </w:p>
        </w:tc>
        <w:tc>
          <w:tcPr>
            <w:tcW w:type="dxa" w:w="2340"/>
          </w:tcPr>
          <w:p>
            <w:r/>
            <w:r>
              <w:rPr>
                <w:b w:val="0"/>
              </w:rPr>
              <w:t>MUST</w:t>
            </w:r>
          </w:p>
        </w:tc>
        <w:tc>
          <w:tcPr>
            <w:tcW w:type="dxa" w:w="2340"/>
          </w:tcPr>
          <w:p>
            <w:r/>
            <w:r>
              <w:rPr>
                <w:b w:val="0"/>
              </w:rPr>
              <w:t>Block storage for all workloads is backed by LVMS over the server's hardware RAID5 array.</w:t>
            </w:r>
          </w:p>
        </w:tc>
      </w:tr>
      <w:tr>
        <w:tc>
          <w:tcPr>
            <w:tcW w:type="dxa" w:w="2340"/>
          </w:tcPr>
          <w:p>
            <w:r/>
            <w:r>
              <w:rPr>
                <w:b w:val="0"/>
              </w:rPr>
              <w:t>11</w:t>
            </w:r>
          </w:p>
        </w:tc>
        <w:tc>
          <w:tcPr>
            <w:tcW w:type="dxa" w:w="2340"/>
          </w:tcPr>
          <w:p>
            <w:r/>
            <w:r>
              <w:rPr>
                <w:b w:val="0"/>
              </w:rPr>
              <w:t>Storage</w:t>
            </w:r>
          </w:p>
        </w:tc>
        <w:tc>
          <w:tcPr>
            <w:tcW w:type="dxa" w:w="2340"/>
          </w:tcPr>
          <w:p>
            <w:r/>
            <w:r>
              <w:rPr>
                <w:b w:val="0"/>
              </w:rPr>
              <w:t>MUST</w:t>
            </w:r>
          </w:p>
        </w:tc>
        <w:tc>
          <w:tcPr>
            <w:tcW w:type="dxa" w:w="2340"/>
          </w:tcPr>
          <w:p>
            <w:r/>
            <w:r>
              <w:rPr>
                <w:b w:val="0"/>
              </w:rPr>
              <w:t>S3-compatible object storage is provided by a standalone Multicloud Object Gateway, with no additional OCP-level storage replication layered on top of hardware RAID5.</w:t>
            </w:r>
          </w:p>
        </w:tc>
      </w:tr>
      <w:tr>
        <w:tc>
          <w:tcPr>
            <w:tcW w:type="dxa" w:w="2340"/>
          </w:tcPr>
          <w:p>
            <w:r/>
            <w:r>
              <w:rPr>
                <w:b w:val="0"/>
              </w:rPr>
              <w:t>12</w:t>
            </w:r>
          </w:p>
        </w:tc>
        <w:tc>
          <w:tcPr>
            <w:tcW w:type="dxa" w:w="2340"/>
          </w:tcPr>
          <w:p>
            <w:r/>
            <w:r>
              <w:rPr>
                <w:b w:val="0"/>
              </w:rPr>
              <w:t>Storage</w:t>
            </w:r>
          </w:p>
        </w:tc>
        <w:tc>
          <w:tcPr>
            <w:tcW w:type="dxa" w:w="2340"/>
          </w:tcPr>
          <w:p>
            <w:r/>
            <w:r>
              <w:rPr>
                <w:b w:val="0"/>
              </w:rPr>
              <w:t>WON'T</w:t>
            </w:r>
          </w:p>
        </w:tc>
        <w:tc>
          <w:tcPr>
            <w:tcW w:type="dxa" w:w="2340"/>
          </w:tcPr>
          <w:p>
            <w:r/>
            <w:r>
              <w:rPr>
                <w:b w:val="0"/>
              </w:rPr>
              <w:t>Full ODF/Ceph is not implemented — this is a true single-node deployment and will not scale out.</w:t>
            </w:r>
          </w:p>
        </w:tc>
      </w:tr>
      <w:tr>
        <w:tc>
          <w:tcPr>
            <w:tcW w:type="dxa" w:w="2340"/>
          </w:tcPr>
          <w:p>
            <w:r/>
            <w:r>
              <w:rPr>
                <w:b w:val="0"/>
              </w:rPr>
              <w:t>13</w:t>
            </w:r>
          </w:p>
        </w:tc>
        <w:tc>
          <w:tcPr>
            <w:tcW w:type="dxa" w:w="2340"/>
          </w:tcPr>
          <w:p>
            <w:r/>
            <w:r>
              <w:rPr>
                <w:b w:val="0"/>
              </w:rPr>
              <w:t>Logging</w:t>
            </w:r>
          </w:p>
        </w:tc>
        <w:tc>
          <w:tcPr>
            <w:tcW w:type="dxa" w:w="2340"/>
          </w:tcPr>
          <w:p>
            <w:r/>
            <w:r>
              <w:rPr>
                <w:b w:val="0"/>
              </w:rPr>
              <w:t>MUST</w:t>
            </w:r>
          </w:p>
        </w:tc>
        <w:tc>
          <w:tcPr>
            <w:tcW w:type="dxa" w:w="2340"/>
          </w:tcPr>
          <w:p>
            <w:r/>
            <w:r>
              <w:rPr>
                <w:b w:val="0"/>
              </w:rPr>
              <w:t>Audit, infrastructure, and application logs are collected and retained via an in-cluster LokiStack, visualized through Grafana.</w:t>
            </w:r>
          </w:p>
        </w:tc>
      </w:tr>
      <w:tr>
        <w:tc>
          <w:tcPr>
            <w:tcW w:type="dxa" w:w="2340"/>
          </w:tcPr>
          <w:p>
            <w:r/>
            <w:r>
              <w:rPr>
                <w:b w:val="0"/>
              </w:rPr>
              <w:t>14</w:t>
            </w:r>
          </w:p>
        </w:tc>
        <w:tc>
          <w:tcPr>
            <w:tcW w:type="dxa" w:w="2340"/>
          </w:tcPr>
          <w:p>
            <w:r/>
            <w:r>
              <w:rPr>
                <w:b w:val="0"/>
              </w:rPr>
              <w:t>Logging</w:t>
            </w:r>
          </w:p>
        </w:tc>
        <w:tc>
          <w:tcPr>
            <w:tcW w:type="dxa" w:w="2340"/>
          </w:tcPr>
          <w:p>
            <w:r/>
            <w:r>
              <w:rPr>
                <w:b w:val="0"/>
              </w:rPr>
              <w:t>COULD</w:t>
            </w:r>
          </w:p>
        </w:tc>
        <w:tc>
          <w:tcPr>
            <w:tcW w:type="dxa" w:w="2340"/>
          </w:tcPr>
          <w:p>
            <w:r/>
            <w:r>
              <w:rPr>
                <w:b w:val="0"/>
              </w:rPr>
              <w:t>A syslog-based forwarding output to an external SIEM is supported alongside the LokiStack output; the endpoint configured today is a placeholder, and the authentication/RBAC needed to forward to the customer's actual SIEM is not yet finalized.</w:t>
            </w:r>
          </w:p>
        </w:tc>
      </w:tr>
      <w:tr>
        <w:tc>
          <w:tcPr>
            <w:tcW w:type="dxa" w:w="2340"/>
          </w:tcPr>
          <w:p>
            <w:r/>
            <w:r>
              <w:rPr>
                <w:b w:val="0"/>
              </w:rPr>
              <w:t>15</w:t>
            </w:r>
          </w:p>
        </w:tc>
        <w:tc>
          <w:tcPr>
            <w:tcW w:type="dxa" w:w="2340"/>
          </w:tcPr>
          <w:p>
            <w:r/>
            <w:r>
              <w:rPr>
                <w:b w:val="0"/>
              </w:rPr>
              <w:t>Monitoring/Tracing</w:t>
            </w:r>
          </w:p>
        </w:tc>
        <w:tc>
          <w:tcPr>
            <w:tcW w:type="dxa" w:w="2340"/>
          </w:tcPr>
          <w:p>
            <w:r/>
            <w:r>
              <w:rPr>
                <w:b w:val="0"/>
              </w:rPr>
              <w:t>COULD</w:t>
            </w:r>
          </w:p>
        </w:tc>
        <w:tc>
          <w:tcPr>
            <w:tcW w:type="dxa" w:w="2340"/>
          </w:tcPr>
          <w:p>
            <w:r/>
            <w:r>
              <w:rPr>
                <w:b w:val="0"/>
              </w:rPr>
              <w:t>Application-level distributed tracing is available via an OpenTelemetry Collector and Tempo, wired into the same Grafana instance.</w:t>
            </w:r>
          </w:p>
        </w:tc>
      </w:tr>
      <w:tr>
        <w:tc>
          <w:tcPr>
            <w:tcW w:type="dxa" w:w="2340"/>
          </w:tcPr>
          <w:p>
            <w:r/>
            <w:r>
              <w:rPr>
                <w:b w:val="0"/>
              </w:rPr>
              <w:t>16</w:t>
            </w:r>
          </w:p>
        </w:tc>
        <w:tc>
          <w:tcPr>
            <w:tcW w:type="dxa" w:w="2340"/>
          </w:tcPr>
          <w:p>
            <w:r/>
            <w:r>
              <w:rPr>
                <w:b w:val="0"/>
              </w:rPr>
              <w:t>Alerting</w:t>
            </w:r>
          </w:p>
        </w:tc>
        <w:tc>
          <w:tcPr>
            <w:tcW w:type="dxa" w:w="2340"/>
          </w:tcPr>
          <w:p>
            <w:r/>
            <w:r>
              <w:rPr>
                <w:b w:val="0"/>
              </w:rPr>
              <w:t>MUST</w:t>
            </w:r>
          </w:p>
        </w:tc>
        <w:tc>
          <w:tcPr>
            <w:tcW w:type="dxa" w:w="2340"/>
          </w:tcPr>
          <w:p>
            <w:r/>
            <w:r>
              <w:rPr>
                <w:b w:val="0"/>
              </w:rPr>
              <w:t>Cluster alerts are routed to a customer-provided SMTP server via email.</w:t>
            </w:r>
          </w:p>
        </w:tc>
      </w:tr>
      <w:tr>
        <w:tc>
          <w:tcPr>
            <w:tcW w:type="dxa" w:w="2340"/>
          </w:tcPr>
          <w:p>
            <w:r/>
            <w:r>
              <w:rPr>
                <w:b w:val="0"/>
              </w:rPr>
              <w:t>17</w:t>
            </w:r>
          </w:p>
        </w:tc>
        <w:tc>
          <w:tcPr>
            <w:tcW w:type="dxa" w:w="2340"/>
          </w:tcPr>
          <w:p>
            <w:r/>
            <w:r>
              <w:rPr>
                <w:b w:val="0"/>
              </w:rPr>
              <w:t>Registry</w:t>
            </w:r>
          </w:p>
        </w:tc>
        <w:tc>
          <w:tcPr>
            <w:tcW w:type="dxa" w:w="2340"/>
          </w:tcPr>
          <w:p>
            <w:r/>
            <w:r>
              <w:rPr>
                <w:b w:val="0"/>
              </w:rPr>
              <w:t>MUST</w:t>
            </w:r>
          </w:p>
        </w:tc>
        <w:tc>
          <w:tcPr>
            <w:tcW w:type="dxa" w:w="2340"/>
          </w:tcPr>
          <w:p>
            <w:r/>
            <w:r>
              <w:rPr>
                <w:b w:val="0"/>
              </w:rPr>
              <w:t>A bastion-hosted mirror registry serves install-time content only; a separate, long-term on-cluster registry serves application images post-install.</w:t>
            </w:r>
          </w:p>
        </w:tc>
      </w:tr>
      <w:tr>
        <w:tc>
          <w:tcPr>
            <w:tcW w:type="dxa" w:w="2340"/>
          </w:tcPr>
          <w:p>
            <w:r/>
            <w:r>
              <w:rPr>
                <w:b w:val="0"/>
              </w:rPr>
              <w:t>18</w:t>
            </w:r>
          </w:p>
        </w:tc>
        <w:tc>
          <w:tcPr>
            <w:tcW w:type="dxa" w:w="2340"/>
          </w:tcPr>
          <w:p>
            <w:r/>
            <w:r>
              <w:rPr>
                <w:b w:val="0"/>
              </w:rPr>
              <w:t>Platform Operations</w:t>
            </w:r>
          </w:p>
        </w:tc>
        <w:tc>
          <w:tcPr>
            <w:tcW w:type="dxa" w:w="2340"/>
          </w:tcPr>
          <w:p>
            <w:r/>
            <w:r>
              <w:rPr>
                <w:b w:val="0"/>
              </w:rPr>
              <w:t>MUST</w:t>
            </w:r>
          </w:p>
        </w:tc>
        <w:tc>
          <w:tcPr>
            <w:tcW w:type="dxa" w:w="2340"/>
          </w:tcPr>
          <w:p>
            <w:r/>
            <w:r>
              <w:rPr>
                <w:b w:val="0"/>
              </w:rPr>
              <w:t>Administrators can install and manage Red Hat and certified Operators via OperatorHub, sourced from the mirrored catalog.</w:t>
            </w:r>
          </w:p>
        </w:tc>
      </w:tr>
      <w:tr>
        <w:tc>
          <w:tcPr>
            <w:tcW w:type="dxa" w:w="2340"/>
          </w:tcPr>
          <w:p>
            <w:r/>
            <w:r>
              <w:rPr>
                <w:b w:val="0"/>
              </w:rPr>
              <w:t>19</w:t>
            </w:r>
          </w:p>
        </w:tc>
        <w:tc>
          <w:tcPr>
            <w:tcW w:type="dxa" w:w="2340"/>
          </w:tcPr>
          <w:p>
            <w:r/>
            <w:r>
              <w:rPr>
                <w:b w:val="0"/>
              </w:rPr>
              <w:t>Day 2 Application Platform</w:t>
            </w:r>
          </w:p>
        </w:tc>
        <w:tc>
          <w:tcPr>
            <w:tcW w:type="dxa" w:w="2340"/>
          </w:tcPr>
          <w:p>
            <w:r/>
            <w:r>
              <w:rPr>
                <w:b w:val="0"/>
              </w:rPr>
              <w:t>MUST</w:t>
            </w:r>
          </w:p>
        </w:tc>
        <w:tc>
          <w:tcPr>
            <w:tcW w:type="dxa" w:w="2340"/>
          </w:tcPr>
          <w:p>
            <w:r/>
            <w:r>
              <w:rPr>
                <w:b w:val="0"/>
              </w:rPr>
              <w:t>The customer's application middleware (message queue, database, cache, identity/auth) is deployed and managed as part of the platform, not left to the customer to stand up separately.</w:t>
            </w:r>
          </w:p>
        </w:tc>
      </w:tr>
      <w:tr>
        <w:tc>
          <w:tcPr>
            <w:tcW w:type="dxa" w:w="2340"/>
          </w:tcPr>
          <w:p>
            <w:r/>
            <w:r>
              <w:rPr>
                <w:b w:val="0"/>
              </w:rPr>
              <w:t>20</w:t>
            </w:r>
          </w:p>
        </w:tc>
        <w:tc>
          <w:tcPr>
            <w:tcW w:type="dxa" w:w="2340"/>
          </w:tcPr>
          <w:p>
            <w:r/>
            <w:r>
              <w:rPr>
                <w:b w:val="0"/>
              </w:rPr>
              <w:t>Backup and Restore</w:t>
            </w:r>
          </w:p>
        </w:tc>
        <w:tc>
          <w:tcPr>
            <w:tcW w:type="dxa" w:w="2340"/>
          </w:tcPr>
          <w:p>
            <w:r/>
            <w:r>
              <w:rPr>
                <w:b w:val="0"/>
              </w:rPr>
              <w:t>MUST</w:t>
            </w:r>
          </w:p>
        </w:tc>
        <w:tc>
          <w:tcPr>
            <w:tcW w:type="dxa" w:w="2340"/>
          </w:tcPr>
          <w:p>
            <w:r/>
            <w:r>
              <w:rPr>
                <w:b w:val="0"/>
              </w:rPr>
              <w:t>Cluster resources, persistent volumes, and application/namespace data are backed up and restorable via OpenShift API for Data Protection (OADP).</w:t>
            </w:r>
          </w:p>
        </w:tc>
      </w:tr>
      <w:tr>
        <w:tc>
          <w:tcPr>
            <w:tcW w:type="dxa" w:w="2340"/>
          </w:tcPr>
          <w:p>
            <w:r/>
            <w:r>
              <w:rPr>
                <w:b w:val="0"/>
              </w:rPr>
              <w:t>21</w:t>
            </w:r>
          </w:p>
        </w:tc>
        <w:tc>
          <w:tcPr>
            <w:tcW w:type="dxa" w:w="2340"/>
          </w:tcPr>
          <w:p>
            <w:r/>
            <w:r>
              <w:rPr>
                <w:b w:val="0"/>
              </w:rPr>
              <w:t>Backup and Restore</w:t>
            </w:r>
          </w:p>
        </w:tc>
        <w:tc>
          <w:tcPr>
            <w:tcW w:type="dxa" w:w="2340"/>
          </w:tcPr>
          <w:p>
            <w:r/>
            <w:r>
              <w:rPr>
                <w:b w:val="0"/>
              </w:rPr>
              <w:t>MUST</w:t>
            </w:r>
          </w:p>
        </w:tc>
        <w:tc>
          <w:tcPr>
            <w:tcW w:type="dxa" w:w="2340"/>
          </w:tcPr>
          <w:p>
            <w:r/>
            <w:r>
              <w:rPr>
                <w:b w:val="0"/>
              </w:rPr>
              <w:t>Application object-storage data is periodically exported off the node, protecting against total node/chassis loss (RAID5 alone only protects against single-disk failure). The realistic export path is manual removable media or a push to a backup system the customer already runs on the disconnected network — a direct connection to a real internet-reachable S3 target is supported but unlikely to be available on this kind of deployment.</w:t>
            </w:r>
          </w:p>
        </w:tc>
      </w:tr>
      <w:tr>
        <w:tc>
          <w:tcPr>
            <w:tcW w:type="dxa" w:w="2340"/>
          </w:tcPr>
          <w:p>
            <w:r/>
            <w:r>
              <w:rPr>
                <w:b w:val="0"/>
              </w:rPr>
              <w:t>22</w:t>
            </w:r>
          </w:p>
        </w:tc>
        <w:tc>
          <w:tcPr>
            <w:tcW w:type="dxa" w:w="2340"/>
          </w:tcPr>
          <w:p>
            <w:r/>
            <w:r>
              <w:rPr>
                <w:b w:val="0"/>
              </w:rPr>
              <w:t>DNS/NTP</w:t>
            </w:r>
          </w:p>
        </w:tc>
        <w:tc>
          <w:tcPr>
            <w:tcW w:type="dxa" w:w="2340"/>
          </w:tcPr>
          <w:p>
            <w:r/>
            <w:r>
              <w:rPr>
                <w:b w:val="0"/>
              </w:rPr>
              <w:t>MUST</w:t>
            </w:r>
          </w:p>
        </w:tc>
        <w:tc>
          <w:tcPr>
            <w:tcW w:type="dxa" w:w="2340"/>
          </w:tcPr>
          <w:p>
            <w:r/>
            <w:r>
              <w:rPr>
                <w:b w:val="0"/>
              </w:rPr>
              <w:t>DNS and NTP services are provided by the customer's existing infrastructure; the platform is not expected to run its own.</w:t>
            </w:r>
          </w:p>
        </w:tc>
      </w:tr>
      <w:tr>
        <w:tc>
          <w:tcPr>
            <w:tcW w:type="dxa" w:w="2340"/>
          </w:tcPr>
          <w:p>
            <w:r/>
            <w:r>
              <w:rPr>
                <w:b w:val="0"/>
              </w:rPr>
              <w:t>23</w:t>
            </w:r>
          </w:p>
        </w:tc>
        <w:tc>
          <w:tcPr>
            <w:tcW w:type="dxa" w:w="2340"/>
          </w:tcPr>
          <w:p>
            <w:r/>
            <w:r>
              <w:rPr>
                <w:b w:val="0"/>
              </w:rPr>
              <w:t>High Availability</w:t>
            </w:r>
          </w:p>
        </w:tc>
        <w:tc>
          <w:tcPr>
            <w:tcW w:type="dxa" w:w="2340"/>
          </w:tcPr>
          <w:p>
            <w:r/>
            <w:r>
              <w:rPr>
                <w:b w:val="0"/>
              </w:rPr>
              <w:t>WON'T</w:t>
            </w:r>
          </w:p>
        </w:tc>
        <w:tc>
          <w:tcPr>
            <w:tcW w:type="dxa" w:w="2340"/>
          </w:tcPr>
          <w:p>
            <w:r/>
            <w:r>
              <w:rPr>
                <w:b w:val="0"/>
              </w:rPr>
              <w:t>The solution does not provide control-plane or node-level high availability — this is a true single-node deployment; recovery after total node loss is via reinstall + OADP restore, not failover.</w:t>
            </w:r>
          </w:p>
        </w:tc>
      </w:tr>
      <w:tr>
        <w:tc>
          <w:tcPr>
            <w:tcW w:type="dxa" w:w="2340"/>
          </w:tcPr>
          <w:p>
            <w:r/>
            <w:r>
              <w:rPr>
                <w:b w:val="0"/>
              </w:rPr>
              <w:t>24</w:t>
            </w:r>
          </w:p>
        </w:tc>
        <w:tc>
          <w:tcPr>
            <w:tcW w:type="dxa" w:w="2340"/>
          </w:tcPr>
          <w:p>
            <w:r/>
            <w:r>
              <w:rPr>
                <w:b w:val="0"/>
              </w:rPr>
              <w:t>Lifecycle</w:t>
            </w:r>
          </w:p>
        </w:tc>
        <w:tc>
          <w:tcPr>
            <w:tcW w:type="dxa" w:w="2340"/>
          </w:tcPr>
          <w:p>
            <w:r/>
            <w:r>
              <w:rPr>
                <w:b w:val="0"/>
              </w:rPr>
              <w:t>MUST</w:t>
            </w:r>
          </w:p>
        </w:tc>
        <w:tc>
          <w:tcPr>
            <w:tcW w:type="dxa" w:w="2340"/>
          </w:tcPr>
          <w:p>
            <w:r/>
            <w:r>
              <w:rPr>
                <w:b w:val="0"/>
              </w:rPr>
              <w:t>The platform supports scheduled/on-demand upgrades and a gated, destructive node-failure recovery drill for operational readiness validation.</w:t>
            </w:r>
          </w:p>
        </w:tc>
      </w:tr>
      <w:tr>
        <w:tc>
          <w:tcPr>
            <w:tcW w:type="dxa" w:w="2340"/>
          </w:tcPr>
          <w:p>
            <w:r/>
            <w:r>
              <w:rPr>
                <w:b w:val="0"/>
              </w:rPr>
              <w:t>25</w:t>
            </w:r>
          </w:p>
        </w:tc>
        <w:tc>
          <w:tcPr>
            <w:tcW w:type="dxa" w:w="2340"/>
          </w:tcPr>
          <w:p>
            <w:r/>
            <w:r>
              <w:rPr>
                <w:b w:val="0"/>
              </w:rPr>
              <w:t>Support</w:t>
            </w:r>
          </w:p>
        </w:tc>
        <w:tc>
          <w:tcPr>
            <w:tcW w:type="dxa" w:w="2340"/>
          </w:tcPr>
          <w:p>
            <w:r/>
            <w:r>
              <w:rPr>
                <w:b w:val="0"/>
              </w:rPr>
              <w:t>SHOULD</w:t>
            </w:r>
          </w:p>
        </w:tc>
        <w:tc>
          <w:tcPr>
            <w:tcW w:type="dxa" w:w="2340"/>
          </w:tcPr>
          <w:p>
            <w:r/>
            <w:r>
              <w:rPr>
                <w:b w:val="0"/>
              </w:rPr>
              <w:t>`oc adm must-gather` output and standard Red Hat support escalation are the supported path for platform issues.</w:t>
            </w:r>
          </w:p>
        </w:tc>
      </w:tr>
    </w:tbl>
    <w:p/>
    <w:p>
      <w:r>
        <w:br w:type="page"/>
      </w:r>
    </w:p>
    <w:p>
      <w:pPr>
        <w:pStyle w:val="Heading1"/>
      </w:pPr>
      <w:r>
        <w:t>3. Platform Architecture and Design</w:t>
      </w:r>
    </w:p>
    <w:p>
      <w:pPr>
        <w:pStyle w:val="Heading2"/>
      </w:pPr>
      <w:r>
        <w:t>3.1. Architectural Design Decisions</w:t>
      </w:r>
    </w:p>
    <w:p>
      <w:r>
        <w:rPr>
          <w:b w:val="0"/>
          <w:i w:val="0"/>
        </w:rPr>
        <w:t>The following table summarizes the architectural decisions resulting from the design workshops.</w:t>
      </w:r>
    </w:p>
    <w:tbl>
      <w:tblPr>
        <w:tblStyle w:val="Table1"/>
        <w:tblW w:type="auto" w:w="0"/>
        <w:tblLook w:firstColumn="1" w:firstRow="1" w:lastColumn="0" w:lastRow="0" w:noHBand="0" w:noVBand="1" w:val="04A0"/>
      </w:tblPr>
      <w:tblGrid>
        <w:gridCol w:w="3120"/>
        <w:gridCol w:w="3120"/>
        <w:gridCol w:w="3120"/>
      </w:tblGrid>
      <w:tr>
        <w:tc>
          <w:tcPr>
            <w:tcW w:type="dxa" w:w="3120"/>
            <w:shd w:val="clear" w:fill="cccccc"/>
          </w:tcPr>
          <w:p>
            <w:r/>
            <w:r>
              <w:rPr>
                <w:b/>
              </w:rPr>
              <w:t>ID</w:t>
            </w:r>
          </w:p>
        </w:tc>
        <w:tc>
          <w:tcPr>
            <w:tcW w:type="dxa" w:w="3120"/>
            <w:shd w:val="clear" w:fill="cccccc"/>
          </w:tcPr>
          <w:p>
            <w:r/>
            <w:r>
              <w:rPr>
                <w:b/>
              </w:rPr>
              <w:t>Decision Area</w:t>
            </w:r>
          </w:p>
        </w:tc>
        <w:tc>
          <w:tcPr>
            <w:tcW w:type="dxa" w:w="3120"/>
            <w:shd w:val="clear" w:fill="cccccc"/>
          </w:tcPr>
          <w:p>
            <w:r/>
            <w:r>
              <w:rPr>
                <w:b/>
              </w:rPr>
              <w:t>Description</w:t>
            </w:r>
          </w:p>
        </w:tc>
      </w:tr>
      <w:tr>
        <w:tc>
          <w:tcPr>
            <w:tcW w:type="dxa" w:w="3120"/>
          </w:tcPr>
          <w:p>
            <w:r/>
            <w:r>
              <w:rPr>
                <w:b w:val="0"/>
              </w:rPr>
              <w:t>AD1</w:t>
            </w:r>
          </w:p>
        </w:tc>
        <w:tc>
          <w:tcPr>
            <w:tcW w:type="dxa" w:w="3120"/>
          </w:tcPr>
          <w:p>
            <w:r/>
            <w:r>
              <w:rPr>
                <w:b w:val="0"/>
              </w:rPr>
              <w:t>Deployment Site</w:t>
            </w:r>
          </w:p>
        </w:tc>
        <w:tc>
          <w:tcPr>
            <w:tcW w:type="dxa" w:w="3120"/>
          </w:tcPr>
          <w:p>
            <w:r/>
            <w:r>
              <w:rPr>
                <w:b w:val="0"/>
              </w:rPr>
              <w:t>The platform is deployed at the customer's production data center/site as a disconnected environment with no internet access for the cluster or bastion.</w:t>
            </w:r>
          </w:p>
        </w:tc>
      </w:tr>
      <w:tr>
        <w:tc>
          <w:tcPr>
            <w:tcW w:type="dxa" w:w="3120"/>
          </w:tcPr>
          <w:p>
            <w:r/>
            <w:r>
              <w:rPr>
                <w:b w:val="0"/>
              </w:rPr>
              <w:t>AD2</w:t>
            </w:r>
          </w:p>
        </w:tc>
        <w:tc>
          <w:tcPr>
            <w:tcW w:type="dxa" w:w="3120"/>
          </w:tcPr>
          <w:p>
            <w:r/>
            <w:r>
              <w:rPr>
                <w:b w:val="0"/>
              </w:rPr>
              <w:t>Platform Topology</w:t>
            </w:r>
          </w:p>
        </w:tc>
        <w:tc>
          <w:tcPr>
            <w:tcW w:type="dxa" w:w="3120"/>
          </w:tcPr>
          <w:p>
            <w:r/>
            <w:r>
              <w:rPr>
                <w:b w:val="0"/>
              </w:rPr>
              <w:t>A single OpenShift node (control plane and workload combined) is deployed using the Agent-Based Installer. There is no separate worker pool.</w:t>
            </w:r>
          </w:p>
        </w:tc>
      </w:tr>
      <w:tr>
        <w:tc>
          <w:tcPr>
            <w:tcW w:type="dxa" w:w="3120"/>
          </w:tcPr>
          <w:p>
            <w:r/>
            <w:r>
              <w:rPr>
                <w:b w:val="0"/>
              </w:rPr>
              <w:t>AD3</w:t>
            </w:r>
          </w:p>
        </w:tc>
        <w:tc>
          <w:tcPr>
            <w:tcW w:type="dxa" w:w="3120"/>
          </w:tcPr>
          <w:p>
            <w:r/>
            <w:r>
              <w:rPr>
                <w:b w:val="0"/>
              </w:rPr>
              <w:t>Physical Server</w:t>
            </w:r>
          </w:p>
        </w:tc>
        <w:tc>
          <w:tcPr>
            <w:tcW w:type="dxa" w:w="3120"/>
          </w:tcPr>
          <w:p>
            <w:r/>
            <w:r>
              <w:rPr>
                <w:b w:val="0"/>
              </w:rPr>
              <w:t>A single Dell PowerEdge R7725 (iDRAC9/10, Redfish-managed), 768GB RAM, with 3x 3.2TB SSD + 2x 960GB NVMe configured in hardware RAID5 (~6TB usable).</w:t>
            </w:r>
          </w:p>
        </w:tc>
      </w:tr>
      <w:tr>
        <w:tc>
          <w:tcPr>
            <w:tcW w:type="dxa" w:w="3120"/>
          </w:tcPr>
          <w:p>
            <w:r/>
            <w:r>
              <w:rPr>
                <w:b w:val="0"/>
              </w:rPr>
              <w:t>AD4</w:t>
            </w:r>
          </w:p>
        </w:tc>
        <w:tc>
          <w:tcPr>
            <w:tcW w:type="dxa" w:w="3120"/>
          </w:tcPr>
          <w:p>
            <w:r/>
            <w:r>
              <w:rPr>
                <w:b w:val="0"/>
              </w:rPr>
              <w:t>Network Topology</w:t>
            </w:r>
          </w:p>
        </w:tc>
        <w:tc>
          <w:tcPr>
            <w:tcW w:type="dxa" w:w="3120"/>
          </w:tcPr>
          <w:p>
            <w:r/>
            <w:r>
              <w:rPr>
                <w:b w:val="0"/>
              </w:rPr>
              <w:t>Single top-of-rack switch, single bastion host, 1G networking, single NIC per function. No cross-switch redundancy and no NIC bonding on this deployment — the target hardware's NIC count doesn't support it, and it isn't a stated requirement.</w:t>
            </w:r>
          </w:p>
        </w:tc>
      </w:tr>
      <w:tr>
        <w:tc>
          <w:tcPr>
            <w:tcW w:type="dxa" w:w="3120"/>
          </w:tcPr>
          <w:p>
            <w:r/>
            <w:r>
              <w:rPr>
                <w:b w:val="0"/>
              </w:rPr>
              <w:t>AD5</w:t>
            </w:r>
          </w:p>
        </w:tc>
        <w:tc>
          <w:tcPr>
            <w:tcW w:type="dxa" w:w="3120"/>
          </w:tcPr>
          <w:p>
            <w:r/>
            <w:r>
              <w:rPr>
                <w:b w:val="0"/>
              </w:rPr>
              <w:t>Pod/Service Networking</w:t>
            </w:r>
          </w:p>
        </w:tc>
        <w:tc>
          <w:tcPr>
            <w:tcW w:type="dxa" w:w="3120"/>
          </w:tcPr>
          <w:p>
            <w:r/>
            <w:r>
              <w:rPr>
                <w:b w:val="0"/>
              </w:rPr>
              <w:t>OVN-Kubernetes is the default CNI, with non-overlapping pod and service CIDR ranges.</w:t>
            </w:r>
          </w:p>
        </w:tc>
      </w:tr>
      <w:tr>
        <w:tc>
          <w:tcPr>
            <w:tcW w:type="dxa" w:w="3120"/>
          </w:tcPr>
          <w:p>
            <w:r/>
            <w:r>
              <w:rPr>
                <w:b w:val="0"/>
              </w:rPr>
              <w:t>AD6</w:t>
            </w:r>
          </w:p>
        </w:tc>
        <w:tc>
          <w:tcPr>
            <w:tcW w:type="dxa" w:w="3120"/>
          </w:tcPr>
          <w:p>
            <w:r/>
            <w:r>
              <w:rPr>
                <w:b w:val="0"/>
              </w:rPr>
              <w:t>Ingress/API Access</w:t>
            </w:r>
          </w:p>
        </w:tc>
        <w:tc>
          <w:tcPr>
            <w:tcW w:type="dxa" w:w="3120"/>
          </w:tcPr>
          <w:p>
            <w:r/>
            <w:r>
              <w:rPr>
                <w:b w:val="0"/>
              </w:rPr>
              <w:t>No external load balancer or API/Ingress VIP is used; the single node's own IP serves both API and application ingress directly.</w:t>
            </w:r>
          </w:p>
        </w:tc>
      </w:tr>
      <w:tr>
        <w:tc>
          <w:tcPr>
            <w:tcW w:type="dxa" w:w="3120"/>
          </w:tcPr>
          <w:p>
            <w:r/>
            <w:r>
              <w:rPr>
                <w:b w:val="0"/>
              </w:rPr>
              <w:t>AD7</w:t>
            </w:r>
          </w:p>
        </w:tc>
        <w:tc>
          <w:tcPr>
            <w:tcW w:type="dxa" w:w="3120"/>
          </w:tcPr>
          <w:p>
            <w:r/>
            <w:r>
              <w:rPr>
                <w:b w:val="0"/>
              </w:rPr>
              <w:t>Service Exposure</w:t>
            </w:r>
          </w:p>
        </w:tc>
        <w:tc>
          <w:tcPr>
            <w:tcW w:type="dxa" w:w="3120"/>
          </w:tcPr>
          <w:p>
            <w:r/>
            <w:r>
              <w:rPr>
                <w:b w:val="0"/>
              </w:rPr>
              <w:t>HTTP(S) application traffic uses the default OpenShift Ingress Controller. Non-HTTP TCP middleware is optionally exposed via a MetalLB-provisioned IPAddressPool, using a customer-supplied address range.</w:t>
            </w:r>
          </w:p>
        </w:tc>
      </w:tr>
      <w:tr>
        <w:tc>
          <w:tcPr>
            <w:tcW w:type="dxa" w:w="3120"/>
          </w:tcPr>
          <w:p>
            <w:r/>
            <w:r>
              <w:rPr>
                <w:b w:val="0"/>
              </w:rPr>
              <w:t>AD8</w:t>
            </w:r>
          </w:p>
        </w:tc>
        <w:tc>
          <w:tcPr>
            <w:tcW w:type="dxa" w:w="3120"/>
          </w:tcPr>
          <w:p>
            <w:r/>
            <w:r>
              <w:rPr>
                <w:b w:val="0"/>
              </w:rPr>
              <w:t>Storage Platform</w:t>
            </w:r>
          </w:p>
        </w:tc>
        <w:tc>
          <w:tcPr>
            <w:tcW w:type="dxa" w:w="3120"/>
          </w:tcPr>
          <w:p>
            <w:r/>
            <w:r>
              <w:rPr>
                <w:b w:val="0"/>
              </w:rPr>
              <w:t>LVMS carves the RAID5 volume into block PVs for all workloads. A standalone Multicloud Object Gateway (no CephCluster) provides S3-compatible object storage, avoiding redundant replication on top of hardware RAID5. Full ODF/Ceph is not implemented — this is a true single-node deployment.</w:t>
            </w:r>
          </w:p>
        </w:tc>
      </w:tr>
      <w:tr>
        <w:tc>
          <w:tcPr>
            <w:tcW w:type="dxa" w:w="3120"/>
          </w:tcPr>
          <w:p>
            <w:r/>
            <w:r>
              <w:rPr>
                <w:b w:val="0"/>
              </w:rPr>
              <w:t>AD9</w:t>
            </w:r>
          </w:p>
        </w:tc>
        <w:tc>
          <w:tcPr>
            <w:tcW w:type="dxa" w:w="3120"/>
          </w:tcPr>
          <w:p>
            <w:r/>
            <w:r>
              <w:rPr>
                <w:b w:val="0"/>
              </w:rPr>
              <w:t>Disconnected Content Preparation</w:t>
            </w:r>
          </w:p>
        </w:tc>
        <w:tc>
          <w:tcPr>
            <w:tcW w:type="dxa" w:w="3120"/>
          </w:tcPr>
          <w:p>
            <w:r/>
            <w:r>
              <w:rPr>
                <w:b w:val="0"/>
              </w:rPr>
              <w:t>A separate internet-connected host stages OpenShift release images, Operator catalogs, and required container images (“mirror to disk”), independent of the bastion/cluster.</w:t>
            </w:r>
          </w:p>
        </w:tc>
      </w:tr>
      <w:tr>
        <w:tc>
          <w:tcPr>
            <w:tcW w:type="dxa" w:w="3120"/>
          </w:tcPr>
          <w:p>
            <w:r/>
            <w:r>
              <w:rPr>
                <w:b w:val="0"/>
              </w:rPr>
              <w:t>AD10</w:t>
            </w:r>
          </w:p>
        </w:tc>
        <w:tc>
          <w:tcPr>
            <w:tcW w:type="dxa" w:w="3120"/>
          </w:tcPr>
          <w:p>
            <w:r/>
            <w:r>
              <w:rPr>
                <w:b w:val="0"/>
              </w:rPr>
              <w:t>Content Transfer Method</w:t>
            </w:r>
          </w:p>
        </w:tc>
        <w:tc>
          <w:tcPr>
            <w:tcW w:type="dxa" w:w="3120"/>
          </w:tcPr>
          <w:p>
            <w:r/>
            <w:r>
              <w:rPr>
                <w:b w:val="0"/>
              </w:rPr>
              <w:t>Staged content is synced to the bastion over a private network path (or physical media where no network path exists), then loaded into a bastion-hosted mirror registry (“disk to mirror”) that the installer always points at — there is no connected install fallback.</w:t>
            </w:r>
          </w:p>
        </w:tc>
      </w:tr>
      <w:tr>
        <w:tc>
          <w:tcPr>
            <w:tcW w:type="dxa" w:w="3120"/>
          </w:tcPr>
          <w:p>
            <w:r/>
            <w:r>
              <w:rPr>
                <w:b w:val="0"/>
              </w:rPr>
              <w:t>AD11</w:t>
            </w:r>
          </w:p>
        </w:tc>
        <w:tc>
          <w:tcPr>
            <w:tcW w:type="dxa" w:w="3120"/>
          </w:tcPr>
          <w:p>
            <w:r/>
            <w:r>
              <w:rPr>
                <w:b w:val="0"/>
              </w:rPr>
              <w:t>Post-Deployment Registry Strategy</w:t>
            </w:r>
          </w:p>
        </w:tc>
        <w:tc>
          <w:tcPr>
            <w:tcW w:type="dxa" w:w="3120"/>
          </w:tcPr>
          <w:p>
            <w:r/>
            <w:r>
              <w:rPr>
                <w:b w:val="0"/>
              </w:rPr>
              <w:t>After cluster install, a dedicated on-cluster Quay registry (non-HA, single replica — no availability requirement at this scale) serves application images going forward, separate from the bastion's install-time-only mirror.</w:t>
            </w:r>
          </w:p>
        </w:tc>
      </w:tr>
      <w:tr>
        <w:tc>
          <w:tcPr>
            <w:tcW w:type="dxa" w:w="3120"/>
          </w:tcPr>
          <w:p>
            <w:r/>
            <w:r>
              <w:rPr>
                <w:b w:val="0"/>
              </w:rPr>
              <w:t>AD12</w:t>
            </w:r>
          </w:p>
        </w:tc>
        <w:tc>
          <w:tcPr>
            <w:tcW w:type="dxa" w:w="3120"/>
          </w:tcPr>
          <w:p>
            <w:r/>
            <w:r>
              <w:rPr>
                <w:b w:val="0"/>
              </w:rPr>
              <w:t>Observability</w:t>
            </w:r>
          </w:p>
        </w:tc>
        <w:tc>
          <w:tcPr>
            <w:tcW w:type="dxa" w:w="3120"/>
          </w:tcPr>
          <w:p>
            <w:r/>
            <w:r>
              <w:rPr>
                <w:b w:val="0"/>
              </w:rPr>
              <w:t>Logs are aggregated via an in-cluster LokiStack (object-storage-backed by the Multicloud Object Gateway) and visualized in Grafana. A syslog-based output to an external SIEM runs alongside the LokiStack path, but currently targets a placeholder endpoint — the customer's real SIEM target and auth model (token vs. mTLS) still need to be confirmed before this is production-ready. Application tracing is provided via an OpenTelemetry Collector and Tempo, also object-storage-backed, feeding the same Grafana instance.</w:t>
            </w:r>
          </w:p>
        </w:tc>
      </w:tr>
      <w:tr>
        <w:tc>
          <w:tcPr>
            <w:tcW w:type="dxa" w:w="3120"/>
          </w:tcPr>
          <w:p>
            <w:r/>
            <w:r>
              <w:rPr>
                <w:b w:val="0"/>
              </w:rPr>
              <w:t>AD13</w:t>
            </w:r>
          </w:p>
        </w:tc>
        <w:tc>
          <w:tcPr>
            <w:tcW w:type="dxa" w:w="3120"/>
          </w:tcPr>
          <w:p>
            <w:r/>
            <w:r>
              <w:rPr>
                <w:b w:val="0"/>
              </w:rPr>
              <w:t>Alerting</w:t>
            </w:r>
          </w:p>
        </w:tc>
        <w:tc>
          <w:tcPr>
            <w:tcW w:type="dxa" w:w="3120"/>
          </w:tcPr>
          <w:p>
            <w:r/>
            <w:r>
              <w:rPr>
                <w:b w:val="0"/>
              </w:rPr>
              <w:t>Cluster Alertmanager is configured with an email receiver pointed at a customer-provided, directly reachable SMTP server.</w:t>
            </w:r>
          </w:p>
        </w:tc>
      </w:tr>
      <w:tr>
        <w:tc>
          <w:tcPr>
            <w:tcW w:type="dxa" w:w="3120"/>
          </w:tcPr>
          <w:p>
            <w:r/>
            <w:r>
              <w:rPr>
                <w:b w:val="0"/>
              </w:rPr>
              <w:t>AD14</w:t>
            </w:r>
          </w:p>
        </w:tc>
        <w:tc>
          <w:tcPr>
            <w:tcW w:type="dxa" w:w="3120"/>
          </w:tcPr>
          <w:p>
            <w:r/>
            <w:r>
              <w:rPr>
                <w:b w:val="0"/>
              </w:rPr>
              <w:t>DNS/NTP</w:t>
            </w:r>
          </w:p>
        </w:tc>
        <w:tc>
          <w:tcPr>
            <w:tcW w:type="dxa" w:w="3120"/>
          </w:tcPr>
          <w:p>
            <w:r/>
            <w:r>
              <w:rPr>
                <w:b w:val="0"/>
              </w:rPr>
              <w:t>DNS and NTP are provided by the customer's existing infrastructure; the platform integrates with these for name resolution, ingress access, and time sync.</w:t>
            </w:r>
          </w:p>
        </w:tc>
      </w:tr>
      <w:tr>
        <w:tc>
          <w:tcPr>
            <w:tcW w:type="dxa" w:w="3120"/>
          </w:tcPr>
          <w:p>
            <w:r/>
            <w:r>
              <w:rPr>
                <w:b w:val="0"/>
              </w:rPr>
              <w:t>AD15</w:t>
            </w:r>
          </w:p>
        </w:tc>
        <w:tc>
          <w:tcPr>
            <w:tcW w:type="dxa" w:w="3120"/>
          </w:tcPr>
          <w:p>
            <w:r/>
            <w:r>
              <w:rPr>
                <w:b w:val="0"/>
              </w:rPr>
              <w:t>Backup and Data Protection Strategy</w:t>
            </w:r>
          </w:p>
        </w:tc>
        <w:tc>
          <w:tcPr>
            <w:tcW w:type="dxa" w:w="3120"/>
          </w:tcPr>
          <w:p>
            <w:r/>
            <w:r>
              <w:rPr>
                <w:b w:val="0"/>
              </w:rPr>
              <w:t>OADP backs up Kubernetes resources and persistent volumes to S3-compatible storage on a default daily schedule. Application object-storage data is additionally exported off the node periodically, protecting against total node/chassis loss, which hardware RAID5 alone does not cover. Since the cluster has no internet route of its own, the default export path is a manual removable-media handoff from the bastion; pushing directly to a backup system the customer already runs on the disconnected network is supported as a drop-in upgrade once that target is confirmed. Relaying all the way to a genuine internet-reachable external S3 target is also supported but considered unlikely to apply here.</w:t>
            </w:r>
          </w:p>
        </w:tc>
      </w:tr>
      <w:tr>
        <w:tc>
          <w:tcPr>
            <w:tcW w:type="dxa" w:w="3120"/>
          </w:tcPr>
          <w:p>
            <w:r/>
            <w:r>
              <w:rPr>
                <w:b w:val="0"/>
              </w:rPr>
              <w:t>AD16</w:t>
            </w:r>
          </w:p>
        </w:tc>
        <w:tc>
          <w:tcPr>
            <w:tcW w:type="dxa" w:w="3120"/>
          </w:tcPr>
          <w:p>
            <w:r/>
            <w:r>
              <w:rPr>
                <w:b w:val="0"/>
              </w:rPr>
              <w:t>Day 2 Application Platform</w:t>
            </w:r>
          </w:p>
        </w:tc>
        <w:tc>
          <w:tcPr>
            <w:tcW w:type="dxa" w:w="3120"/>
          </w:tcPr>
          <w:p>
            <w:r/>
            <w:r>
              <w:rPr>
                <w:b w:val="0"/>
              </w:rPr>
              <w:t>The customer's application middleware — message queue, relational database (plus an admin UI), cache, and identity/auth — is deployed and managed as part of the platform, backed by LVMS, single-replica (no stated HA requirement).</w:t>
            </w:r>
          </w:p>
        </w:tc>
      </w:tr>
      <w:tr>
        <w:tc>
          <w:tcPr>
            <w:tcW w:type="dxa" w:w="3120"/>
          </w:tcPr>
          <w:p>
            <w:r/>
            <w:r>
              <w:rPr>
                <w:b w:val="0"/>
              </w:rPr>
              <w:t>AD17</w:t>
            </w:r>
          </w:p>
        </w:tc>
        <w:tc>
          <w:tcPr>
            <w:tcW w:type="dxa" w:w="3120"/>
          </w:tcPr>
          <w:p>
            <w:r/>
            <w:r>
              <w:rPr>
                <w:b w:val="0"/>
              </w:rPr>
              <w:t>Hardware Provisioning</w:t>
            </w:r>
          </w:p>
        </w:tc>
        <w:tc>
          <w:tcPr>
            <w:tcW w:type="dxa" w:w="3120"/>
          </w:tcPr>
          <w:p>
            <w:r/>
            <w:r>
              <w:rPr>
                <w:b w:val="0"/>
              </w:rPr>
              <w:t>The node is provisioned by mounting the Agent-Based Installer ISO via the server's BMC (Redfish) and power-cycling it — no manual media handling required.</w:t>
            </w:r>
          </w:p>
        </w:tc>
      </w:tr>
      <w:tr>
        <w:tc>
          <w:tcPr>
            <w:tcW w:type="dxa" w:w="3120"/>
          </w:tcPr>
          <w:p>
            <w:r/>
            <w:r>
              <w:rPr>
                <w:b w:val="0"/>
              </w:rPr>
              <w:t>AD18</w:t>
            </w:r>
          </w:p>
        </w:tc>
        <w:tc>
          <w:tcPr>
            <w:tcW w:type="dxa" w:w="3120"/>
          </w:tcPr>
          <w:p>
            <w:r/>
            <w:r>
              <w:rPr>
                <w:b w:val="0"/>
              </w:rPr>
              <w:t>Scaling Model</w:t>
            </w:r>
          </w:p>
        </w:tc>
        <w:tc>
          <w:tcPr>
            <w:tcW w:type="dxa" w:w="3120"/>
          </w:tcPr>
          <w:p>
            <w:r/>
            <w:r>
              <w:rPr>
                <w:b w:val="0"/>
              </w:rPr>
              <w:t>The single-node design reserves the storage-replication network pattern (used by multi-node deployments) for consistency, so a future scale-out to additional nodes does not require re-cabling.</w:t>
            </w:r>
          </w:p>
        </w:tc>
      </w:tr>
      <w:tr>
        <w:tc>
          <w:tcPr>
            <w:tcW w:type="dxa" w:w="3120"/>
          </w:tcPr>
          <w:p>
            <w:r/>
            <w:r>
              <w:rPr>
                <w:b w:val="0"/>
              </w:rPr>
              <w:t>AD19</w:t>
            </w:r>
          </w:p>
        </w:tc>
        <w:tc>
          <w:tcPr>
            <w:tcW w:type="dxa" w:w="3120"/>
          </w:tcPr>
          <w:p>
            <w:r/>
            <w:r>
              <w:rPr>
                <w:b w:val="0"/>
              </w:rPr>
              <w:t>Lifecycle Operations</w:t>
            </w:r>
          </w:p>
        </w:tc>
        <w:tc>
          <w:tcPr>
            <w:tcW w:type="dxa" w:w="3120"/>
          </w:tcPr>
          <w:p>
            <w:r/>
            <w:r>
              <w:rPr>
                <w:b w:val="0"/>
              </w:rPr>
              <w:t>Scheduled/on-demand upgrades and a gated, destructive node-failure recovery drill are built into the automation for operational readiness validation ahead of go-live.</w:t>
            </w:r>
          </w:p>
        </w:tc>
      </w:tr>
    </w:tbl>
    <w:p/>
    <w:p>
      <w:pPr>
        <w:pStyle w:val="Heading2"/>
      </w:pPr>
      <w:r>
        <w:t>3.2. Solution Overview</w:t>
      </w:r>
    </w:p>
    <w:p>
      <w:pPr>
        <w:pStyle w:val="Heading3"/>
      </w:pPr>
      <w:r>
        <w:t>3.2.1. Deployment Architecture and Platform Services</w:t>
      </w:r>
    </w:p>
    <w:p>
      <w:r>
        <w:rPr>
          <w:b w:val="0"/>
          <w:i w:val="0"/>
        </w:rPr>
        <w:t>The platform is deployed as a disconnected, on-premises Single Node OpenShift cluster using the Agent-Based Installer. Required install-time content is prepared on a separate internet-connected host and relayed through a dedicated bastion host at the customer site, which has no internet route of its own, nor does the SNO node. After installation, an on-cluster Quay registry takes over serving application images; the bastion's registry remains install-time-only.</w:t>
      </w:r>
    </w:p>
    <w:p>
      <w:pPr>
        <w:pStyle w:val="Heading3"/>
      </w:pPr>
      <w:r>
        <w:t>3.2.2. Cluster Topology and Node Roles</w:t>
      </w:r>
    </w:p>
    <w:p>
      <w:r>
        <w:rPr>
          <w:b w:val="0"/>
          <w:i w:val="0"/>
        </w:rPr>
        <w:t>The cluster is a true single node — there is no separate control-plane/worker split. All platform services, Day 2 application middleware, logging, and tracing workloads run on the one node.</w:t>
      </w:r>
    </w:p>
    <w:p>
      <w:pPr>
        <w:pStyle w:val="Heading3"/>
      </w:pPr>
      <w:r>
        <w:t>3.2.3. Physical Infrastructure and High Availability Design</w:t>
      </w:r>
    </w:p>
    <w:p>
      <w:r>
        <w:rPr>
          <w:b w:val="0"/>
          <w:i w:val="0"/>
        </w:rPr>
        <w:t>A single Dell PowerEdge R7725 server (iDRAC9/10, Redfish) behind a single top-of-rack switch, with a single bastion host. There is no rack-, switch-, or node-level redundancy in this design — availability for application data is addressed instead through hardware RAID5 (single-disk protection) and periodic off-node export of application data (whole-chassis-loss protection), not through infrastructure duplication.</w:t>
      </w:r>
    </w:p>
    <w:p>
      <w:pPr>
        <w:pStyle w:val="Heading3"/>
      </w:pPr>
      <w:r>
        <w:t>3.2.4. Network Design</w:t>
      </w:r>
    </w:p>
    <w:p>
      <w:r>
        <w:rPr>
          <w:b w:val="0"/>
          <w:i w:val="0"/>
        </w:rPr>
        <w:t>1G networking, no NIC bonding on this deployment. The default OCP Ingress Controller serves HTTP(S) application traffic directly off the node's own IP — there is no API/Ingress VIP. A MetalLB-provisioned address pool is available, opt-in, for non-HTTP TCP middleware services that need a stable external IP.</w:t>
      </w:r>
    </w:p>
    <w:p>
      <w:pPr>
        <w:pStyle w:val="Heading3"/>
      </w:pPr>
      <w:r>
        <w:t>3.2.5. Platform Storage</w:t>
      </w:r>
    </w:p>
    <w:p>
      <w:r>
        <w:rPr>
          <w:b w:val="0"/>
          <w:i w:val="0"/>
        </w:rPr>
        <w:t>LVMS provides block storage for every PVC-consuming workload on the node, carved from the hardware RAID5 array. A standalone Multicloud Object Gateway (NooBaa, no CephCluster) provides S3-compatible object storage for logging, tracing, backup export, and application use — deliberately not full ODF/Ceph, since the hardware RAID5 array already provides disk-level redundancy and a second replication layer on top would add operational weight without added resiliency at this scale. Full ODF/Ceph is not implemented in this automation — this is a true single-node deployment and will not scale out.</w:t>
      </w:r>
    </w:p>
    <w:p>
      <w:pPr>
        <w:pStyle w:val="Heading3"/>
      </w:pPr>
      <w:r>
        <w:t>3.2.6. Logging, Tracing &amp; Alerting</w:t>
      </w:r>
    </w:p>
    <w:p>
      <w:r>
        <w:rPr>
          <w:b w:val="0"/>
          <w:i w:val="0"/>
        </w:rPr>
        <w:t>An in-cluster LokiStack, object-storage-backed by the Multicloud Object Gateway, retains audit, infrastructure, and application logs, visualized through Grafana. A second, syslog-based output to an external SIEM runs alongside — not replacing — the LokiStack path; this is a supported capability, not yet a finished one — it currently points at a placeholder endpoint, and the service-account RBAC/authentication needed to forward to the customer's actual SIEM has not been finalized. It should not be treated as production-ready until the real SIEM target and its auth model are confirmed. Application-level distributed tracing is available via an OpenTelemetry Collector (OTLP endpoint) and Tempo, also object-storage-backed, feeding the same Grafana instance. Email alerting is configured against a customer-provided, directly reachable SMTP server.</w:t>
      </w:r>
    </w:p>
    <w:p>
      <w:pPr>
        <w:pStyle w:val="Heading3"/>
      </w:pPr>
      <w:r>
        <w:t>3.2.7. Day 2 Application Platform</w:t>
      </w:r>
    </w:p>
    <w:p>
      <w:r>
        <w:rPr>
          <w:b w:val="0"/>
          <w:i w:val="0"/>
        </w:rPr>
        <w:t>The customer is handed a working application platform, not a bare cluster: a message queue, a relational database with an admin UI, an in-memory cache, and an identity/auth provider are deployed alongside the application. All default to LVMS-backed storage and single-replica, matching the no-stated-HA-requirement scope of this engagement; external exposure of any of these (where required) uses the MetalLB address pool described above.</w:t>
      </w:r>
    </w:p>
    <w:p>
      <w:pPr>
        <w:pStyle w:val="Heading3"/>
      </w:pPr>
      <w:r>
        <w:t>3.2.8. Software Editions and Subscriptions</w:t>
      </w:r>
    </w:p>
    <w:p>
      <w:r>
        <w:rPr>
          <w:b w:val="0"/>
          <w:i w:val="0"/>
        </w:rPr>
        <w:t>The deployment is entitled under OpenShift Platform Plus, which covers OpenShift Container Platform itself plus the operator-managed components used throughout this design (storage, logging/tracing, registry, backup/DR).</w:t>
      </w:r>
    </w:p>
    <w:p>
      <w:pPr>
        <w:pStyle w:val="Heading3"/>
      </w:pPr>
      <w:r>
        <w:t>3.2.9. Future Considerations</w:t>
      </w:r>
    </w:p>
    <w:p>
      <w:r>
        <w:t>•  Automated, continuous log/metrics export off the node (currently out of scope — only application object-storage data is covered by the export job).</w:t>
      </w:r>
    </w:p>
    <w:p>
      <w:pPr>
        <w:pStyle w:val="Heading2"/>
      </w:pPr>
      <w:r>
        <w:t>3.3. Disconnected Mirroring &amp; Registry</w:t>
      </w:r>
    </w:p>
    <w:p>
      <w:r>
        <w:rPr>
          <w:b w:val="0"/>
          <w:i w:val="0"/>
        </w:rPr>
        <w:t>Because the SNO node and bastion have no internet route at all, every piece of install-time and operator content follows a one-directional relay: an internet-connected staging host mirrors content to disk, that archive is synced to the bastion, and the bastion's mirror registry loads it ('disk to mirror') for the installer to consume.</w:t>
      </w:r>
    </w:p>
    <w:p>
      <w:r>
        <w:t>•  Stage to disk on the internet-connected host — downloads OpenShift release images, Operator catalog content, and required container images into a portable archive.</w:t>
      </w:r>
    </w:p>
    <w:p>
      <w:r>
        <w:t>•  Sync that archive to the bastion, over a private network path or physical media where no network path exists.</w:t>
      </w:r>
    </w:p>
    <w:p>
      <w:r>
        <w:t>•  Deploy the mirror registry on the bastion and load the archive into it — this is what the installer's imageContentSources/trust bundle always point at; there is no connected-install fallback.</w:t>
      </w:r>
    </w:p>
    <w:p>
      <w:r>
        <w:t>•  Install the cluster via the Agent-Based Installer, entirely from mirrored content.</w:t>
      </w:r>
    </w:p>
    <w:p>
      <w:r>
        <w:t>•  Post-install, a separate, long-term, on-cluster Quay registry (single replica) takes over serving application images; the bastion's registry remains install-time-only.</w:t>
      </w:r>
    </w:p>
    <w:p>
      <w:pPr>
        <w:pStyle w:val="Heading2"/>
      </w:pPr>
      <w:r>
        <w:t>3.4. Hardware Provisioning</w:t>
      </w:r>
    </w:p>
    <w:p>
      <w:r>
        <w:rPr>
          <w:b w:val="0"/>
          <w:i w:val="0"/>
        </w:rPr>
        <w:t>The node is provisioned by mounting the Agent-Based Installer ISO via the server's BMC (Dell iDRAC9/10, standard Redfish) and power-cycling it. No manual media handling or interactive installer steps are required.</w:t>
      </w:r>
    </w:p>
    <w:p>
      <w:r>
        <w:br w:type="page"/>
      </w:r>
    </w:p>
    <w:p>
      <w:pPr>
        <w:pStyle w:val="Heading1"/>
      </w:pPr>
      <w:r>
        <w:t>4. Backup, Disaster Recovery &amp; External Export</w:t>
      </w:r>
    </w:p>
    <w:p>
      <w:r>
        <w:rPr>
          <w:b w:val="0"/>
          <w:i w:val="0"/>
        </w:rPr>
        <w:t>Two independent concerns are addressed:</w:t>
      </w:r>
    </w:p>
    <w:p>
      <w:r>
        <w:t>•  In-cluster backup/restore — OpenShift API for Data Protection (OADP) backs up Kubernetes resources and persistent volumes to S3-compatible object storage (backed by the Multicloud Object Gateway), supporting restore after configuration drift, accidental deletion, or application-level failure.</w:t>
      </w:r>
    </w:p>
    <w:p>
      <w:r>
        <w:t>•  External export, off the node entirely — hardware RAID5 protects against a single disk failing; it does nothing for losing the whole chassis. Application object-storage data is periodically exported off the node; because the cluster has no internet route, this cannot run as a continuously-replicating in-cluster resource — it is a periodic/on-demand relay job, not an always-on path. The default export path is a manual removable-media handoff from the bastion — the safe assumption for a fully disconnected site. Where the customer already runs a backup system on the same disconnected network, data can instead be pushed there directly from the bastion, with no internet route needed. Relaying all the way to a genuine internet-reachable external S3 target is also supported, but is considered the least likely of the three to actually be available here.</w:t>
      </w:r>
    </w:p>
    <w:p>
      <w:r>
        <w:rPr>
          <w:b w:val="0"/>
          <w:i w:val="0"/>
        </w:rPr>
        <w:t>Log/metrics export off the node is explicitly out of scope at this time.</w:t>
      </w:r>
    </w:p>
    <w:p>
      <w:r>
        <w:rPr>
          <w:b w:val="0"/>
          <w:i w:val="0"/>
        </w:rPr>
        <w:t>Disaster recovery scope is limited to this single site: there is no secondary site, no cross-site replication, and no automated failover. Recovery from total node loss is: reinstall via the same disconnected pipeline described in section 3.3, then restore from OADP backup.</w:t>
      </w:r>
    </w:p>
    <w:p>
      <w:r>
        <w:br w:type="page"/>
      </w:r>
    </w:p>
    <w:p>
      <w:pPr>
        <w:pStyle w:val="Heading1"/>
      </w:pPr>
      <w:r>
        <w:t>5. Lifecycle &amp; Support</w:t>
      </w:r>
    </w:p>
    <w:p>
      <w:r>
        <w:t>•  Upgrades: performed on a scheduled or on-demand cadence as agreed with the customer. Rollback is via OADP restore, not an in-place upgrade rollback — a single-node cluster has no second control plane to fail over to during an upgrade.</w:t>
      </w:r>
    </w:p>
    <w:p>
      <w:r>
        <w:t>•  Node failure drill: a destructive recovery drill, explicitly gated behind a confirmation flag, validates the reinstall-and-restore path described in section 4 without requiring an actual hardware failure.</w:t>
      </w:r>
    </w:p>
    <w:p>
      <w:r>
        <w:t>•  Support escalation: must-gather output, followed by the customer's internal support process or direct Red Hat support engagement.</w:t>
      </w:r>
    </w:p>
    <w:p>
      <w:r>
        <w:br w:type="page"/>
      </w:r>
    </w:p>
    <w:p>
      <w:pPr>
        <w:pStyle w:val="Heading1"/>
      </w:pPr>
      <w:r>
        <w:t>6. Appendix — Requirements Traceability</w:t>
      </w:r>
    </w:p>
    <w:tbl>
      <w:tblPr>
        <w:tblStyle w:val="Table1"/>
        <w:tblW w:type="auto" w:w="0"/>
        <w:tblLook w:firstColumn="1" w:firstRow="1" w:lastColumn="0" w:lastRow="0" w:noHBand="0" w:noVBand="1" w:val="04A0"/>
      </w:tblPr>
      <w:tblGrid>
        <w:gridCol w:w="3120"/>
        <w:gridCol w:w="3120"/>
        <w:gridCol w:w="3120"/>
      </w:tblGrid>
      <w:tr>
        <w:tc>
          <w:tcPr>
            <w:tcW w:type="dxa" w:w="3120"/>
            <w:shd w:val="clear" w:fill="cccccc"/>
          </w:tcPr>
          <w:p>
            <w:r/>
            <w:r>
              <w:rPr>
                <w:b/>
              </w:rPr>
              <w:t>Requirement</w:t>
            </w:r>
          </w:p>
        </w:tc>
        <w:tc>
          <w:tcPr>
            <w:tcW w:type="dxa" w:w="3120"/>
            <w:shd w:val="clear" w:fill="cccccc"/>
          </w:tcPr>
          <w:p>
            <w:r/>
            <w:r>
              <w:rPr>
                <w:b/>
              </w:rPr>
              <w:t>Addressed By (section)</w:t>
            </w:r>
          </w:p>
        </w:tc>
        <w:tc>
          <w:tcPr>
            <w:tcW w:type="dxa" w:w="3120"/>
            <w:shd w:val="clear" w:fill="cccccc"/>
          </w:tcPr>
          <w:p>
            <w:r/>
            <w:r>
              <w:rPr>
                <w:b/>
              </w:rPr>
              <w:t>Status</w:t>
            </w:r>
          </w:p>
        </w:tc>
      </w:tr>
      <w:tr>
        <w:tc>
          <w:tcPr>
            <w:tcW w:type="dxa" w:w="3120"/>
          </w:tcPr>
          <w:p>
            <w:r/>
            <w:r>
              <w:rPr>
                <w:b w:val="0"/>
              </w:rPr>
              <w:t>Single server/switch/bastion topology</w:t>
            </w:r>
          </w:p>
        </w:tc>
        <w:tc>
          <w:tcPr>
            <w:tcW w:type="dxa" w:w="3120"/>
          </w:tcPr>
          <w:p>
            <w:r/>
            <w:r>
              <w:rPr>
                <w:b w:val="0"/>
              </w:rPr>
              <w:t>3.2.2, 3.2.3</w:t>
            </w:r>
          </w:p>
        </w:tc>
        <w:tc>
          <w:tcPr>
            <w:tcW w:type="dxa" w:w="3120"/>
          </w:tcPr>
          <w:p>
            <w:r/>
            <w:r>
              <w:rPr>
                <w:b w:val="0"/>
              </w:rPr>
              <w:t>Delivered</w:t>
            </w:r>
          </w:p>
        </w:tc>
      </w:tr>
      <w:tr>
        <w:tc>
          <w:tcPr>
            <w:tcW w:type="dxa" w:w="3120"/>
          </w:tcPr>
          <w:p>
            <w:r/>
            <w:r>
              <w:rPr>
                <w:b w:val="0"/>
              </w:rPr>
              <w:t>Fully disconnected, no internet route</w:t>
            </w:r>
          </w:p>
        </w:tc>
        <w:tc>
          <w:tcPr>
            <w:tcW w:type="dxa" w:w="3120"/>
          </w:tcPr>
          <w:p>
            <w:r/>
            <w:r>
              <w:rPr>
                <w:b w:val="0"/>
              </w:rPr>
              <w:t>3.3</w:t>
            </w:r>
          </w:p>
        </w:tc>
        <w:tc>
          <w:tcPr>
            <w:tcW w:type="dxa" w:w="3120"/>
          </w:tcPr>
          <w:p>
            <w:r/>
            <w:r>
              <w:rPr>
                <w:b w:val="0"/>
              </w:rPr>
              <w:t>Delivered</w:t>
            </w:r>
          </w:p>
        </w:tc>
      </w:tr>
      <w:tr>
        <w:tc>
          <w:tcPr>
            <w:tcW w:type="dxa" w:w="3120"/>
          </w:tcPr>
          <w:p>
            <w:r/>
            <w:r>
              <w:rPr>
                <w:b w:val="0"/>
              </w:rPr>
              <w:t>Mirrored content relay</w:t>
            </w:r>
          </w:p>
        </w:tc>
        <w:tc>
          <w:tcPr>
            <w:tcW w:type="dxa" w:w="3120"/>
          </w:tcPr>
          <w:p>
            <w:r/>
            <w:r>
              <w:rPr>
                <w:b w:val="0"/>
              </w:rPr>
              <w:t>3.3</w:t>
            </w:r>
          </w:p>
        </w:tc>
        <w:tc>
          <w:tcPr>
            <w:tcW w:type="dxa" w:w="3120"/>
          </w:tcPr>
          <w:p>
            <w:r/>
            <w:r>
              <w:rPr>
                <w:b w:val="0"/>
              </w:rPr>
              <w:t>Delivered</w:t>
            </w:r>
          </w:p>
        </w:tc>
      </w:tr>
      <w:tr>
        <w:tc>
          <w:tcPr>
            <w:tcW w:type="dxa" w:w="3120"/>
          </w:tcPr>
          <w:p>
            <w:r/>
            <w:r>
              <w:rPr>
                <w:b w:val="0"/>
              </w:rPr>
              <w:t>Agent-Based Installer, RHCOS</w:t>
            </w:r>
          </w:p>
        </w:tc>
        <w:tc>
          <w:tcPr>
            <w:tcW w:type="dxa" w:w="3120"/>
          </w:tcPr>
          <w:p>
            <w:r/>
            <w:r>
              <w:rPr>
                <w:b w:val="0"/>
              </w:rPr>
              <w:t>3.2.1, 3.4</w:t>
            </w:r>
          </w:p>
        </w:tc>
        <w:tc>
          <w:tcPr>
            <w:tcW w:type="dxa" w:w="3120"/>
          </w:tcPr>
          <w:p>
            <w:r/>
            <w:r>
              <w:rPr>
                <w:b w:val="0"/>
              </w:rPr>
              <w:t>Delivered</w:t>
            </w:r>
          </w:p>
        </w:tc>
      </w:tr>
      <w:tr>
        <w:tc>
          <w:tcPr>
            <w:tcW w:type="dxa" w:w="3120"/>
          </w:tcPr>
          <w:p>
            <w:r/>
            <w:r>
              <w:rPr>
                <w:b w:val="0"/>
              </w:rPr>
              <w:t>BMC-driven provisioning</w:t>
            </w:r>
          </w:p>
        </w:tc>
        <w:tc>
          <w:tcPr>
            <w:tcW w:type="dxa" w:w="3120"/>
          </w:tcPr>
          <w:p>
            <w:r/>
            <w:r>
              <w:rPr>
                <w:b w:val="0"/>
              </w:rPr>
              <w:t>3.4</w:t>
            </w:r>
          </w:p>
        </w:tc>
        <w:tc>
          <w:tcPr>
            <w:tcW w:type="dxa" w:w="3120"/>
          </w:tcPr>
          <w:p>
            <w:r/>
            <w:r>
              <w:rPr>
                <w:b w:val="0"/>
              </w:rPr>
              <w:t>Delivered, pending hardware validation</w:t>
            </w:r>
          </w:p>
        </w:tc>
      </w:tr>
      <w:tr>
        <w:tc>
          <w:tcPr>
            <w:tcW w:type="dxa" w:w="3120"/>
          </w:tcPr>
          <w:p>
            <w:r/>
            <w:r>
              <w:rPr>
                <w:b w:val="0"/>
              </w:rPr>
              <w:t>Block storage over RAID5</w:t>
            </w:r>
          </w:p>
        </w:tc>
        <w:tc>
          <w:tcPr>
            <w:tcW w:type="dxa" w:w="3120"/>
          </w:tcPr>
          <w:p>
            <w:r/>
            <w:r>
              <w:rPr>
                <w:b w:val="0"/>
              </w:rPr>
              <w:t>3.2.5</w:t>
            </w:r>
          </w:p>
        </w:tc>
        <w:tc>
          <w:tcPr>
            <w:tcW w:type="dxa" w:w="3120"/>
          </w:tcPr>
          <w:p>
            <w:r/>
            <w:r>
              <w:rPr>
                <w:b w:val="0"/>
              </w:rPr>
              <w:t>Delivered</w:t>
            </w:r>
          </w:p>
        </w:tc>
      </w:tr>
      <w:tr>
        <w:tc>
          <w:tcPr>
            <w:tcW w:type="dxa" w:w="3120"/>
          </w:tcPr>
          <w:p>
            <w:r/>
            <w:r>
              <w:rPr>
                <w:b w:val="0"/>
              </w:rPr>
              <w:t>S3-compatible storage, no redundant replication</w:t>
            </w:r>
          </w:p>
        </w:tc>
        <w:tc>
          <w:tcPr>
            <w:tcW w:type="dxa" w:w="3120"/>
          </w:tcPr>
          <w:p>
            <w:r/>
            <w:r>
              <w:rPr>
                <w:b w:val="0"/>
              </w:rPr>
              <w:t>3.2.5</w:t>
            </w:r>
          </w:p>
        </w:tc>
        <w:tc>
          <w:tcPr>
            <w:tcW w:type="dxa" w:w="3120"/>
          </w:tcPr>
          <w:p>
            <w:r/>
            <w:r>
              <w:rPr>
                <w:b w:val="0"/>
              </w:rPr>
              <w:t>Delivered</w:t>
            </w:r>
          </w:p>
        </w:tc>
      </w:tr>
      <w:tr>
        <w:tc>
          <w:tcPr>
            <w:tcW w:type="dxa" w:w="3120"/>
          </w:tcPr>
          <w:p>
            <w:r/>
            <w:r>
              <w:rPr>
                <w:b w:val="0"/>
              </w:rPr>
              <w:t>Logging + Grafana</w:t>
            </w:r>
          </w:p>
        </w:tc>
        <w:tc>
          <w:tcPr>
            <w:tcW w:type="dxa" w:w="3120"/>
          </w:tcPr>
          <w:p>
            <w:r/>
            <w:r>
              <w:rPr>
                <w:b w:val="0"/>
              </w:rPr>
              <w:t>3.2.6</w:t>
            </w:r>
          </w:p>
        </w:tc>
        <w:tc>
          <w:tcPr>
            <w:tcW w:type="dxa" w:w="3120"/>
          </w:tcPr>
          <w:p>
            <w:r/>
            <w:r>
              <w:rPr>
                <w:b w:val="0"/>
              </w:rPr>
              <w:t>Delivered</w:t>
            </w:r>
          </w:p>
        </w:tc>
      </w:tr>
      <w:tr>
        <w:tc>
          <w:tcPr>
            <w:tcW w:type="dxa" w:w="3120"/>
          </w:tcPr>
          <w:p>
            <w:r/>
            <w:r>
              <w:rPr>
                <w:b w:val="0"/>
              </w:rPr>
              <w:t>External SIEM forwarding (optional)</w:t>
            </w:r>
          </w:p>
        </w:tc>
        <w:tc>
          <w:tcPr>
            <w:tcW w:type="dxa" w:w="3120"/>
          </w:tcPr>
          <w:p>
            <w:r/>
            <w:r>
              <w:rPr>
                <w:b w:val="0"/>
              </w:rPr>
              <w:t>3.2.6</w:t>
            </w:r>
          </w:p>
        </w:tc>
        <w:tc>
          <w:tcPr>
            <w:tcW w:type="dxa" w:w="3120"/>
          </w:tcPr>
          <w:p>
            <w:r/>
            <w:r>
              <w:rPr>
                <w:b w:val="0"/>
              </w:rPr>
              <w:t>Supported, not production-ready — placeholder endpoint, auth/RBAC pending confirmation of the real SIEM target</w:t>
            </w:r>
          </w:p>
        </w:tc>
      </w:tr>
      <w:tr>
        <w:tc>
          <w:tcPr>
            <w:tcW w:type="dxa" w:w="3120"/>
          </w:tcPr>
          <w:p>
            <w:r/>
            <w:r>
              <w:rPr>
                <w:b w:val="0"/>
              </w:rPr>
              <w:t>Application tracing</w:t>
            </w:r>
          </w:p>
        </w:tc>
        <w:tc>
          <w:tcPr>
            <w:tcW w:type="dxa" w:w="3120"/>
          </w:tcPr>
          <w:p>
            <w:r/>
            <w:r>
              <w:rPr>
                <w:b w:val="0"/>
              </w:rPr>
              <w:t>3.2.6</w:t>
            </w:r>
          </w:p>
        </w:tc>
        <w:tc>
          <w:tcPr>
            <w:tcW w:type="dxa" w:w="3120"/>
          </w:tcPr>
          <w:p>
            <w:r/>
            <w:r>
              <w:rPr>
                <w:b w:val="0"/>
              </w:rPr>
              <w:t>Delivered</w:t>
            </w:r>
          </w:p>
        </w:tc>
      </w:tr>
      <w:tr>
        <w:tc>
          <w:tcPr>
            <w:tcW w:type="dxa" w:w="3120"/>
          </w:tcPr>
          <w:p>
            <w:r/>
            <w:r>
              <w:rPr>
                <w:b w:val="0"/>
              </w:rPr>
              <w:t>Email alerting</w:t>
            </w:r>
          </w:p>
        </w:tc>
        <w:tc>
          <w:tcPr>
            <w:tcW w:type="dxa" w:w="3120"/>
          </w:tcPr>
          <w:p>
            <w:r/>
            <w:r>
              <w:rPr>
                <w:b w:val="0"/>
              </w:rPr>
              <w:t>3.2.6</w:t>
            </w:r>
          </w:p>
        </w:tc>
        <w:tc>
          <w:tcPr>
            <w:tcW w:type="dxa" w:w="3120"/>
          </w:tcPr>
          <w:p>
            <w:r/>
            <w:r>
              <w:rPr>
                <w:b w:val="0"/>
              </w:rPr>
              <w:t>Delivered</w:t>
            </w:r>
          </w:p>
        </w:tc>
      </w:tr>
      <w:tr>
        <w:tc>
          <w:tcPr>
            <w:tcW w:type="dxa" w:w="3120"/>
          </w:tcPr>
          <w:p>
            <w:r/>
            <w:r>
              <w:rPr>
                <w:b w:val="0"/>
              </w:rPr>
              <w:t>On-cluster application registry</w:t>
            </w:r>
          </w:p>
        </w:tc>
        <w:tc>
          <w:tcPr>
            <w:tcW w:type="dxa" w:w="3120"/>
          </w:tcPr>
          <w:p>
            <w:r/>
            <w:r>
              <w:rPr>
                <w:b w:val="0"/>
              </w:rPr>
              <w:t>3.3</w:t>
            </w:r>
          </w:p>
        </w:tc>
        <w:tc>
          <w:tcPr>
            <w:tcW w:type="dxa" w:w="3120"/>
          </w:tcPr>
          <w:p>
            <w:r/>
            <w:r>
              <w:rPr>
                <w:b w:val="0"/>
              </w:rPr>
              <w:t>Delivered</w:t>
            </w:r>
          </w:p>
        </w:tc>
      </w:tr>
      <w:tr>
        <w:tc>
          <w:tcPr>
            <w:tcW w:type="dxa" w:w="3120"/>
          </w:tcPr>
          <w:p>
            <w:r/>
            <w:r>
              <w:rPr>
                <w:b w:val="0"/>
              </w:rPr>
              <w:t>OperatorHub via mirrored catalog</w:t>
            </w:r>
          </w:p>
        </w:tc>
        <w:tc>
          <w:tcPr>
            <w:tcW w:type="dxa" w:w="3120"/>
          </w:tcPr>
          <w:p>
            <w:r/>
            <w:r>
              <w:rPr>
                <w:b w:val="0"/>
              </w:rPr>
              <w:t>3.3</w:t>
            </w:r>
          </w:p>
        </w:tc>
        <w:tc>
          <w:tcPr>
            <w:tcW w:type="dxa" w:w="3120"/>
          </w:tcPr>
          <w:p>
            <w:r/>
            <w:r>
              <w:rPr>
                <w:b w:val="0"/>
              </w:rPr>
              <w:t>Delivered</w:t>
            </w:r>
          </w:p>
        </w:tc>
      </w:tr>
      <w:tr>
        <w:tc>
          <w:tcPr>
            <w:tcW w:type="dxa" w:w="3120"/>
          </w:tcPr>
          <w:p>
            <w:r/>
            <w:r>
              <w:rPr>
                <w:b w:val="0"/>
              </w:rPr>
              <w:t>Day 2 application middleware</w:t>
            </w:r>
          </w:p>
        </w:tc>
        <w:tc>
          <w:tcPr>
            <w:tcW w:type="dxa" w:w="3120"/>
          </w:tcPr>
          <w:p>
            <w:r/>
            <w:r>
              <w:rPr>
                <w:b w:val="0"/>
              </w:rPr>
              <w:t>3.2.7</w:t>
            </w:r>
          </w:p>
        </w:tc>
        <w:tc>
          <w:tcPr>
            <w:tcW w:type="dxa" w:w="3120"/>
          </w:tcPr>
          <w:p>
            <w:r/>
            <w:r>
              <w:rPr>
                <w:b w:val="0"/>
              </w:rPr>
              <w:t>Delivered</w:t>
            </w:r>
          </w:p>
        </w:tc>
      </w:tr>
      <w:tr>
        <w:tc>
          <w:tcPr>
            <w:tcW w:type="dxa" w:w="3120"/>
          </w:tcPr>
          <w:p>
            <w:r/>
            <w:r>
              <w:rPr>
                <w:b w:val="0"/>
              </w:rPr>
              <w:t>Backup/restore via OADP</w:t>
            </w:r>
          </w:p>
        </w:tc>
        <w:tc>
          <w:tcPr>
            <w:tcW w:type="dxa" w:w="3120"/>
          </w:tcPr>
          <w:p>
            <w:r/>
            <w:r>
              <w:rPr>
                <w:b w:val="0"/>
              </w:rPr>
              <w:t>4</w:t>
            </w:r>
          </w:p>
        </w:tc>
        <w:tc>
          <w:tcPr>
            <w:tcW w:type="dxa" w:w="3120"/>
          </w:tcPr>
          <w:p>
            <w:r/>
            <w:r>
              <w:rPr>
                <w:b w:val="0"/>
              </w:rPr>
              <w:t>Delivered</w:t>
            </w:r>
          </w:p>
        </w:tc>
      </w:tr>
      <w:tr>
        <w:tc>
          <w:tcPr>
            <w:tcW w:type="dxa" w:w="3120"/>
          </w:tcPr>
          <w:p>
            <w:r/>
            <w:r>
              <w:rPr>
                <w:b w:val="0"/>
              </w:rPr>
              <w:t>Off-node export of application data</w:t>
            </w:r>
          </w:p>
        </w:tc>
        <w:tc>
          <w:tcPr>
            <w:tcW w:type="dxa" w:w="3120"/>
          </w:tcPr>
          <w:p>
            <w:r/>
            <w:r>
              <w:rPr>
                <w:b w:val="0"/>
              </w:rPr>
              <w:t>4</w:t>
            </w:r>
          </w:p>
        </w:tc>
        <w:tc>
          <w:tcPr>
            <w:tcW w:type="dxa" w:w="3120"/>
          </w:tcPr>
          <w:p>
            <w:r/>
            <w:r>
              <w:rPr>
                <w:b w:val="0"/>
              </w:rPr>
              <w:t>Delivered as manual removable-media export (default) and push-to-internal-backup-system; direct-to-internet S3 export also supported but unlikely to apply. Log/metrics export not yet built</w:t>
            </w:r>
          </w:p>
        </w:tc>
      </w:tr>
      <w:tr>
        <w:tc>
          <w:tcPr>
            <w:tcW w:type="dxa" w:w="3120"/>
          </w:tcPr>
          <w:p>
            <w:r/>
            <w:r>
              <w:rPr>
                <w:b w:val="0"/>
              </w:rPr>
              <w:t>Customer-provided DNS/NTP</w:t>
            </w:r>
          </w:p>
        </w:tc>
        <w:tc>
          <w:tcPr>
            <w:tcW w:type="dxa" w:w="3120"/>
          </w:tcPr>
          <w:p>
            <w:r/>
            <w:r>
              <w:rPr>
                <w:b w:val="0"/>
              </w:rPr>
              <w:t>3.2.1</w:t>
            </w:r>
          </w:p>
        </w:tc>
        <w:tc>
          <w:tcPr>
            <w:tcW w:type="dxa" w:w="3120"/>
          </w:tcPr>
          <w:p>
            <w:r/>
            <w:r>
              <w:rPr>
                <w:b w:val="0"/>
              </w:rPr>
              <w:t>Delivered</w:t>
            </w:r>
          </w:p>
        </w:tc>
      </w:tr>
      <w:tr>
        <w:tc>
          <w:tcPr>
            <w:tcW w:type="dxa" w:w="3120"/>
          </w:tcPr>
          <w:p>
            <w:r/>
            <w:r>
              <w:rPr>
                <w:b w:val="0"/>
              </w:rPr>
              <w:t>No node/control-plane HA (true SNO)</w:t>
            </w:r>
          </w:p>
        </w:tc>
        <w:tc>
          <w:tcPr>
            <w:tcW w:type="dxa" w:w="3120"/>
          </w:tcPr>
          <w:p>
            <w:r/>
            <w:r>
              <w:rPr>
                <w:b w:val="0"/>
              </w:rPr>
              <w:t>3.2.2, 3.2.3</w:t>
            </w:r>
          </w:p>
        </w:tc>
        <w:tc>
          <w:tcPr>
            <w:tcW w:type="dxa" w:w="3120"/>
          </w:tcPr>
          <w:p>
            <w:r/>
            <w:r>
              <w:rPr>
                <w:b w:val="0"/>
              </w:rPr>
              <w:t>By design</w:t>
            </w:r>
          </w:p>
        </w:tc>
      </w:tr>
      <w:tr>
        <w:tc>
          <w:tcPr>
            <w:tcW w:type="dxa" w:w="3120"/>
          </w:tcPr>
          <w:p>
            <w:r/>
            <w:r>
              <w:rPr>
                <w:b w:val="0"/>
              </w:rPr>
              <w:t>Upgrades and node-failure drill</w:t>
            </w:r>
          </w:p>
        </w:tc>
        <w:tc>
          <w:tcPr>
            <w:tcW w:type="dxa" w:w="3120"/>
          </w:tcPr>
          <w:p>
            <w:r/>
            <w:r>
              <w:rPr>
                <w:b w:val="0"/>
              </w:rPr>
              <w:t>5</w:t>
            </w:r>
          </w:p>
        </w:tc>
        <w:tc>
          <w:tcPr>
            <w:tcW w:type="dxa" w:w="3120"/>
          </w:tcPr>
          <w:p>
            <w:r/>
            <w:r>
              <w:rPr>
                <w:b w:val="0"/>
              </w:rPr>
              <w:t>Delivered</w:t>
            </w:r>
          </w:p>
        </w:tc>
      </w:tr>
      <w:tr>
        <w:tc>
          <w:tcPr>
            <w:tcW w:type="dxa" w:w="3120"/>
          </w:tcPr>
          <w:p>
            <w:r/>
            <w:r>
              <w:rPr>
                <w:b w:val="0"/>
              </w:rPr>
              <w:t>Must-gather / support workflow</w:t>
            </w:r>
          </w:p>
        </w:tc>
        <w:tc>
          <w:tcPr>
            <w:tcW w:type="dxa" w:w="3120"/>
          </w:tcPr>
          <w:p>
            <w:r/>
            <w:r>
              <w:rPr>
                <w:b w:val="0"/>
              </w:rPr>
              <w:t>5</w:t>
            </w:r>
          </w:p>
        </w:tc>
        <w:tc>
          <w:tcPr>
            <w:tcW w:type="dxa" w:w="3120"/>
          </w:tcPr>
          <w:p>
            <w:r/>
            <w:r>
              <w:rPr>
                <w:b w:val="0"/>
              </w:rPr>
              <w:t>Manual runbook, not automated</w:t>
            </w:r>
          </w:p>
        </w:tc>
      </w:tr>
    </w:tbl>
    <w:p/>
    <w:p>
      <w:r>
        <w:rPr>
          <w:b w:val="0"/>
          <w:i w:val="0"/>
        </w:rPr>
        <w:t>For the complete, current-state technical detail behind every row above — including exact role/playbook ownership and open verification items — see bare-metal-architecture.md.</w:t>
      </w:r>
    </w:p>
    <w:sectPr>
      <w:headerReference r:id="rId20" w:type="first"/>
      <w:footerReference r:id="rId21" w:type="default"/>
      <w:footerReference r:id="rId22" w:type="first"/>
      <w:pgSz w:h="15840" w:w="12240" w:orient="portrait"/>
      <w:pgMar w:bottom="1440" w:top="1440" w:left="1440" w:right="1440" w:header="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ed Hat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jc w:val="right"/>
      <w:rPr/>
    </w:pPr>
    <w:r w:rsidDel="00000000" w:rsidR="00000000" w:rsidRPr="00000000">
      <w:rPr>
        <w:rtl w:val="0"/>
      </w:rPr>
      <w:t xml:space="preserve">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-700087</wp:posOffset>
          </wp:positionH>
          <wp:positionV relativeFrom="paragraph">
            <wp:posOffset>19050</wp:posOffset>
          </wp:positionV>
          <wp:extent cx="6662738" cy="8605166"/>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62738" cy="86051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d Hat Text" w:cs="Red Hat Text" w:eastAsia="Red Hat Text" w:hAnsi="Red Hat Text"/>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tblStylePr w:type="band1Horz">
      <w:tcPr>
        <w:tcMar>
          <w:top w:w="0.0" w:type="dxa"/>
          <w:left w:w="115.0" w:type="dxa"/>
          <w:bottom w:w="0.0" w:type="dxa"/>
          <w:right w:w="115.0" w:type="dxa"/>
        </w:tcMar>
      </w:tcPr>
    </w:tblStylePr>
    <w:tblStylePr w:type="band1Vert">
      <w:tcPr>
        <w:tcMar>
          <w:top w:w="0.0" w:type="dxa"/>
          <w:left w:w="115.0" w:type="dxa"/>
          <w:bottom w:w="0.0" w:type="dxa"/>
          <w:right w:w="115.0" w:type="dxa"/>
        </w:tcMar>
      </w:tcPr>
    </w:tblStylePr>
    <w:tblStylePr w:type="band2Horz">
      <w:tcPr>
        <w:tcMar>
          <w:top w:w="0.0" w:type="dxa"/>
          <w:left w:w="115.0" w:type="dxa"/>
          <w:bottom w:w="0.0" w:type="dxa"/>
          <w:right w:w="115.0" w:type="dxa"/>
        </w:tcMar>
      </w:tcPr>
    </w:tblStylePr>
    <w:tblStylePr w:type="band2Vert">
      <w:tcPr>
        <w:tcMar>
          <w:top w:w="0.0" w:type="dxa"/>
          <w:left w:w="115.0" w:type="dxa"/>
          <w:bottom w:w="0.0" w:type="dxa"/>
          <w:right w:w="115.0" w:type="dxa"/>
        </w:tcMar>
      </w:tcPr>
    </w:tblStylePr>
    <w:tblStylePr w:type="firstCol">
      <w:tcPr>
        <w:tcMar>
          <w:top w:w="0.0" w:type="dxa"/>
          <w:left w:w="115.0" w:type="dxa"/>
          <w:bottom w:w="0.0" w:type="dxa"/>
          <w:right w:w="115.0" w:type="dxa"/>
        </w:tcMar>
      </w:tcPr>
    </w:tblStylePr>
    <w:tblStylePr w:type="firstRow">
      <w:tcPr>
        <w:tcMar>
          <w:top w:w="0.0" w:type="dxa"/>
          <w:left w:w="115.0" w:type="dxa"/>
          <w:bottom w:w="0.0" w:type="dxa"/>
          <w:right w:w="115.0" w:type="dxa"/>
        </w:tcMar>
      </w:tcPr>
    </w:tblStylePr>
    <w:tblStylePr w:type="lastCol">
      <w:tcPr>
        <w:tcMar>
          <w:top w:w="0.0" w:type="dxa"/>
          <w:left w:w="115.0" w:type="dxa"/>
          <w:bottom w:w="0.0" w:type="dxa"/>
          <w:right w:w="115.0" w:type="dxa"/>
        </w:tcMar>
      </w:tcPr>
    </w:tblStylePr>
    <w:tblStylePr w:type="lastRow">
      <w:tcPr>
        <w:tcMar>
          <w:top w:w="0.0" w:type="dxa"/>
          <w:left w:w="115.0" w:type="dxa"/>
          <w:bottom w:w="0.0" w:type="dxa"/>
          <w:right w:w="115.0" w:type="dxa"/>
        </w:tcMar>
      </w:tcPr>
    </w:tblStylePr>
    <w:tblStylePr w:type="neCell">
      <w:tcPr>
        <w:tcMar>
          <w:top w:w="0.0" w:type="dxa"/>
          <w:left w:w="115.0" w:type="dxa"/>
          <w:bottom w:w="0.0" w:type="dxa"/>
          <w:right w:w="115.0" w:type="dxa"/>
        </w:tcMar>
      </w:tcPr>
    </w:tblStylePr>
    <w:tblStylePr w:type="nwCell">
      <w:tcPr>
        <w:tcMar>
          <w:top w:w="0.0" w:type="dxa"/>
          <w:left w:w="115.0" w:type="dxa"/>
          <w:bottom w:w="0.0" w:type="dxa"/>
          <w:right w:w="115.0" w:type="dxa"/>
        </w:tcMar>
      </w:tcPr>
    </w:tblStylePr>
    <w:tblStylePr w:type="seCell">
      <w:tcPr>
        <w:tcMar>
          <w:top w:w="0.0" w:type="dxa"/>
          <w:left w:w="115.0" w:type="dxa"/>
          <w:bottom w:w="0.0" w:type="dxa"/>
          <w:right w:w="115.0" w:type="dxa"/>
        </w:tcMar>
      </w:tcPr>
    </w:tblStylePr>
    <w:tblStylePr w:type="swCell">
      <w:tcPr>
        <w:tcMar>
          <w:top w:w="0.0" w:type="dxa"/>
          <w:left w:w="115.0" w:type="dxa"/>
          <w:bottom w:w="0.0" w:type="dxa"/>
          <w:right w:w="115.0" w:type="dxa"/>
        </w:tcMar>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footer" Target="footer2.xml"/><Relationship Id="rId2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edHatText-regular.ttf"/><Relationship Id="rId2" Type="http://schemas.openxmlformats.org/officeDocument/2006/relationships/font" Target="fonts/RedHatText-bold.ttf"/><Relationship Id="rId3" Type="http://schemas.openxmlformats.org/officeDocument/2006/relationships/font" Target="fonts/RedHatText-italic.ttf"/><Relationship Id="rId4" Type="http://schemas.openxmlformats.org/officeDocument/2006/relationships/font" Target="fonts/RedHat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