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1246" w14:textId="77777777" w:rsidR="00560DD6" w:rsidRDefault="00000000">
      <w:pPr>
        <w:spacing w:after="80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Email Summary</w:t>
      </w:r>
    </w:p>
    <w:p w14:paraId="0B47D330" w14:textId="77777777" w:rsidR="00560DD6" w:rsidRDefault="00000000">
      <w:pPr>
        <w:pBdr>
          <w:bottom w:val="single" w:sz="12" w:space="4" w:color="2E75B6"/>
        </w:pBdr>
        <w:spacing w:after="240"/>
      </w:pPr>
      <w:r>
        <w:rPr>
          <w:rFonts w:ascii="Arial" w:eastAsia="Arial" w:hAnsi="Arial" w:cs="Arial"/>
          <w:color w:val="2E75B6"/>
          <w:sz w:val="24"/>
          <w:szCs w:val="24"/>
        </w:rPr>
        <w:t>Aviation Acquisition – Synergy Model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560DD6" w14:paraId="3266A3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7E0D" w14:textId="77777777" w:rsidR="00560DD6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To: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999B" w14:textId="77777777" w:rsidR="00560DD6" w:rsidRDefault="00000000">
            <w:r>
              <w:rPr>
                <w:rFonts w:ascii="Arial" w:eastAsia="Arial" w:hAnsi="Arial" w:cs="Arial"/>
                <w:color w:val="000000"/>
              </w:rPr>
              <w:t>V (Supervisor)</w:t>
            </w:r>
          </w:p>
        </w:tc>
      </w:tr>
      <w:tr w:rsidR="00560DD6" w14:paraId="4E7BFAF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D1A9" w14:textId="77777777" w:rsidR="00560DD6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From: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0B7A" w14:textId="513CA7E8" w:rsidR="00560DD6" w:rsidRDefault="00000000">
            <w:r>
              <w:rPr>
                <w:rFonts w:ascii="Arial" w:eastAsia="Arial" w:hAnsi="Arial" w:cs="Arial"/>
                <w:color w:val="000000"/>
              </w:rPr>
              <w:t>[</w:t>
            </w:r>
            <w:r w:rsidR="00A568DF">
              <w:rPr>
                <w:rFonts w:ascii="Arial" w:eastAsia="Arial" w:hAnsi="Arial" w:cs="Arial"/>
                <w:color w:val="000000"/>
              </w:rPr>
              <w:t>Sushant Kumar Yadav</w:t>
            </w:r>
            <w:r>
              <w:rPr>
                <w:rFonts w:ascii="Arial" w:eastAsia="Arial" w:hAnsi="Arial" w:cs="Arial"/>
                <w:color w:val="000000"/>
              </w:rPr>
              <w:t>]</w:t>
            </w:r>
          </w:p>
        </w:tc>
      </w:tr>
      <w:tr w:rsidR="00560DD6" w14:paraId="074521F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F587" w14:textId="77777777" w:rsidR="00560DD6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Date: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E6D3" w14:textId="77777777" w:rsidR="00560DD6" w:rsidRDefault="00000000">
            <w:r>
              <w:rPr>
                <w:rFonts w:ascii="Arial" w:eastAsia="Arial" w:hAnsi="Arial" w:cs="Arial"/>
                <w:color w:val="000000"/>
              </w:rPr>
              <w:t>April 13, 2026</w:t>
            </w:r>
          </w:p>
        </w:tc>
      </w:tr>
      <w:tr w:rsidR="00560DD6" w14:paraId="40669A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D223" w14:textId="77777777" w:rsidR="00560DD6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Subject: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396B" w14:textId="77777777" w:rsidR="00560DD6" w:rsidRDefault="00000000">
            <w:r>
              <w:rPr>
                <w:rFonts w:ascii="Arial" w:eastAsia="Arial" w:hAnsi="Arial" w:cs="Arial"/>
                <w:color w:val="000000"/>
              </w:rPr>
              <w:t>Synergy Model – Aviation Acquisition (Summary + Attached)</w:t>
            </w:r>
          </w:p>
        </w:tc>
      </w:tr>
      <w:tr w:rsidR="00560DD6" w14:paraId="004A057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C565" w14:textId="77777777" w:rsidR="00560DD6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Attachment: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915B" w14:textId="77777777" w:rsidR="00560DD6" w:rsidRDefault="00000000">
            <w:r>
              <w:rPr>
                <w:rFonts w:ascii="Arial" w:eastAsia="Arial" w:hAnsi="Arial" w:cs="Arial"/>
                <w:color w:val="000000"/>
              </w:rPr>
              <w:t>aviation_synergy_model.xlsx</w:t>
            </w:r>
          </w:p>
        </w:tc>
      </w:tr>
    </w:tbl>
    <w:p w14:paraId="32C12D14" w14:textId="77777777" w:rsidR="00560DD6" w:rsidRDefault="00560DD6">
      <w:pPr>
        <w:spacing w:after="280"/>
      </w:pPr>
    </w:p>
    <w:p w14:paraId="37EB399A" w14:textId="77777777" w:rsidR="00560DD6" w:rsidRDefault="00000000">
      <w:pPr>
        <w:spacing w:after="160"/>
      </w:pPr>
      <w:r>
        <w:rPr>
          <w:rFonts w:ascii="Arial" w:eastAsia="Arial" w:hAnsi="Arial" w:cs="Arial"/>
          <w:sz w:val="22"/>
          <w:szCs w:val="22"/>
        </w:rPr>
        <w:t>Hi V,</w:t>
      </w:r>
    </w:p>
    <w:p w14:paraId="560D88EF" w14:textId="77777777" w:rsidR="00560DD6" w:rsidRDefault="00000000">
      <w:pPr>
        <w:spacing w:after="160"/>
      </w:pPr>
      <w:r>
        <w:rPr>
          <w:rFonts w:ascii="Arial" w:eastAsia="Arial" w:hAnsi="Arial" w:cs="Arial"/>
          <w:sz w:val="22"/>
          <w:szCs w:val="22"/>
        </w:rPr>
        <w:t>Please find the synergy model attached. Here is a summary of the key findings:</w:t>
      </w:r>
    </w:p>
    <w:p w14:paraId="604B174F" w14:textId="77777777" w:rsidR="00560DD6" w:rsidRDefault="00000000">
      <w:pPr>
        <w:pBdr>
          <w:bottom w:val="single" w:sz="4" w:space="2" w:color="D6E4F0"/>
        </w:pBd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Overview</w:t>
      </w:r>
    </w:p>
    <w:p w14:paraId="3BCA0D69" w14:textId="77777777" w:rsidR="00560DD6" w:rsidRDefault="00000000">
      <w:pPr>
        <w:spacing w:after="160"/>
      </w:pPr>
      <w:r>
        <w:rPr>
          <w:rFonts w:ascii="Arial" w:eastAsia="Arial" w:hAnsi="Arial" w:cs="Arial"/>
          <w:sz w:val="22"/>
          <w:szCs w:val="22"/>
        </w:rPr>
        <w:t>Based on the client data and Joe’s notes, total synergy potential for the target ranges from ~$9.95M (conservative) to ~$18.3M (aggressive), with a midpoint of ~$14.1M — representing approximately 10% to 18.3% of the target’s FY21 revenue of $100M.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920"/>
        <w:gridCol w:w="1920"/>
        <w:gridCol w:w="1920"/>
      </w:tblGrid>
      <w:tr w:rsidR="00560DD6" w14:paraId="0BAA84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5B92" w14:textId="77777777" w:rsidR="00560DD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D57F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Conservative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1A5E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Midpoint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4897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Aggressive</w:t>
            </w:r>
          </w:p>
        </w:tc>
      </w:tr>
      <w:tr w:rsidR="00560DD6" w14:paraId="7F69B5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0C96" w14:textId="77777777" w:rsidR="00560DD6" w:rsidRDefault="00000000">
            <w:r>
              <w:rPr>
                <w:rFonts w:ascii="Arial" w:eastAsia="Arial" w:hAnsi="Arial" w:cs="Arial"/>
                <w:color w:val="000000"/>
              </w:rPr>
              <w:t>Base Revenue ($m)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98CE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$100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E729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$100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DEF2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$100</w:t>
            </w:r>
          </w:p>
        </w:tc>
      </w:tr>
      <w:tr w:rsidR="00560DD6" w14:paraId="1C02D5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4D3B" w14:textId="77777777" w:rsidR="00560DD6" w:rsidRDefault="00000000">
            <w:r>
              <w:rPr>
                <w:rFonts w:ascii="Arial" w:eastAsia="Arial" w:hAnsi="Arial" w:cs="Arial"/>
                <w:color w:val="000000"/>
              </w:rPr>
              <w:t>Base EBIT ($m)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8F26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$5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7FEA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$5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2F6B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$5</w:t>
            </w:r>
          </w:p>
        </w:tc>
      </w:tr>
      <w:tr w:rsidR="00560DD6" w14:paraId="5CE0F7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F045" w14:textId="77777777" w:rsidR="00560DD6" w:rsidRDefault="00000000">
            <w:r>
              <w:rPr>
                <w:rFonts w:ascii="Arial" w:eastAsia="Arial" w:hAnsi="Arial" w:cs="Arial"/>
                <w:color w:val="000000"/>
              </w:rPr>
              <w:t>Total Revenue Synergies ($m)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63AE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$5.0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D12B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$7.5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38FC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$10.0</w:t>
            </w:r>
          </w:p>
        </w:tc>
      </w:tr>
      <w:tr w:rsidR="00560DD6" w14:paraId="7619AC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E4C2" w14:textId="77777777" w:rsidR="00560DD6" w:rsidRDefault="00000000">
            <w:r>
              <w:rPr>
                <w:rFonts w:ascii="Arial" w:eastAsia="Arial" w:hAnsi="Arial" w:cs="Arial"/>
                <w:color w:val="000000"/>
              </w:rPr>
              <w:t>Total Cost Synergies ($m)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B753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$4.95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C49E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$6.63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B697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$8.30</w:t>
            </w:r>
          </w:p>
        </w:tc>
      </w:tr>
      <w:tr w:rsidR="00560DD6" w14:paraId="10EDA7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F38C" w14:textId="77777777" w:rsidR="00560DD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TOTAL SYNERGIES ($m)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1F4C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$9.95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6D7E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$14.13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4E2B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$18.30</w:t>
            </w:r>
          </w:p>
        </w:tc>
      </w:tr>
      <w:tr w:rsidR="00560DD6" w14:paraId="4A182E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528D" w14:textId="77777777" w:rsidR="00560DD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Pro-Forma EBIT ($m)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993A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$14.95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3425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$19.13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1C79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$23.30</w:t>
            </w:r>
          </w:p>
        </w:tc>
      </w:tr>
      <w:tr w:rsidR="00560DD6" w14:paraId="158ED3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E3CA" w14:textId="77777777" w:rsidR="00560DD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Synergies as % of Revenue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90C1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10.0%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03D2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14.1%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629D" w14:textId="77777777" w:rsidR="00560DD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18.3%</w:t>
            </w:r>
          </w:p>
        </w:tc>
      </w:tr>
    </w:tbl>
    <w:p w14:paraId="2364784C" w14:textId="77777777" w:rsidR="00560DD6" w:rsidRDefault="00560DD6">
      <w:pPr>
        <w:spacing w:after="280"/>
      </w:pPr>
    </w:p>
    <w:p w14:paraId="6067CF9A" w14:textId="77777777" w:rsidR="00560DD6" w:rsidRDefault="00000000">
      <w:pPr>
        <w:pBdr>
          <w:bottom w:val="single" w:sz="4" w:space="2" w:color="D6E4F0"/>
        </w:pBd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Key Synergy Drivers</w:t>
      </w:r>
    </w:p>
    <w:p w14:paraId="0994388A" w14:textId="77777777" w:rsidR="00560DD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Revenue uplift (new routes / expanded network): $5.0M–$10.0M</w:t>
      </w:r>
    </w:p>
    <w:p w14:paraId="1649C7B3" w14:textId="77777777" w:rsidR="00560DD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Cost synergies: $4.95M–$8.30M, driven by:</w:t>
      </w:r>
    </w:p>
    <w:p w14:paraId="277ECF08" w14:textId="77777777" w:rsidR="00560DD6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G&amp;A / back-office savings: $1.00M–$2.50M</w:t>
      </w:r>
    </w:p>
    <w:p w14:paraId="46D937CE" w14:textId="77777777" w:rsidR="00560DD6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Fuel cost savings: $1.25M–$2.00M</w:t>
      </w:r>
    </w:p>
    <w:p w14:paraId="163EA1C5" w14:textId="77777777" w:rsidR="00560DD6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Aircraft lease savings: $1.20M–$1.60M</w:t>
      </w:r>
    </w:p>
    <w:p w14:paraId="7BD0C46D" w14:textId="77777777" w:rsidR="00560DD6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Maintenance savings: $1.00M–$1.20M</w:t>
      </w:r>
    </w:p>
    <w:p w14:paraId="130C7CD7" w14:textId="77777777" w:rsidR="00560DD6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Software / license savings: $0.50M–$1.00M</w:t>
      </w:r>
    </w:p>
    <w:p w14:paraId="611E05AB" w14:textId="77777777" w:rsidR="00560DD6" w:rsidRDefault="00560DD6">
      <w:pPr>
        <w:spacing w:after="160"/>
      </w:pPr>
    </w:p>
    <w:p w14:paraId="57CC487D" w14:textId="77777777" w:rsidR="00560DD6" w:rsidRDefault="00000000">
      <w:pPr>
        <w:pBdr>
          <w:bottom w:val="single" w:sz="4" w:space="2" w:color="D6E4F0"/>
        </w:pBd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Model Structure</w:t>
      </w:r>
    </w:p>
    <w:p w14:paraId="5305B54E" w14:textId="77777777" w:rsidR="00560DD6" w:rsidRDefault="00000000">
      <w:pPr>
        <w:spacing w:after="160"/>
      </w:pPr>
      <w:r>
        <w:rPr>
          <w:rFonts w:ascii="Arial" w:eastAsia="Arial" w:hAnsi="Arial" w:cs="Arial"/>
          <w:sz w:val="22"/>
          <w:szCs w:val="22"/>
        </w:rPr>
        <w:t>The attached model is structured across three tabs:</w:t>
      </w:r>
    </w:p>
    <w:p w14:paraId="1D095FA2" w14:textId="77777777" w:rsidR="00560DD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Assumptions – all input cells (blue) and changeable synergy % ranges (yellow). The partner can adjust any assumption directly here.</w:t>
      </w:r>
    </w:p>
    <w:p w14:paraId="0BA68BB8" w14:textId="77777777" w:rsidR="00560DD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Synergy Model – formula-driven calculations across all three scenarios for both revenue and cost synergy lines.</w:t>
      </w:r>
    </w:p>
    <w:p w14:paraId="0F4AB85C" w14:textId="77777777" w:rsidR="00560DD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Summary Dashboard – one-page overview pulling from the model for quick review.</w:t>
      </w:r>
    </w:p>
    <w:p w14:paraId="408F62D6" w14:textId="77777777" w:rsidR="00560DD6" w:rsidRDefault="00000000">
      <w:pPr>
        <w:spacing w:before="120" w:after="160"/>
      </w:pPr>
      <w:r>
        <w:rPr>
          <w:rFonts w:ascii="Arial" w:eastAsia="Arial" w:hAnsi="Arial" w:cs="Arial"/>
          <w:sz w:val="22"/>
          <w:szCs w:val="22"/>
        </w:rPr>
        <w:t>Pro-forma EBIT post-synergies moves from $5M (base) to $14.95M–$23.30M — a meaningful step-up from the target’s current 5% EBIT margin.</w:t>
      </w:r>
    </w:p>
    <w:p w14:paraId="57CF752C" w14:textId="77777777" w:rsidR="00560DD6" w:rsidRDefault="00000000">
      <w:pPr>
        <w:pBdr>
          <w:bottom w:val="single" w:sz="4" w:space="2" w:color="D6E4F0"/>
        </w:pBdr>
        <w:spacing w:before="200" w:after="10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Recommended Next Steps</w:t>
      </w:r>
    </w:p>
    <w:p w14:paraId="4CCEF31F" w14:textId="77777777" w:rsidR="00560DD6" w:rsidRDefault="00000000">
      <w:pPr>
        <w:pStyle w:val="ListParagraph"/>
        <w:numPr>
          <w:ilvl w:val="0"/>
          <w:numId w:val="4"/>
        </w:numPr>
        <w:spacing w:after="100"/>
      </w:pPr>
      <w:r>
        <w:rPr>
          <w:rFonts w:ascii="Arial" w:eastAsia="Arial" w:hAnsi="Arial" w:cs="Arial"/>
          <w:sz w:val="22"/>
          <w:szCs w:val="22"/>
        </w:rPr>
        <w:t>Validate synergy assumptions with the client’s operations and finance teams during due diligence.</w:t>
      </w:r>
    </w:p>
    <w:p w14:paraId="3A51D9CF" w14:textId="77777777" w:rsidR="00560DD6" w:rsidRDefault="00000000">
      <w:pPr>
        <w:pStyle w:val="ListParagraph"/>
        <w:numPr>
          <w:ilvl w:val="0"/>
          <w:numId w:val="4"/>
        </w:numPr>
        <w:spacing w:after="100"/>
      </w:pPr>
      <w:r>
        <w:rPr>
          <w:rFonts w:ascii="Arial" w:eastAsia="Arial" w:hAnsi="Arial" w:cs="Arial"/>
          <w:sz w:val="22"/>
          <w:szCs w:val="22"/>
        </w:rPr>
        <w:t>Assess achievability timeline — revenue synergies (new routes) typically require 12–18 months to realize; cost synergies can begin sooner.</w:t>
      </w:r>
    </w:p>
    <w:p w14:paraId="711DA31A" w14:textId="77777777" w:rsidR="00560DD6" w:rsidRDefault="00000000">
      <w:pPr>
        <w:pStyle w:val="ListParagraph"/>
        <w:numPr>
          <w:ilvl w:val="0"/>
          <w:numId w:val="4"/>
        </w:numPr>
        <w:spacing w:after="100"/>
      </w:pPr>
      <w:r>
        <w:rPr>
          <w:rFonts w:ascii="Arial" w:eastAsia="Arial" w:hAnsi="Arial" w:cs="Arial"/>
          <w:sz w:val="22"/>
          <w:szCs w:val="22"/>
        </w:rPr>
        <w:t>Stress-test the model with updated revenue and cost data once available from the target.</w:t>
      </w:r>
    </w:p>
    <w:p w14:paraId="19071289" w14:textId="77777777" w:rsidR="00560DD6" w:rsidRDefault="00560DD6">
      <w:pPr>
        <w:spacing w:after="240"/>
      </w:pPr>
    </w:p>
    <w:p w14:paraId="3F5ECF70" w14:textId="77777777" w:rsidR="00560DD6" w:rsidRDefault="00000000">
      <w:pPr>
        <w:spacing w:after="160"/>
      </w:pPr>
      <w:r>
        <w:rPr>
          <w:rFonts w:ascii="Arial" w:eastAsia="Arial" w:hAnsi="Arial" w:cs="Arial"/>
          <w:sz w:val="22"/>
          <w:szCs w:val="22"/>
        </w:rPr>
        <w:t>Happy to build on this model as more data comes in.</w:t>
      </w:r>
    </w:p>
    <w:p w14:paraId="3348C1F9" w14:textId="77777777" w:rsidR="00560DD6" w:rsidRDefault="00560DD6">
      <w:pPr>
        <w:spacing w:after="200"/>
      </w:pPr>
    </w:p>
    <w:p w14:paraId="09462F79" w14:textId="77777777" w:rsidR="00560DD6" w:rsidRDefault="00000000">
      <w:pPr>
        <w:spacing w:after="60"/>
      </w:pPr>
      <w:r>
        <w:rPr>
          <w:rFonts w:ascii="Arial" w:eastAsia="Arial" w:hAnsi="Arial" w:cs="Arial"/>
          <w:sz w:val="22"/>
          <w:szCs w:val="22"/>
        </w:rPr>
        <w:t>Best regards,</w:t>
      </w:r>
    </w:p>
    <w:p w14:paraId="6497E968" w14:textId="71DE748C" w:rsidR="00560DD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A568DF">
        <w:rPr>
          <w:rFonts w:ascii="Arial" w:eastAsia="Arial" w:hAnsi="Arial" w:cs="Arial"/>
          <w:b/>
          <w:bCs/>
          <w:sz w:val="22"/>
          <w:szCs w:val="22"/>
        </w:rPr>
        <w:t>Sushant Kumar Yadav</w:t>
      </w:r>
      <w:r>
        <w:rPr>
          <w:rFonts w:ascii="Arial" w:eastAsia="Arial" w:hAnsi="Arial" w:cs="Arial"/>
          <w:b/>
          <w:bCs/>
          <w:sz w:val="22"/>
          <w:szCs w:val="22"/>
        </w:rPr>
        <w:t>]</w:t>
      </w:r>
    </w:p>
    <w:p w14:paraId="32E21A51" w14:textId="77777777" w:rsidR="00560DD6" w:rsidRDefault="00000000">
      <w:pPr>
        <w:spacing w:after="60"/>
      </w:pPr>
      <w:r>
        <w:rPr>
          <w:rFonts w:ascii="Arial" w:eastAsia="Arial" w:hAnsi="Arial" w:cs="Arial"/>
          <w:color w:val="888888"/>
        </w:rPr>
        <w:t>PwC Aviation Practice</w:t>
      </w:r>
    </w:p>
    <w:sectPr w:rsidR="00560DD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047A7" w14:textId="77777777" w:rsidR="0050468E" w:rsidRDefault="0050468E">
      <w:r>
        <w:separator/>
      </w:r>
    </w:p>
  </w:endnote>
  <w:endnote w:type="continuationSeparator" w:id="0">
    <w:p w14:paraId="50A718D9" w14:textId="77777777" w:rsidR="0050468E" w:rsidRDefault="00504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10DF" w14:textId="77777777" w:rsidR="00560DD6" w:rsidRDefault="00000000">
    <w:pPr>
      <w:pBdr>
        <w:top w:val="single" w:sz="6" w:space="1" w:color="2E75B6"/>
      </w:pBd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A568DF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 |  PwC Job Simulation – Task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C32B0" w14:textId="77777777" w:rsidR="0050468E" w:rsidRDefault="0050468E">
      <w:r>
        <w:separator/>
      </w:r>
    </w:p>
  </w:footnote>
  <w:footnote w:type="continuationSeparator" w:id="0">
    <w:p w14:paraId="1A8598D7" w14:textId="77777777" w:rsidR="0050468E" w:rsidRDefault="00504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1984" w14:textId="77777777" w:rsidR="00560DD6" w:rsidRDefault="00000000">
    <w:pPr>
      <w:pBdr>
        <w:bottom w:val="single" w:sz="6" w:space="1" w:color="2E75B6"/>
      </w:pBdr>
    </w:pPr>
    <w:r>
      <w:rPr>
        <w:rFonts w:ascii="Arial" w:eastAsia="Arial" w:hAnsi="Arial" w:cs="Arial"/>
        <w:b/>
        <w:bCs/>
        <w:color w:val="2E75B6"/>
        <w:sz w:val="18"/>
        <w:szCs w:val="18"/>
      </w:rPr>
      <w:t>PwC Aviation Practice  |  Synergy Analysis Email</w:t>
    </w:r>
    <w:r>
      <w:rPr>
        <w:rFonts w:ascii="Arial" w:eastAsia="Arial" w:hAnsi="Arial" w:cs="Arial"/>
        <w:color w:val="999999"/>
        <w:sz w:val="18"/>
        <w:szCs w:val="18"/>
      </w:rPr>
      <w:t xml:space="preserve">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2AB4"/>
    <w:multiLevelType w:val="hybridMultilevel"/>
    <w:tmpl w:val="F66C1DC2"/>
    <w:lvl w:ilvl="0" w:tplc="F104A834">
      <w:start w:val="1"/>
      <w:numFmt w:val="bullet"/>
      <w:lvlText w:val="–"/>
      <w:lvlJc w:val="left"/>
      <w:pPr>
        <w:ind w:left="1080" w:hanging="360"/>
      </w:pPr>
    </w:lvl>
    <w:lvl w:ilvl="1" w:tplc="42FC1014">
      <w:numFmt w:val="decimal"/>
      <w:lvlText w:val=""/>
      <w:lvlJc w:val="left"/>
    </w:lvl>
    <w:lvl w:ilvl="2" w:tplc="4B2E94E8">
      <w:numFmt w:val="decimal"/>
      <w:lvlText w:val=""/>
      <w:lvlJc w:val="left"/>
    </w:lvl>
    <w:lvl w:ilvl="3" w:tplc="34785AF4">
      <w:numFmt w:val="decimal"/>
      <w:lvlText w:val=""/>
      <w:lvlJc w:val="left"/>
    </w:lvl>
    <w:lvl w:ilvl="4" w:tplc="CFDCA0AA">
      <w:numFmt w:val="decimal"/>
      <w:lvlText w:val=""/>
      <w:lvlJc w:val="left"/>
    </w:lvl>
    <w:lvl w:ilvl="5" w:tplc="11A2FA86">
      <w:numFmt w:val="decimal"/>
      <w:lvlText w:val=""/>
      <w:lvlJc w:val="left"/>
    </w:lvl>
    <w:lvl w:ilvl="6" w:tplc="9B0814B0">
      <w:numFmt w:val="decimal"/>
      <w:lvlText w:val=""/>
      <w:lvlJc w:val="left"/>
    </w:lvl>
    <w:lvl w:ilvl="7" w:tplc="E8EADF54">
      <w:numFmt w:val="decimal"/>
      <w:lvlText w:val=""/>
      <w:lvlJc w:val="left"/>
    </w:lvl>
    <w:lvl w:ilvl="8" w:tplc="3A1CAFCA">
      <w:numFmt w:val="decimal"/>
      <w:lvlText w:val=""/>
      <w:lvlJc w:val="left"/>
    </w:lvl>
  </w:abstractNum>
  <w:abstractNum w:abstractNumId="1" w15:restartNumberingAfterBreak="0">
    <w:nsid w:val="2E4703FB"/>
    <w:multiLevelType w:val="hybridMultilevel"/>
    <w:tmpl w:val="EB629364"/>
    <w:lvl w:ilvl="0" w:tplc="DFEA914C">
      <w:start w:val="1"/>
      <w:numFmt w:val="bullet"/>
      <w:lvlText w:val="•"/>
      <w:lvlJc w:val="left"/>
      <w:pPr>
        <w:ind w:left="720" w:hanging="360"/>
      </w:pPr>
    </w:lvl>
    <w:lvl w:ilvl="1" w:tplc="99B07F9C">
      <w:numFmt w:val="decimal"/>
      <w:lvlText w:val=""/>
      <w:lvlJc w:val="left"/>
    </w:lvl>
    <w:lvl w:ilvl="2" w:tplc="2642069E">
      <w:numFmt w:val="decimal"/>
      <w:lvlText w:val=""/>
      <w:lvlJc w:val="left"/>
    </w:lvl>
    <w:lvl w:ilvl="3" w:tplc="5E9616E2">
      <w:numFmt w:val="decimal"/>
      <w:lvlText w:val=""/>
      <w:lvlJc w:val="left"/>
    </w:lvl>
    <w:lvl w:ilvl="4" w:tplc="4D564E56">
      <w:numFmt w:val="decimal"/>
      <w:lvlText w:val=""/>
      <w:lvlJc w:val="left"/>
    </w:lvl>
    <w:lvl w:ilvl="5" w:tplc="9BD00C4C">
      <w:numFmt w:val="decimal"/>
      <w:lvlText w:val=""/>
      <w:lvlJc w:val="left"/>
    </w:lvl>
    <w:lvl w:ilvl="6" w:tplc="0D967350">
      <w:numFmt w:val="decimal"/>
      <w:lvlText w:val=""/>
      <w:lvlJc w:val="left"/>
    </w:lvl>
    <w:lvl w:ilvl="7" w:tplc="2A4E467C">
      <w:numFmt w:val="decimal"/>
      <w:lvlText w:val=""/>
      <w:lvlJc w:val="left"/>
    </w:lvl>
    <w:lvl w:ilvl="8" w:tplc="843A4DEE">
      <w:numFmt w:val="decimal"/>
      <w:lvlText w:val=""/>
      <w:lvlJc w:val="left"/>
    </w:lvl>
  </w:abstractNum>
  <w:abstractNum w:abstractNumId="2" w15:restartNumberingAfterBreak="0">
    <w:nsid w:val="47A42A21"/>
    <w:multiLevelType w:val="hybridMultilevel"/>
    <w:tmpl w:val="D4869624"/>
    <w:lvl w:ilvl="0" w:tplc="4CACBC1E">
      <w:start w:val="1"/>
      <w:numFmt w:val="decimal"/>
      <w:lvlText w:val="%1."/>
      <w:lvlJc w:val="left"/>
      <w:pPr>
        <w:ind w:left="720" w:hanging="360"/>
      </w:pPr>
    </w:lvl>
    <w:lvl w:ilvl="1" w:tplc="7FD6B268">
      <w:numFmt w:val="decimal"/>
      <w:lvlText w:val=""/>
      <w:lvlJc w:val="left"/>
    </w:lvl>
    <w:lvl w:ilvl="2" w:tplc="C9CE821A">
      <w:numFmt w:val="decimal"/>
      <w:lvlText w:val=""/>
      <w:lvlJc w:val="left"/>
    </w:lvl>
    <w:lvl w:ilvl="3" w:tplc="A27CD9D0">
      <w:numFmt w:val="decimal"/>
      <w:lvlText w:val=""/>
      <w:lvlJc w:val="left"/>
    </w:lvl>
    <w:lvl w:ilvl="4" w:tplc="7FA202AE">
      <w:numFmt w:val="decimal"/>
      <w:lvlText w:val=""/>
      <w:lvlJc w:val="left"/>
    </w:lvl>
    <w:lvl w:ilvl="5" w:tplc="276CAED8">
      <w:numFmt w:val="decimal"/>
      <w:lvlText w:val=""/>
      <w:lvlJc w:val="left"/>
    </w:lvl>
    <w:lvl w:ilvl="6" w:tplc="1760273E">
      <w:numFmt w:val="decimal"/>
      <w:lvlText w:val=""/>
      <w:lvlJc w:val="left"/>
    </w:lvl>
    <w:lvl w:ilvl="7" w:tplc="EFAAE0E8">
      <w:numFmt w:val="decimal"/>
      <w:lvlText w:val=""/>
      <w:lvlJc w:val="left"/>
    </w:lvl>
    <w:lvl w:ilvl="8" w:tplc="AB3CAA26">
      <w:numFmt w:val="decimal"/>
      <w:lvlText w:val=""/>
      <w:lvlJc w:val="left"/>
    </w:lvl>
  </w:abstractNum>
  <w:abstractNum w:abstractNumId="3" w15:restartNumberingAfterBreak="0">
    <w:nsid w:val="7B182836"/>
    <w:multiLevelType w:val="hybridMultilevel"/>
    <w:tmpl w:val="05060A2A"/>
    <w:lvl w:ilvl="0" w:tplc="45B8FD3E">
      <w:start w:val="1"/>
      <w:numFmt w:val="bullet"/>
      <w:lvlText w:val="●"/>
      <w:lvlJc w:val="left"/>
      <w:pPr>
        <w:ind w:left="720" w:hanging="360"/>
      </w:pPr>
    </w:lvl>
    <w:lvl w:ilvl="1" w:tplc="EE6E8596">
      <w:start w:val="1"/>
      <w:numFmt w:val="bullet"/>
      <w:lvlText w:val="○"/>
      <w:lvlJc w:val="left"/>
      <w:pPr>
        <w:ind w:left="1440" w:hanging="360"/>
      </w:pPr>
    </w:lvl>
    <w:lvl w:ilvl="2" w:tplc="44EA1E4E">
      <w:start w:val="1"/>
      <w:numFmt w:val="bullet"/>
      <w:lvlText w:val="■"/>
      <w:lvlJc w:val="left"/>
      <w:pPr>
        <w:ind w:left="2160" w:hanging="360"/>
      </w:pPr>
    </w:lvl>
    <w:lvl w:ilvl="3" w:tplc="FFCA7C5C">
      <w:start w:val="1"/>
      <w:numFmt w:val="bullet"/>
      <w:lvlText w:val="●"/>
      <w:lvlJc w:val="left"/>
      <w:pPr>
        <w:ind w:left="2880" w:hanging="360"/>
      </w:pPr>
    </w:lvl>
    <w:lvl w:ilvl="4" w:tplc="5AD6181C">
      <w:start w:val="1"/>
      <w:numFmt w:val="bullet"/>
      <w:lvlText w:val="○"/>
      <w:lvlJc w:val="left"/>
      <w:pPr>
        <w:ind w:left="3600" w:hanging="360"/>
      </w:pPr>
    </w:lvl>
    <w:lvl w:ilvl="5" w:tplc="506A5A66">
      <w:start w:val="1"/>
      <w:numFmt w:val="bullet"/>
      <w:lvlText w:val="■"/>
      <w:lvlJc w:val="left"/>
      <w:pPr>
        <w:ind w:left="4320" w:hanging="360"/>
      </w:pPr>
    </w:lvl>
    <w:lvl w:ilvl="6" w:tplc="63C29288">
      <w:start w:val="1"/>
      <w:numFmt w:val="bullet"/>
      <w:lvlText w:val="●"/>
      <w:lvlJc w:val="left"/>
      <w:pPr>
        <w:ind w:left="5040" w:hanging="360"/>
      </w:pPr>
    </w:lvl>
    <w:lvl w:ilvl="7" w:tplc="EC4E10AC">
      <w:start w:val="1"/>
      <w:numFmt w:val="bullet"/>
      <w:lvlText w:val="●"/>
      <w:lvlJc w:val="left"/>
      <w:pPr>
        <w:ind w:left="5760" w:hanging="360"/>
      </w:pPr>
    </w:lvl>
    <w:lvl w:ilvl="8" w:tplc="02968F5A">
      <w:start w:val="1"/>
      <w:numFmt w:val="bullet"/>
      <w:lvlText w:val="●"/>
      <w:lvlJc w:val="left"/>
      <w:pPr>
        <w:ind w:left="6480" w:hanging="360"/>
      </w:pPr>
    </w:lvl>
  </w:abstractNum>
  <w:num w:numId="1" w16cid:durableId="1396051464">
    <w:abstractNumId w:val="3"/>
    <w:lvlOverride w:ilvl="0">
      <w:startOverride w:val="1"/>
    </w:lvlOverride>
  </w:num>
  <w:num w:numId="2" w16cid:durableId="1445076537">
    <w:abstractNumId w:val="1"/>
    <w:lvlOverride w:ilvl="0">
      <w:startOverride w:val="1"/>
    </w:lvlOverride>
  </w:num>
  <w:num w:numId="3" w16cid:durableId="1911766294">
    <w:abstractNumId w:val="0"/>
    <w:lvlOverride w:ilvl="0">
      <w:startOverride w:val="1"/>
    </w:lvlOverride>
  </w:num>
  <w:num w:numId="4" w16cid:durableId="2983861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DD6"/>
    <w:rsid w:val="0050468E"/>
    <w:rsid w:val="00560DD6"/>
    <w:rsid w:val="006941F5"/>
    <w:rsid w:val="00A5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3F29"/>
  <w15:docId w15:val="{65D1BF67-3B86-46E3-AD61-F6D7A81E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SUSHANT YADAV</cp:lastModifiedBy>
  <cp:revision>2</cp:revision>
  <dcterms:created xsi:type="dcterms:W3CDTF">2026-04-13T15:22:00Z</dcterms:created>
  <dcterms:modified xsi:type="dcterms:W3CDTF">2026-04-13T15:32:00Z</dcterms:modified>
</cp:coreProperties>
</file>