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2"/>
          <w:szCs w:val="52"/>
        </w:rPr>
        <w:t xml:space="preserve">Microsoft Corporation</w:t>
      </w:r>
    </w:p>
    <w:p>
      <w:pPr>
        <w:pBdr>
          <w:bottom w:val="single" w:color="1F4E79" w:sz="6" w:space="6"/>
        </w:pBdr>
        <w:spacing w:after="60"/>
      </w:pPr>
      <w:r>
        <w:rPr>
          <w:rFonts w:ascii="Arial" w:cs="Arial" w:eastAsia="Arial" w:hAnsi="Arial"/>
          <w:b w:val="false"/>
          <w:bCs w:val="false"/>
          <w:color w:val="2E75B6"/>
          <w:sz w:val="36"/>
          <w:szCs w:val="36"/>
        </w:rPr>
        <w:t xml:space="preserve">FY2025 Business Summary Report</w:t>
      </w:r>
    </w:p>
    <w:p>
      <w:pPr>
        <w:spacing w:after="480"/>
      </w:pPr>
      <w:r>
        <w:rPr>
          <w:rFonts w:ascii="Arial" w:cs="Arial" w:eastAsia="Arial" w:hAnsi="Arial"/>
          <w:i/>
          <w:iCs/>
          <w:color w:val="595959"/>
          <w:sz w:val="20"/>
          <w:szCs w:val="20"/>
        </w:rPr>
        <w:t xml:space="preserve">Fiscal Year Ended June 30, 2025     |     As of July 30, 2025</w:t>
      </w:r>
    </w:p>
    <w:p>
      <w:pPr>
        <w:pStyle w:val="Heading1"/>
        <w:pBdr>
          <w:bottom w:val="single" w:color="1F4E79" w:sz="4" w:space="4"/>
        </w:pBdr>
        <w:spacing w:after="120" w:before="360"/>
      </w:pPr>
      <w:r>
        <w:rPr>
          <w:rFonts w:ascii="Arial" w:cs="Arial" w:eastAsia="Arial" w:hAnsi="Arial"/>
          <w:b/>
          <w:bCs/>
          <w:color w:val="1F4E79"/>
          <w:sz w:val="28"/>
          <w:szCs w:val="28"/>
        </w:rPr>
        <w:t xml:space="preserve">1. Corporate Profile</w:t>
      </w:r>
    </w:p>
    <w:p>
      <w:pPr>
        <w:pStyle w:val="Heading2"/>
        <w:spacing w:after="80" w:before="240"/>
      </w:pPr>
      <w:r>
        <w:rPr>
          <w:rFonts w:ascii="Arial" w:cs="Arial" w:eastAsia="Arial" w:hAnsi="Arial"/>
          <w:b/>
          <w:bCs/>
          <w:color w:val="2E75B6"/>
          <w:sz w:val="24"/>
          <w:szCs w:val="24"/>
        </w:rPr>
        <w:t xml:space="preserve">Mission and Global Presence</w:t>
      </w:r>
    </w:p>
    <w:p>
      <w:pPr>
        <w:spacing w:after="100"/>
      </w:pPr>
      <w:r>
        <w:rPr>
          <w:rFonts w:ascii="Arial" w:cs="Arial" w:eastAsia="Arial" w:hAnsi="Arial"/>
          <w:sz w:val="22"/>
          <w:szCs w:val="22"/>
        </w:rPr>
        <w:t xml:space="preserve">Microsoft Corporation is a global technology provider headquartered at One Microsoft Way, Redmond, Washington. The company's mission is to empower every person and every organization on the planet to achieve more. Microsoft develops, licenses, and supports a broad portfolio of software, services, devices, and solutions, with an increasing strategic focus on the broad and responsible distribution of artificial intelligence (AI) across its technology stack.</w:t>
      </w:r>
    </w:p>
    <w:p>
      <w:pPr>
        <w:pStyle w:val="Heading2"/>
        <w:spacing w:after="80" w:before="240"/>
      </w:pPr>
      <w:r>
        <w:rPr>
          <w:rFonts w:ascii="Arial" w:cs="Arial" w:eastAsia="Arial" w:hAnsi="Arial"/>
          <w:b/>
          <w:bCs/>
          <w:color w:val="2E75B6"/>
          <w:sz w:val="24"/>
          <w:szCs w:val="24"/>
        </w:rPr>
        <w:t xml:space="preserve">Reportable Segments</w:t>
      </w:r>
    </w:p>
    <w:p>
      <w:pPr>
        <w:spacing w:after="100"/>
      </w:pPr>
      <w:r>
        <w:rPr>
          <w:rFonts w:ascii="Arial" w:cs="Arial" w:eastAsia="Arial" w:hAnsi="Arial"/>
          <w:sz w:val="22"/>
          <w:szCs w:val="22"/>
        </w:rPr>
        <w:t xml:space="preserve">In August 2024, Microsoft implemented a segment restructuring to align with current management and resource allocation practices, integrating commercial components of Microsoft 365 into the Productivity and Business Processes segment. The three reportable segments are:</w:t>
      </w:r>
    </w:p>
    <w:p>
      <w:pPr>
        <w:spacing w:after="60"/>
      </w:pPr>
    </w:p>
    <w:p>
      <w:pPr>
        <w:pStyle w:val="ListParagraph"/>
        <w:numPr>
          <w:ilvl w:val="0"/>
          <w:numId w:val="2"/>
        </w:numPr>
        <w:spacing w:after="80"/>
      </w:pPr>
      <w:r>
        <w:rPr>
          <w:rFonts w:ascii="Arial" w:cs="Arial" w:eastAsia="Arial" w:hAnsi="Arial"/>
          <w:sz w:val="22"/>
          <w:szCs w:val="22"/>
        </w:rPr>
        <w:t xml:space="preserve">Productivity and Business Processes — Encompasses Microsoft 365 Commercial, Microsoft 365 Consumer, LinkedIn, and Dynamics business solutions.</w:t>
      </w:r>
    </w:p>
    <w:p>
      <w:pPr>
        <w:pStyle w:val="ListParagraph"/>
        <w:numPr>
          <w:ilvl w:val="0"/>
          <w:numId w:val="2"/>
        </w:numPr>
        <w:spacing w:after="80"/>
      </w:pPr>
      <w:r>
        <w:rPr>
          <w:rFonts w:ascii="Arial" w:cs="Arial" w:eastAsia="Arial" w:hAnsi="Arial"/>
          <w:sz w:val="22"/>
          <w:szCs w:val="22"/>
        </w:rPr>
        <w:t xml:space="preserve">Intelligent Cloud — Consists of Azure and other cloud services, SQL Server, Windows Server, Visual Studio, GitHub, and Nuance.</w:t>
      </w:r>
    </w:p>
    <w:p>
      <w:pPr>
        <w:pStyle w:val="ListParagraph"/>
        <w:numPr>
          <w:ilvl w:val="0"/>
          <w:numId w:val="2"/>
        </w:numPr>
        <w:spacing w:after="80"/>
      </w:pPr>
      <w:r>
        <w:rPr>
          <w:rFonts w:ascii="Arial" w:cs="Arial" w:eastAsia="Arial" w:hAnsi="Arial"/>
          <w:sz w:val="22"/>
          <w:szCs w:val="22"/>
        </w:rPr>
        <w:t xml:space="preserve">More Personal Computing — Includes Windows OEM licensing, Surface devices, Xbox Gaming (including Activision Blizzard), and Search/news advertising (Bing, Edge, Copilot).</w:t>
      </w:r>
    </w:p>
    <w:p>
      <w:pPr>
        <w:spacing w:after="200"/>
      </w:pPr>
    </w:p>
    <w:p>
      <w:pPr>
        <w:pStyle w:val="Heading1"/>
        <w:pBdr>
          <w:bottom w:val="single" w:color="1F4E79" w:sz="4" w:space="4"/>
        </w:pBdr>
        <w:spacing w:after="120" w:before="360"/>
      </w:pPr>
      <w:r>
        <w:rPr>
          <w:rFonts w:ascii="Arial" w:cs="Arial" w:eastAsia="Arial" w:hAnsi="Arial"/>
          <w:b/>
          <w:bCs/>
          <w:color w:val="1F4E79"/>
          <w:sz w:val="28"/>
          <w:szCs w:val="28"/>
        </w:rPr>
        <w:t xml:space="preserve">2. Consolidated Financial Summary</w:t>
      </w:r>
    </w:p>
    <w:p>
      <w:pPr>
        <w:spacing w:after="100"/>
      </w:pPr>
      <w:r>
        <w:rPr>
          <w:rFonts w:ascii="Arial" w:cs="Arial" w:eastAsia="Arial" w:hAnsi="Arial"/>
          <w:sz w:val="22"/>
          <w:szCs w:val="22"/>
        </w:rPr>
        <w:t xml:space="preserve">The table below presents key consolidated financial metrics for fiscal years 2023 through 2025 (USD Millions). EBITDA is calculated as Operating Income plus Depreciation, Amortization, and Other from the Cash Flows statement.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FY2023</w:t>
            </w:r>
          </w:p>
        </w:tc>
        <w:tc>
          <w:tcPr>
            <w:tcW w:type="dxa" w:w="2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FY2024</w:t>
            </w:r>
          </w:p>
        </w:tc>
        <w:tc>
          <w:tcPr>
            <w:tcW w:type="dxa" w:w="2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FY2025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Total Revenue ($M)</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211,915</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245,122</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281,724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Cost of Revenue ($M)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65,863</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74,114</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87,831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SG&amp;A ($M)</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30,334</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32,065</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32,877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EBITDA ($M)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102,384</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131,720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162,681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EBITDA Margin (%)</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48.3%</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53.7%</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57.7%</w:t>
            </w:r>
          </w:p>
        </w:tc>
      </w:tr>
    </w:tbl>
    <w:p>
      <w:pPr>
        <w:spacing w:after="240" w:before="80"/>
      </w:pPr>
      <w:r>
        <w:rPr>
          <w:rFonts w:ascii="Arial" w:cs="Arial" w:eastAsia="Arial" w:hAnsi="Arial"/>
          <w:i/>
          <w:iCs/>
          <w:color w:val="595959"/>
          <w:sz w:val="18"/>
          <w:szCs w:val="18"/>
        </w:rPr>
        <w:t xml:space="preserve">Note: SG&amp;A = Sales &amp; Marketing + General &amp; Administrative. FY2026 data not available in the FY2025 10-K filing.</w:t>
      </w:r>
    </w:p>
    <w:p>
      <w:pPr>
        <w:pStyle w:val="Heading1"/>
        <w:pBdr>
          <w:bottom w:val="single" w:color="1F4E79" w:sz="4" w:space="4"/>
        </w:pBdr>
        <w:spacing w:after="120" w:before="360"/>
      </w:pPr>
      <w:r>
        <w:rPr>
          <w:rFonts w:ascii="Arial" w:cs="Arial" w:eastAsia="Arial" w:hAnsi="Arial"/>
          <w:b/>
          <w:bCs/>
          <w:color w:val="1F4E79"/>
          <w:sz w:val="28"/>
          <w:szCs w:val="28"/>
        </w:rPr>
        <w:t xml:space="preserve">3. Strategic Product Portfolio &amp; Market Position</w:t>
      </w:r>
    </w:p>
    <w:p>
      <w:pPr>
        <w:pStyle w:val="Heading2"/>
        <w:spacing w:after="80" w:before="240"/>
      </w:pPr>
      <w:r>
        <w:rPr>
          <w:rFonts w:ascii="Arial" w:cs="Arial" w:eastAsia="Arial" w:hAnsi="Arial"/>
          <w:b/>
          <w:bCs/>
          <w:color w:val="2E75B6"/>
          <w:sz w:val="24"/>
          <w:szCs w:val="24"/>
        </w:rPr>
        <w:t xml:space="preserve">Cloud and Infrastructure</w:t>
      </w:r>
    </w:p>
    <w:p>
      <w:pPr>
        <w:spacing w:after="100"/>
      </w:pPr>
      <w:r>
        <w:rPr>
          <w:rFonts w:ascii="Arial" w:cs="Arial" w:eastAsia="Arial" w:hAnsi="Arial"/>
          <w:sz w:val="22"/>
          <w:szCs w:val="22"/>
        </w:rPr>
        <w:t xml:space="preserve">Azure is the central offering within the Intelligent Cloud segment, providing a comprehensive suite of cloud services including AI, computing, networking, and storage. Azure and other cloud services revenue expanded by 34% in FY2025, driven by significant demand for consumption-based services and AI offerings. The platform continues to leverage its global scale and hybrid consistency to serve businesses of all sizes.</w:t>
      </w:r>
    </w:p>
    <w:p>
      <w:pPr>
        <w:pStyle w:val="Heading2"/>
        <w:spacing w:after="80" w:before="240"/>
      </w:pPr>
      <w:r>
        <w:rPr>
          <w:rFonts w:ascii="Arial" w:cs="Arial" w:eastAsia="Arial" w:hAnsi="Arial"/>
          <w:b/>
          <w:bCs/>
          <w:color w:val="2E75B6"/>
          <w:sz w:val="24"/>
          <w:szCs w:val="24"/>
        </w:rPr>
        <w:t xml:space="preserve">Productivity and Business Solutions</w:t>
      </w:r>
    </w:p>
    <w:p>
      <w:pPr>
        <w:spacing w:after="100"/>
      </w:pPr>
      <w:r>
        <w:rPr>
          <w:rFonts w:ascii="Arial" w:cs="Arial" w:eastAsia="Arial" w:hAnsi="Arial"/>
          <w:sz w:val="22"/>
          <w:szCs w:val="22"/>
        </w:rPr>
        <w:t xml:space="preserve">The Microsoft 365 suite remains the primary productivity platform for commercial and consumer markets, reaching 89.0 million Microsoft 365 Consumer subscribers by end of FY2025. LinkedIn delivered 9% revenue growth across all business lines, including Talent Solutions and Marketing Solutions, contributing $1.4 billion in total revenue expansion during the fiscal year.</w:t>
      </w:r>
    </w:p>
    <w:p>
      <w:pPr>
        <w:pStyle w:val="Heading2"/>
        <w:spacing w:after="80" w:before="240"/>
      </w:pPr>
      <w:r>
        <w:rPr>
          <w:rFonts w:ascii="Arial" w:cs="Arial" w:eastAsia="Arial" w:hAnsi="Arial"/>
          <w:b/>
          <w:bCs/>
          <w:color w:val="2E75B6"/>
          <w:sz w:val="24"/>
          <w:szCs w:val="24"/>
        </w:rPr>
        <w:t xml:space="preserve">Business Applications</w:t>
      </w:r>
    </w:p>
    <w:p>
      <w:pPr>
        <w:spacing w:after="100"/>
      </w:pPr>
      <w:r>
        <w:rPr>
          <w:rFonts w:ascii="Arial" w:cs="Arial" w:eastAsia="Arial" w:hAnsi="Arial"/>
          <w:sz w:val="22"/>
          <w:szCs w:val="22"/>
        </w:rPr>
        <w:t xml:space="preserve">Dynamics 365 continued its growth trajectory with 19% revenue expansion in FY2025, transitioning into a unified set of cloud-based intelligent applications across ERP, CRM, and low-code platforms (Power Apps and Power Automate), facilitating digital transformation through AI-enabled insights.</w:t>
      </w:r>
    </w:p>
    <w:p>
      <w:pPr>
        <w:pStyle w:val="Heading2"/>
        <w:spacing w:after="80" w:before="240"/>
      </w:pPr>
      <w:r>
        <w:rPr>
          <w:rFonts w:ascii="Arial" w:cs="Arial" w:eastAsia="Arial" w:hAnsi="Arial"/>
          <w:b/>
          <w:bCs/>
          <w:color w:val="2E75B6"/>
          <w:sz w:val="24"/>
          <w:szCs w:val="24"/>
        </w:rPr>
        <w:t xml:space="preserve">Gaming and Hardware</w:t>
      </w:r>
    </w:p>
    <w:p>
      <w:pPr>
        <w:spacing w:after="100"/>
      </w:pPr>
      <w:r>
        <w:rPr>
          <w:rFonts w:ascii="Arial" w:cs="Arial" w:eastAsia="Arial" w:hAnsi="Arial"/>
          <w:sz w:val="22"/>
          <w:szCs w:val="22"/>
        </w:rPr>
        <w:t xml:space="preserve">The Gaming segment was substantially expanded by the acquisition of Activision Blizzard (closed October 2023), contributing to a 16% increase in Xbox content and services revenue. Xbox hardware revenue declined 25% due to lower console volumes; however, the company continues to invest in first-party studios and the Xbox Game Pass subscription ecosystem across PC, console, and mobile.</w:t>
      </w:r>
    </w:p>
    <w:p>
      <w:pPr>
        <w:pStyle w:val="Heading1"/>
        <w:pBdr>
          <w:bottom w:val="single" w:color="1F4E79" w:sz="4" w:space="4"/>
        </w:pBdr>
        <w:spacing w:after="120" w:before="360"/>
      </w:pPr>
      <w:r>
        <w:rPr>
          <w:rFonts w:ascii="Arial" w:cs="Arial" w:eastAsia="Arial" w:hAnsi="Arial"/>
          <w:b/>
          <w:bCs/>
          <w:color w:val="1F4E79"/>
          <w:sz w:val="28"/>
          <w:szCs w:val="28"/>
        </w:rPr>
        <w:t xml:space="preserve">4. Executive Leadership</w:t>
      </w:r>
    </w:p>
    <w:p>
      <w:pPr>
        <w:spacing w:after="100"/>
      </w:pPr>
      <w:r>
        <w:rPr>
          <w:rFonts w:ascii="Arial" w:cs="Arial" w:eastAsia="Arial" w:hAnsi="Arial"/>
          <w:sz w:val="22"/>
          <w:szCs w:val="22"/>
        </w:rPr>
        <w:t xml:space="preserve">Executive Officers as of July 30, 2025:</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60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w:t>
            </w:r>
          </w:p>
        </w:tc>
        <w:tc>
          <w:tcPr>
            <w:tcW w:type="dxa" w:w="6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Satya Nadella</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57</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Chairman and Chief Executive Officer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Amy E. Hood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Executive Vice President and Chief Financial Officer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Bradford L. Smith</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66</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Vice Chair and President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Judson B. Althoff</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Executive Vice President and Chief Commercial Officer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Amy L. Coleman</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53</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Executive Vice President and Chief Human Resources Officer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Kathleen T. Hogan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Executive Vice President, Office of Strategy and Transformation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Takeshi Numoto</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54</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Executive Vice President and Chief Marketing Officer</w:t>
            </w:r>
          </w:p>
        </w:tc>
      </w:tr>
    </w:tbl>
    <w:p>
      <w:pPr>
        <w:spacing w:after="240"/>
      </w:pPr>
    </w:p>
    <w:p>
      <w:pPr>
        <w:pStyle w:val="Heading1"/>
        <w:pBdr>
          <w:bottom w:val="single" w:color="1F4E79" w:sz="4" w:space="4"/>
        </w:pBdr>
        <w:spacing w:after="120" w:before="360"/>
      </w:pPr>
      <w:r>
        <w:rPr>
          <w:rFonts w:ascii="Arial" w:cs="Arial" w:eastAsia="Arial" w:hAnsi="Arial"/>
          <w:b/>
          <w:bCs/>
          <w:color w:val="1F4E79"/>
          <w:sz w:val="28"/>
          <w:szCs w:val="28"/>
        </w:rPr>
        <w:t xml:space="preserve">5. Chronological Strategic Developments</w:t>
      </w:r>
    </w:p>
    <w:p>
      <w:pPr>
        <w:pStyle w:val="ListParagraph"/>
        <w:numPr>
          <w:ilvl w:val="0"/>
          <w:numId w:val="2"/>
        </w:numPr>
        <w:spacing w:after="80"/>
      </w:pPr>
      <w:r>
        <w:rPr>
          <w:rFonts w:ascii="Arial" w:cs="Arial" w:eastAsia="Arial" w:hAnsi="Arial"/>
          <w:sz w:val="22"/>
          <w:szCs w:val="22"/>
        </w:rPr>
        <w:t xml:space="preserve">October 2023 — Completion of the Activision Blizzard, Inc. acquisition for a total purchase price of $75.4 billion.</w:t>
      </w:r>
    </w:p>
    <w:p>
      <w:pPr>
        <w:pStyle w:val="ListParagraph"/>
        <w:numPr>
          <w:ilvl w:val="0"/>
          <w:numId w:val="2"/>
        </w:numPr>
        <w:spacing w:after="80"/>
      </w:pPr>
      <w:r>
        <w:rPr>
          <w:rFonts w:ascii="Arial" w:cs="Arial" w:eastAsia="Arial" w:hAnsi="Arial"/>
          <w:sz w:val="22"/>
          <w:szCs w:val="22"/>
        </w:rPr>
        <w:t xml:space="preserve">August 2024 — Microsoft announces changes to its reportable segments, moving commercial components of Microsoft 365 into the Productivity and Business Processes segment.</w:t>
      </w:r>
    </w:p>
    <w:p>
      <w:pPr>
        <w:pStyle w:val="ListParagraph"/>
        <w:numPr>
          <w:ilvl w:val="0"/>
          <w:numId w:val="2"/>
        </w:numPr>
        <w:spacing w:after="80"/>
      </w:pPr>
      <w:r>
        <w:rPr>
          <w:rFonts w:ascii="Arial" w:cs="Arial" w:eastAsia="Arial" w:hAnsi="Arial"/>
          <w:sz w:val="22"/>
          <w:szCs w:val="22"/>
        </w:rPr>
        <w:t xml:space="preserve">October 2024 — The Irish Data Protection Commission (IDPC) issues a final decision alleging GDPR violations and assessing a fine against LinkedIn regarding advertising practices.</w:t>
      </w:r>
    </w:p>
    <w:p>
      <w:pPr>
        <w:pStyle w:val="ListParagraph"/>
        <w:numPr>
          <w:ilvl w:val="0"/>
          <w:numId w:val="2"/>
        </w:numPr>
        <w:spacing w:after="80"/>
      </w:pPr>
      <w:r>
        <w:rPr>
          <w:rFonts w:ascii="Arial" w:cs="Arial" w:eastAsia="Arial" w:hAnsi="Arial"/>
          <w:sz w:val="22"/>
          <w:szCs w:val="22"/>
        </w:rPr>
        <w:t xml:space="preserve">November 2024 — LinkedIn files an appeal of the IDPC final decision in the Irish courts.</w:t>
      </w:r>
    </w:p>
    <w:p>
      <w:pPr>
        <w:pStyle w:val="ListParagraph"/>
        <w:numPr>
          <w:ilvl w:val="0"/>
          <w:numId w:val="2"/>
        </w:numPr>
        <w:spacing w:after="80"/>
      </w:pPr>
      <w:r>
        <w:rPr>
          <w:rFonts w:ascii="Arial" w:cs="Arial" w:eastAsia="Arial" w:hAnsi="Arial"/>
          <w:sz w:val="22"/>
          <w:szCs w:val="22"/>
        </w:rPr>
        <w:t xml:space="preserve">July 4, 2025 — Enactment of the One Big Beautiful Bill Act (OBBBA) tax law.</w:t>
      </w:r>
    </w:p>
    <w:p>
      <w:pPr>
        <w:pStyle w:val="ListParagraph"/>
        <w:numPr>
          <w:ilvl w:val="0"/>
          <w:numId w:val="2"/>
        </w:numPr>
        <w:spacing w:after="80"/>
      </w:pPr>
      <w:r>
        <w:rPr>
          <w:rFonts w:ascii="Arial" w:cs="Arial" w:eastAsia="Arial" w:hAnsi="Arial"/>
          <w:sz w:val="22"/>
          <w:szCs w:val="22"/>
        </w:rPr>
        <w:t xml:space="preserve">July 2025 — Microsoft reports FY25 results, highlighting 15% revenue growth and 17% operating income growth.</w:t>
      </w:r>
    </w:p>
    <w:p>
      <w:pPr>
        <w:pStyle w:val="ListParagraph"/>
        <w:numPr>
          <w:ilvl w:val="0"/>
          <w:numId w:val="2"/>
        </w:numPr>
        <w:spacing w:after="80"/>
      </w:pPr>
      <w:r>
        <w:rPr>
          <w:rFonts w:ascii="Arial" w:cs="Arial" w:eastAsia="Arial" w:hAnsi="Arial"/>
          <w:sz w:val="22"/>
          <w:szCs w:val="22"/>
        </w:rPr>
        <w:t xml:space="preserve">December 2025 — Scheduled date for the next hearing regarding the LinkedIn IDPC appeal.</w:t>
      </w:r>
    </w:p>
    <w:p>
      <w:pPr>
        <w:spacing w:after="200"/>
      </w:pPr>
    </w:p>
    <w:p>
      <w:pPr>
        <w:pStyle w:val="Heading1"/>
        <w:pBdr>
          <w:bottom w:val="single" w:color="1F4E79" w:sz="4" w:space="4"/>
        </w:pBdr>
        <w:spacing w:after="120" w:before="360"/>
      </w:pPr>
      <w:r>
        <w:rPr>
          <w:rFonts w:ascii="Arial" w:cs="Arial" w:eastAsia="Arial" w:hAnsi="Arial"/>
          <w:b/>
          <w:bCs/>
          <w:color w:val="1F4E79"/>
          <w:sz w:val="28"/>
          <w:szCs w:val="28"/>
        </w:rPr>
        <w:t xml:space="preserve">6. Management Consulting Takeaways</w:t>
      </w:r>
    </w:p>
    <w:p>
      <w:pPr>
        <w:pStyle w:val="Heading2"/>
        <w:spacing w:after="80" w:before="240"/>
      </w:pPr>
      <w:r>
        <w:rPr>
          <w:rFonts w:ascii="Arial" w:cs="Arial" w:eastAsia="Arial" w:hAnsi="Arial"/>
          <w:b/>
          <w:bCs/>
          <w:color w:val="2E75B6"/>
          <w:sz w:val="24"/>
          <w:szCs w:val="24"/>
        </w:rPr>
        <w:t xml:space="preserve">Financial Resilience</w:t>
      </w:r>
    </w:p>
    <w:p>
      <w:pPr>
        <w:spacing w:after="100"/>
      </w:pPr>
      <w:r>
        <w:rPr>
          <w:rFonts w:ascii="Arial" w:cs="Arial" w:eastAsia="Arial" w:hAnsi="Arial"/>
          <w:sz w:val="22"/>
          <w:szCs w:val="22"/>
        </w:rPr>
        <w:t xml:space="preserve">Microsoft maintains high liquidity, ending FY2025 with $94.6 billion in cash, cash equivalents, and short-term investments. This strong capital position allows the firm to support massive infrastructure expansion while returning significant value to shareholders — the company returned $9.4 billion in Q4 FY2025 alone through share repurchases and dividends.</w:t>
      </w:r>
    </w:p>
    <w:p>
      <w:pPr>
        <w:pStyle w:val="Heading2"/>
        <w:spacing w:after="80" w:before="240"/>
      </w:pPr>
      <w:r>
        <w:rPr>
          <w:rFonts w:ascii="Arial" w:cs="Arial" w:eastAsia="Arial" w:hAnsi="Arial"/>
          <w:b/>
          <w:bCs/>
          <w:color w:val="2E75B6"/>
          <w:sz w:val="24"/>
          <w:szCs w:val="24"/>
        </w:rPr>
        <w:t xml:space="preserve">AI Scaling &amp; Infrastructure</w:t>
      </w:r>
    </w:p>
    <w:p>
      <w:pPr>
        <w:spacing w:after="100"/>
      </w:pPr>
      <w:r>
        <w:rPr>
          <w:rFonts w:ascii="Arial" w:cs="Arial" w:eastAsia="Arial" w:hAnsi="Arial"/>
          <w:sz w:val="22"/>
          <w:szCs w:val="22"/>
        </w:rPr>
        <w:t xml:space="preserve">To meet the surge in demand for AI services, Microsoft has dramatically increased its capital intensity. The company reported $204.9 billion in net Property and Equipment, with $32.1 billion currently committed to datacenter and building construction. The Secure Future Initiative (SFI) oversees this expansion, prioritizing "Secure by Design" and "Secure Operations" as corporate priorities to ensure infrastructure resiliency.</w:t>
      </w:r>
    </w:p>
    <w:p>
      <w:pPr>
        <w:pStyle w:val="Heading2"/>
        <w:spacing w:after="80" w:before="240"/>
      </w:pPr>
      <w:r>
        <w:rPr>
          <w:rFonts w:ascii="Arial" w:cs="Arial" w:eastAsia="Arial" w:hAnsi="Arial"/>
          <w:b/>
          <w:bCs/>
          <w:color w:val="2E75B6"/>
          <w:sz w:val="24"/>
          <w:szCs w:val="24"/>
        </w:rPr>
        <w:t xml:space="preserve">Risk Watch</w:t>
      </w:r>
    </w:p>
    <w:p>
      <w:pPr>
        <w:pStyle w:val="ListParagraph"/>
        <w:numPr>
          <w:ilvl w:val="0"/>
          <w:numId w:val="2"/>
        </w:numPr>
        <w:spacing w:after="80"/>
      </w:pPr>
      <w:r>
        <w:rPr>
          <w:rFonts w:ascii="Arial" w:cs="Arial" w:eastAsia="Arial" w:hAnsi="Arial"/>
          <w:sz w:val="22"/>
          <w:szCs w:val="22"/>
        </w:rPr>
        <w:t xml:space="preserve">IRS Transfer Pricing Dispute — Microsoft is contesting Notices of Proposed Adjustment (NOPAs) from the IRS for tax years 2004–2013. The IRS is seeking an additional $28.9 billion plus penalties and interest regarding intercompany transfer pricing.</w:t>
      </w:r>
    </w:p>
    <w:p>
      <w:pPr>
        <w:pStyle w:val="ListParagraph"/>
        <w:numPr>
          <w:ilvl w:val="0"/>
          <w:numId w:val="2"/>
        </w:numPr>
        <w:spacing w:after="80"/>
      </w:pPr>
      <w:r>
        <w:rPr>
          <w:rFonts w:ascii="Arial" w:cs="Arial" w:eastAsia="Arial" w:hAnsi="Arial"/>
          <w:sz w:val="22"/>
          <w:szCs w:val="22"/>
        </w:rPr>
        <w:t xml:space="preserve">OBBBA Tax Law Impact — Enactment of the OBBBA on July 4, 2025 introduces a U.S. global intangible low-taxed income effective tax rate of 14% starting in FY2027, with additional provisions for expensing U.S. research and experimental expenditures.</w:t>
      </w:r>
    </w:p>
    <w:p>
      <w:pPr>
        <w:pStyle w:val="ListParagraph"/>
        <w:numPr>
          <w:ilvl w:val="0"/>
          <w:numId w:val="2"/>
        </w:numPr>
        <w:spacing w:after="80"/>
      </w:pPr>
      <w:r>
        <w:rPr>
          <w:rFonts w:ascii="Arial" w:cs="Arial" w:eastAsia="Arial" w:hAnsi="Arial"/>
          <w:sz w:val="22"/>
          <w:szCs w:val="22"/>
        </w:rPr>
        <w:t xml:space="preserve">Regulatory Exposure — The LinkedIn IDPC fine remains a point of exposure; while the decision was appealed in November 2024, the outcome of the December 2025 hearing could impact future advertising model compliance in the EU.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right"/>
    </w:pPr>
    <w:r>
      <w:rPr>
        <w:rFonts w:ascii="Arial" w:cs="Arial" w:eastAsia="Arial" w:hAnsi="Arial"/>
        <w:color w:val="595959"/>
        <w:sz w:val="18"/>
        <w:szCs w:val="18"/>
      </w:rPr>
      <w:t xml:space="preserve">Confidential — FY2025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b/>
        <w:bCs/>
        <w:color w:val="1F4E79"/>
        <w:sz w:val="20"/>
        <w:szCs w:val="20"/>
      </w:rPr>
      <w:t xml:space="preserve">Microsoft Corporation</w:t>
    </w:r>
    <w:r>
      <w:rPr>
        <w:rFonts w:ascii="Arial" w:cs="Arial" w:eastAsia="Arial" w:hAnsi="Arial"/>
        <w:color w:val="595959"/>
        <w:sz w:val="20"/>
        <w:szCs w:val="20"/>
      </w:rPr>
      <w:t xml:space="preserve">   |   FY2025 Business Summary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2026-04-12T11:07:58.244Z</dcterms:created>
  <dcterms:modified xsi:type="dcterms:W3CDTF">2026-04-12T11:07:58.245Z</dcterms:modified>
</cp:coreProperties>
</file>

<file path=docProps/custom.xml><?xml version="1.0" encoding="utf-8"?>
<Properties xmlns="http://schemas.openxmlformats.org/officeDocument/2006/custom-properties" xmlns:vt="http://schemas.openxmlformats.org/officeDocument/2006/docPropsVTypes"/>
</file>