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RTAT &amp; Pending — Manager Coverage Cheat Sheet</w:t>
      </w:r>
    </w:p>
    <w:p>
      <w:r>
        <w:t>Field Service | Urban &amp; Rural Markets | April 2026</w:t>
      </w:r>
    </w:p>
    <w:p/>
    <w:p>
      <w:pPr>
        <w:pStyle w:val="Heading2"/>
      </w:pPr>
      <w:r>
        <w:t>1. REPAIR Framework</w:t>
      </w:r>
    </w:p>
    <w:p>
      <w:r>
        <w:t>REPAIR is the repeatable framework applied to every underperforming ASC. It cycles continuously as accounts improve and new ones surface on the Top 10 list.</w:t>
      </w:r>
    </w:p>
    <w:p>
      <w:r>
        <w:rPr>
          <w:b/>
        </w:rPr>
        <w:t xml:space="preserve">R — Rank: </w:t>
      </w:r>
      <w:r>
        <w:t>Identify worst-performing ASCs using Impact Score = (ASC RTAT − 10 day goal) × volume. Highest score = most damage to the network. This decides who gets attention first.</w:t>
      </w:r>
    </w:p>
    <w:p>
      <w:r>
        <w:rPr>
          <w:b/>
        </w:rPr>
        <w:t xml:space="preserve">E — Establish: </w:t>
      </w:r>
      <w:r>
        <w:t>Set specific RTAT targets per ASC based on their current performance and gap from goal. Each ASC gets a clear number to hit.</w:t>
      </w:r>
    </w:p>
    <w:p>
      <w:r>
        <w:rPr>
          <w:b/>
        </w:rPr>
        <w:t xml:space="preserve">P — Process: </w:t>
      </w:r>
      <w:r>
        <w:t>Standardize claim filing — ensure ASCs are closing jobs promptly, not sitting on completed repairs. Process breakdowns are the #1 reason for inflated RTAT.</w:t>
      </w:r>
    </w:p>
    <w:p>
      <w:r>
        <w:rPr>
          <w:b/>
        </w:rPr>
        <w:t xml:space="preserve">A — Amplify: </w:t>
      </w:r>
      <w:r>
        <w:t>Live Google Sheets dashboard gives visibility into every ASC's performance, trending, and pending in real time. No waiting for monthly reports.</w:t>
      </w:r>
    </w:p>
    <w:p>
      <w:r>
        <w:rPr>
          <w:b/>
        </w:rPr>
        <w:t xml:space="preserve">I — Integrate: </w:t>
      </w:r>
      <w:r>
        <w:t>Cross-ASM collaboration — Brown and Graham share insights, coordinate on ASCs near territory borders, and align on strategy.</w:t>
      </w:r>
    </w:p>
    <w:p>
      <w:r>
        <w:rPr>
          <w:b/>
        </w:rPr>
        <w:t xml:space="preserve">R — Redirect: </w:t>
      </w:r>
      <w:r>
        <w:t>Move volume away from ASCs that aren't improving to proven partners who are performing. Last resort, but necessary when engagement fails.</w:t>
      </w:r>
    </w:p>
    <w:p/>
    <w:p>
      <w:pPr>
        <w:pStyle w:val="Heading2"/>
      </w:pPr>
      <w:r>
        <w:t>2. RTAT Strategy — How It Works</w:t>
      </w:r>
    </w:p>
    <w:p>
      <w:r>
        <w:t>We maintain a dynamic Top 10 focus list for Urban and Rural. ASCs are ranked by Impact Score — highest volume × worst RTAT gap gets attention first. As an ASC improves and stabilizes, it falls off the list and the next worst ASC moves up.</w:t>
      </w:r>
    </w:p>
    <w:p>
      <w:r>
        <w:t>This is not a fixed list. It continuously adjusts based on the most recent 4-week data. The strategy is to always be working the accounts causing the most damage to the network right now.</w:t>
      </w:r>
    </w:p>
    <w:p>
      <w:pPr>
        <w:pStyle w:val="Heading3"/>
      </w:pPr>
      <w:r>
        <w:t>Current State:</w:t>
      </w:r>
    </w:p>
    <w:p>
      <w:pPr>
        <w:pStyle w:val="ListBullet"/>
      </w:pPr>
      <w:r>
        <w:t>Urban hit 9.7D — below the 10D target. Hold and continue pushing toward 8D.</w:t>
      </w:r>
    </w:p>
    <w:p>
      <w:pPr>
        <w:pStyle w:val="ListBullet"/>
      </w:pPr>
      <w:r>
        <w:t>Rural at 12.8D, trending to 11.4D — this is now the primary focus area.</w:t>
      </w:r>
    </w:p>
    <w:p>
      <w:pPr>
        <w:pStyle w:val="ListBullet"/>
      </w:pPr>
      <w:r>
        <w:t>Once 10D is met across both markets, target moves to 8D before peak season.</w:t>
      </w:r>
    </w:p>
    <w:p>
      <w:pPr>
        <w:pStyle w:val="ListBullet"/>
      </w:pPr>
      <w:r>
        <w:t>7 ASCs have been stabilized and handed off to other managers — proof that REPAIR works.</w:t>
      </w:r>
    </w:p>
    <w:p>
      <w:pPr>
        <w:pStyle w:val="Heading3"/>
      </w:pPr>
      <w:r>
        <w:t>How REPAIR Applies (Example):</w:t>
      </w:r>
    </w:p>
    <w:p>
      <w:r>
        <w:t>An ASC averaging 25D RTAT on 200 jobs has an Impact Score of 3,000 (15 excess days × 200 jobs). That ASC gets prioritized on the Top 10 list. We establish a target, work the process issues, track weekly on the dashboard. When they improve, the next ASC in line gets the same treatment. The list is always moving.</w:t>
      </w:r>
    </w:p>
    <w:p/>
    <w:p>
      <w:pPr>
        <w:pStyle w:val="Heading2"/>
      </w:pPr>
      <w:r>
        <w:t>3. Pending Strategy — How It Works</w:t>
      </w:r>
    </w:p>
    <w:p>
      <w:r>
        <w:t>Pending is managed holistically across the entire book — not split by Urban/Rural. All open jobs are tracked daily.</w:t>
      </w:r>
    </w:p>
    <w:p>
      <w:pPr>
        <w:pStyle w:val="Heading3"/>
      </w:pPr>
      <w:r>
        <w:t>Key Metric: % of Pending at 30+ Days</w:t>
      </w:r>
    </w:p>
    <w:p>
      <w:pPr>
        <w:pStyle w:val="ListBullet"/>
      </w:pPr>
      <w:r>
        <w:t>Started at ~16% when we took over.</w:t>
      </w:r>
    </w:p>
    <w:p>
      <w:pPr>
        <w:pStyle w:val="ListBullet"/>
      </w:pPr>
      <w:r>
        <w:t>Currently at ~9.4% combined (Graham 7.6%, Brown 11.4%).</w:t>
      </w:r>
    </w:p>
    <w:p>
      <w:pPr>
        <w:pStyle w:val="ListBullet"/>
      </w:pPr>
      <w:r>
        <w:t>Goal: 7% (configured in dashboard).</w:t>
      </w:r>
    </w:p>
    <w:p>
      <w:pPr>
        <w:pStyle w:val="ListBullet"/>
      </w:pPr>
      <w:r>
        <w:t>End state: the only jobs at 30+ days should be backorder parts.</w:t>
      </w:r>
    </w:p>
    <w:p>
      <w:pPr>
        <w:pStyle w:val="Heading3"/>
      </w:pPr>
      <w:r>
        <w:t>Process:</w:t>
      </w:r>
    </w:p>
    <w:p>
      <w:pPr>
        <w:pStyle w:val="ListBullet"/>
      </w:pPr>
      <w:r>
        <w:t>Pending data entered daily into Google Sheets.</w:t>
      </w:r>
    </w:p>
    <w:p>
      <w:pPr>
        <w:pStyle w:val="ListBullet"/>
      </w:pPr>
      <w:r>
        <w:t>Custom dashboard tracks: total pending, 30+ day count/%, 60+ day count/%, average age, and week-over-week deltas.</w:t>
      </w:r>
    </w:p>
    <w:p>
      <w:pPr>
        <w:pStyle w:val="ListBullet"/>
      </w:pPr>
      <w:r>
        <w:t>ASMs review pending on Monday and Thursday (per task schedule).</w:t>
      </w:r>
    </w:p>
    <w:p>
      <w:pPr>
        <w:pStyle w:val="ListBullet"/>
      </w:pPr>
      <w:r>
        <w:t>Top 10 ASC avg pending age target: below 10 days.</w:t>
      </w:r>
    </w:p>
    <w:p>
      <w:pPr>
        <w:pStyle w:val="ListBullet"/>
      </w:pPr>
      <w:r>
        <w:t>Once 30+ days is under control, shift focus to the 25-30 day bucket and keep driving the aging curve down.</w:t>
      </w:r>
    </w:p>
    <w:p>
      <w:pPr>
        <w:pStyle w:val="Heading3"/>
      </w:pPr>
      <w:r>
        <w:t>March Pending Recap (W8 → W12):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Graham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Brown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Combined</w:t>
            </w:r>
          </w:p>
        </w:tc>
      </w:tr>
      <w:tr>
        <w:tc>
          <w:tcPr>
            <w:tcW w:type="dxa" w:w="2160"/>
          </w:tcPr>
          <w:p>
            <w:r>
              <w:t>Total Pending</w:t>
            </w:r>
          </w:p>
        </w:tc>
        <w:tc>
          <w:tcPr>
            <w:tcW w:type="dxa" w:w="2160"/>
          </w:tcPr>
          <w:p>
            <w:r>
              <w:t>834</w:t>
            </w:r>
          </w:p>
        </w:tc>
        <w:tc>
          <w:tcPr>
            <w:tcW w:type="dxa" w:w="2160"/>
          </w:tcPr>
          <w:p>
            <w:r>
              <w:t>736</w:t>
            </w:r>
          </w:p>
        </w:tc>
        <w:tc>
          <w:tcPr>
            <w:tcW w:type="dxa" w:w="2160"/>
          </w:tcPr>
          <w:p>
            <w:r>
              <w:t>1,570</w:t>
            </w:r>
          </w:p>
        </w:tc>
      </w:tr>
      <w:tr>
        <w:tc>
          <w:tcPr>
            <w:tcW w:type="dxa" w:w="2160"/>
          </w:tcPr>
          <w:p>
            <w:r>
              <w:t>30+ Days</w:t>
            </w:r>
          </w:p>
        </w:tc>
        <w:tc>
          <w:tcPr>
            <w:tcW w:type="dxa" w:w="2160"/>
          </w:tcPr>
          <w:p>
            <w:r>
              <w:t>63 (7.6%)</w:t>
            </w:r>
          </w:p>
        </w:tc>
        <w:tc>
          <w:tcPr>
            <w:tcW w:type="dxa" w:w="2160"/>
          </w:tcPr>
          <w:p>
            <w:r>
              <w:t>84 (11.4%)</w:t>
            </w:r>
          </w:p>
        </w:tc>
        <w:tc>
          <w:tcPr>
            <w:tcW w:type="dxa" w:w="2160"/>
          </w:tcPr>
          <w:p>
            <w:r>
              <w:t>147 (~9.4%)</w:t>
            </w:r>
          </w:p>
        </w:tc>
      </w:tr>
      <w:tr>
        <w:tc>
          <w:tcPr>
            <w:tcW w:type="dxa" w:w="2160"/>
          </w:tcPr>
          <w:p>
            <w:r>
              <w:t>60+ Days</w:t>
            </w:r>
          </w:p>
        </w:tc>
        <w:tc>
          <w:tcPr>
            <w:tcW w:type="dxa" w:w="2160"/>
          </w:tcPr>
          <w:p>
            <w:r>
              <w:t>8 (1.0%)</w:t>
            </w:r>
          </w:p>
        </w:tc>
        <w:tc>
          <w:tcPr>
            <w:tcW w:type="dxa" w:w="2160"/>
          </w:tcPr>
          <w:p>
            <w:r>
              <w:t>12 (1.6%)</w:t>
            </w:r>
          </w:p>
        </w:tc>
        <w:tc>
          <w:tcPr>
            <w:tcW w:type="dxa" w:w="2160"/>
          </w:tcPr>
          <w:p>
            <w:r>
              <w:t>20 (~1.3%)</w:t>
            </w:r>
          </w:p>
        </w:tc>
      </w:tr>
      <w:tr>
        <w:tc>
          <w:tcPr>
            <w:tcW w:type="dxa" w:w="2160"/>
          </w:tcPr>
          <w:p>
            <w:r>
              <w:t>Avg Age</w:t>
            </w:r>
          </w:p>
        </w:tc>
        <w:tc>
          <w:tcPr>
            <w:tcW w:type="dxa" w:w="2160"/>
          </w:tcPr>
          <w:p>
            <w:r>
              <w:t>12.1D</w:t>
            </w:r>
          </w:p>
        </w:tc>
        <w:tc>
          <w:tcPr>
            <w:tcW w:type="dxa" w:w="2160"/>
          </w:tcPr>
          <w:p>
            <w:r>
              <w:t>13.7D</w:t>
            </w:r>
          </w:p>
        </w:tc>
        <w:tc>
          <w:tcPr>
            <w:tcW w:type="dxa" w:w="2160"/>
          </w:tcPr>
          <w:p>
            <w:r>
              <w:t>~12.9D</w:t>
            </w:r>
          </w:p>
        </w:tc>
      </w:tr>
      <w:tr>
        <w:tc>
          <w:tcPr>
            <w:tcW w:type="dxa" w:w="2160"/>
          </w:tcPr>
          <w:p>
            <w:r>
              <w:t>WoW 30+ Trend</w:t>
            </w:r>
          </w:p>
        </w:tc>
        <w:tc>
          <w:tcPr>
            <w:tcW w:type="dxa" w:w="2160"/>
          </w:tcPr>
          <w:p>
            <w:r>
              <w:t>↓ 2.8pts</w:t>
            </w:r>
          </w:p>
        </w:tc>
        <w:tc>
          <w:tcPr>
            <w:tcW w:type="dxa" w:w="2160"/>
          </w:tcPr>
          <w:p>
            <w:r>
              <w:t>↓ 0.8pts</w:t>
            </w:r>
          </w:p>
        </w:tc>
        <w:tc>
          <w:tcPr>
            <w:tcW w:type="dxa" w:w="2160"/>
          </w:tcPr>
          <w:p>
            <w:r>
              <w:t>Improving</w:t>
            </w:r>
          </w:p>
        </w:tc>
      </w:tr>
    </w:tbl>
    <w:p/>
    <w:p>
      <w:pPr>
        <w:pStyle w:val="Heading2"/>
      </w:pPr>
      <w:r>
        <w:t>4. Key Links &amp; Task Schedule</w:t>
      </w:r>
    </w:p>
    <w:p>
      <w:pPr>
        <w:pStyle w:val="Heading3"/>
      </w:pPr>
      <w:r>
        <w:t>Task Schedule:</w:t>
      </w:r>
    </w:p>
    <w:p>
      <w:pPr>
        <w:pStyle w:val="ListBullet"/>
      </w:pPr>
      <w:r>
        <w:t>Monday / Thursday: Pending Work, Top 10 Urban, Top 10 Rural</w:t>
      </w:r>
    </w:p>
    <w:p>
      <w:pPr>
        <w:pStyle w:val="ListBullet"/>
      </w:pPr>
      <w:r>
        <w:t>Tuesday: Coverage Gaps</w:t>
      </w:r>
    </w:p>
    <w:p>
      <w:pPr>
        <w:pStyle w:val="ListBullet"/>
      </w:pPr>
      <w:r>
        <w:t>Wednesday / Thursday: Top 30 Markets, Sears A&amp;E Gaps</w:t>
      </w:r>
    </w:p>
    <w:p>
      <w:pPr>
        <w:pStyle w:val="Heading3"/>
      </w:pPr>
      <w:r>
        <w:t>Key Links:</w:t>
      </w:r>
    </w:p>
    <w:p>
      <w:pPr>
        <w:pStyle w:val="ListBullet"/>
      </w:pPr>
      <w:r>
        <w:t>Pending (Graham): Google Sheet — "Dan &amp; Trey" pending tracker</w:t>
      </w:r>
    </w:p>
    <w:p>
      <w:pPr>
        <w:pStyle w:val="ListBullet"/>
      </w:pPr>
      <w:r>
        <w:t>Pending (Brown): Google Sheet — "Dan &amp; Trey" pending tracker</w:t>
      </w:r>
    </w:p>
    <w:p>
      <w:pPr>
        <w:pStyle w:val="ListBullet"/>
      </w:pPr>
      <w:r>
        <w:t>RTAT Dashboard: Google Sheet with per-ASM Urban/Rural tabs</w:t>
      </w:r>
    </w:p>
    <w:p>
      <w:pPr>
        <w:pStyle w:val="ListBullet"/>
      </w:pPr>
      <w:r>
        <w:t>Coverage Gaps: Network Dashboard → TV/MS Coverage Gaps page</w:t>
      </w:r>
    </w:p>
    <w:p/>
    <w:p>
      <w:pPr>
        <w:pStyle w:val="Heading2"/>
      </w:pPr>
      <w:r>
        <w:t>5. Quick Reference — Key Numbers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Urban RTAT</w:t>
            </w:r>
          </w:p>
        </w:tc>
        <w:tc>
          <w:tcPr>
            <w:tcW w:type="dxa" w:w="2880"/>
          </w:tcPr>
          <w:p>
            <w:r>
              <w:t>9.7D</w:t>
            </w:r>
          </w:p>
        </w:tc>
        <w:tc>
          <w:tcPr>
            <w:tcW w:type="dxa" w:w="2880"/>
          </w:tcPr>
          <w:p>
            <w:r>
              <w:t>10D (then 8D)</w:t>
            </w:r>
          </w:p>
        </w:tc>
      </w:tr>
      <w:tr>
        <w:tc>
          <w:tcPr>
            <w:tcW w:type="dxa" w:w="2880"/>
          </w:tcPr>
          <w:p>
            <w:r>
              <w:t>Rural RTAT</w:t>
            </w:r>
          </w:p>
        </w:tc>
        <w:tc>
          <w:tcPr>
            <w:tcW w:type="dxa" w:w="2880"/>
          </w:tcPr>
          <w:p>
            <w:r>
              <w:t>12.8D (trending 11.4D)</w:t>
            </w:r>
          </w:p>
        </w:tc>
        <w:tc>
          <w:tcPr>
            <w:tcW w:type="dxa" w:w="2880"/>
          </w:tcPr>
          <w:p>
            <w:r>
              <w:t>10D (then 8D)</w:t>
            </w:r>
          </w:p>
        </w:tc>
      </w:tr>
      <w:tr>
        <w:tc>
          <w:tcPr>
            <w:tcW w:type="dxa" w:w="2880"/>
          </w:tcPr>
          <w:p>
            <w:r>
              <w:t>Pending 30+ %</w:t>
            </w:r>
          </w:p>
        </w:tc>
        <w:tc>
          <w:tcPr>
            <w:tcW w:type="dxa" w:w="2880"/>
          </w:tcPr>
          <w:p>
            <w:r>
              <w:t>~9.4%</w:t>
            </w:r>
          </w:p>
        </w:tc>
        <w:tc>
          <w:tcPr>
            <w:tcW w:type="dxa" w:w="2880"/>
          </w:tcPr>
          <w:p>
            <w:r>
              <w:t>7%</w:t>
            </w:r>
          </w:p>
        </w:tc>
      </w:tr>
      <w:tr>
        <w:tc>
          <w:tcPr>
            <w:tcW w:type="dxa" w:w="2880"/>
          </w:tcPr>
          <w:p>
            <w:r>
              <w:t>Pending Avg Age</w:t>
            </w:r>
          </w:p>
        </w:tc>
        <w:tc>
          <w:tcPr>
            <w:tcW w:type="dxa" w:w="2880"/>
          </w:tcPr>
          <w:p>
            <w:r>
              <w:t>~12.9D</w:t>
            </w:r>
          </w:p>
        </w:tc>
        <w:tc>
          <w:tcPr>
            <w:tcW w:type="dxa" w:w="2880"/>
          </w:tcPr>
          <w:p>
            <w:r>
              <w:t>Continuous reduction</w:t>
            </w:r>
          </w:p>
        </w:tc>
      </w:tr>
      <w:tr>
        <w:tc>
          <w:tcPr>
            <w:tcW w:type="dxa" w:w="2880"/>
          </w:tcPr>
          <w:p>
            <w:r>
              <w:t>Top 10 ASC Avg Pending Age</w:t>
            </w:r>
          </w:p>
        </w:tc>
        <w:tc>
          <w:tcPr>
            <w:tcW w:type="dxa" w:w="2880"/>
          </w:tcPr>
          <w:p>
            <w:r>
              <w:t>Varies</w:t>
            </w:r>
          </w:p>
        </w:tc>
        <w:tc>
          <w:tcPr>
            <w:tcW w:type="dxa" w:w="2880"/>
          </w:tcPr>
          <w:p>
            <w:r>
              <w:t>&lt; 10 days</w:t>
            </w:r>
          </w:p>
        </w:tc>
      </w:tr>
      <w:tr>
        <w:tc>
          <w:tcPr>
            <w:tcW w:type="dxa" w:w="2880"/>
          </w:tcPr>
          <w:p>
            <w:r>
              <w:t>8D RTAT Target</w:t>
            </w:r>
          </w:p>
        </w:tc>
        <w:tc>
          <w:tcPr>
            <w:tcW w:type="dxa" w:w="2880"/>
          </w:tcPr>
          <w:p>
            <w:r>
              <w:t>After 10D met</w:t>
            </w:r>
          </w:p>
        </w:tc>
        <w:tc>
          <w:tcPr>
            <w:tcW w:type="dxa" w:w="2880"/>
          </w:tcPr>
          <w:p>
            <w:r>
              <w:t>Before peak season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