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5"/>
        <w:jc w:val="center"/>
        <w:rPr>
          <w:rFonts w:hint="eastAsia" w:ascii="黑体" w:hAnsi="宋体" w:eastAsia="黑体" w:cs="MS Mincho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 xml:space="preserve">实验3 </w:t>
      </w:r>
      <w:r>
        <w:rPr>
          <w:rFonts w:hint="eastAsia" w:ascii="黑体" w:hAnsi="宋体" w:eastAsia="黑体"/>
          <w:b/>
          <w:bCs/>
          <w:sz w:val="28"/>
        </w:rPr>
        <w:t>离散系</w:t>
      </w:r>
      <w:r>
        <w:rPr>
          <w:rFonts w:hint="eastAsia" w:ascii="黑体" w:hAnsi="宋体" w:eastAsia="黑体" w:cs="宋体"/>
          <w:b/>
          <w:bCs/>
          <w:sz w:val="28"/>
        </w:rPr>
        <w:t>统</w:t>
      </w:r>
      <w:r>
        <w:rPr>
          <w:rFonts w:hint="eastAsia" w:ascii="黑体" w:hAnsi="宋体" w:eastAsia="黑体" w:cs="MS Mincho"/>
          <w:b/>
          <w:bCs/>
          <w:sz w:val="28"/>
        </w:rPr>
        <w:t>的频率响应分析和零、极点分布</w:t>
      </w:r>
    </w:p>
    <w:p>
      <w:pPr>
        <w:ind w:firstLine="435"/>
        <w:rPr>
          <w:rFonts w:hint="eastAsia" w:ascii="楷体_GB2312" w:hAnsi="宋体" w:eastAsia="楷体_GB2312" w:cs="MS Mincho"/>
        </w:rPr>
      </w:pPr>
    </w:p>
    <w:p>
      <w:pPr>
        <w:rPr>
          <w:rFonts w:hint="eastAsia" w:ascii="楷体_GB2312" w:hAnsi="宋体" w:eastAsia="楷体_GB2312" w:cs="MS Mincho"/>
        </w:rPr>
      </w:pPr>
      <w:r>
        <w:rPr>
          <w:rFonts w:hint="eastAsia" w:ascii="黑体" w:eastAsia="黑体"/>
          <w:b/>
          <w:bCs/>
        </w:rPr>
        <w:t>实验目的</w:t>
      </w:r>
      <w:r>
        <w:rPr>
          <w:rFonts w:hint="eastAsia" w:ascii="楷体_GB2312" w:eastAsia="楷体_GB2312"/>
        </w:rPr>
        <w:t>：加深对</w:t>
      </w:r>
      <w:r>
        <w:rPr>
          <w:rFonts w:hint="eastAsia" w:ascii="楷体_GB2312" w:hAnsi="宋体" w:eastAsia="楷体_GB2312"/>
        </w:rPr>
        <w:t>离散系</w:t>
      </w:r>
      <w:r>
        <w:rPr>
          <w:rFonts w:hint="eastAsia" w:ascii="楷体_GB2312" w:hAnsi="宋体" w:eastAsia="楷体_GB2312" w:cs="宋体"/>
        </w:rPr>
        <w:t>统</w:t>
      </w:r>
      <w:r>
        <w:rPr>
          <w:rFonts w:hint="eastAsia" w:ascii="楷体_GB2312" w:hAnsi="宋体" w:eastAsia="楷体_GB2312" w:cs="MS Mincho"/>
        </w:rPr>
        <w:t>的频率响应分析和零、极点分布的概念理解。</w:t>
      </w:r>
    </w:p>
    <w:p>
      <w:pPr>
        <w:rPr>
          <w:rFonts w:hint="eastAsia" w:ascii="楷体_GB2312" w:hAnsi="宋体" w:eastAsia="楷体_GB2312"/>
        </w:rPr>
      </w:pPr>
    </w:p>
    <w:p>
      <w:pPr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实验原理</w:t>
      </w:r>
      <w:r>
        <w:rPr>
          <w:rFonts w:hint="eastAsia" w:ascii="楷体_GB2312" w:eastAsia="楷体_GB2312"/>
        </w:rPr>
        <w:t>：</w:t>
      </w:r>
      <w:r>
        <w:rPr>
          <w:rFonts w:hint="eastAsia" w:ascii="楷体_GB2312" w:hAnsi="宋体" w:eastAsia="楷体_GB2312"/>
        </w:rPr>
        <w:t>离散系</w:t>
      </w:r>
      <w:r>
        <w:rPr>
          <w:rFonts w:hint="eastAsia" w:ascii="楷体_GB2312" w:hAnsi="宋体" w:eastAsia="楷体_GB2312" w:cs="宋体"/>
        </w:rPr>
        <w:t>统的时域方程为</w:t>
      </w:r>
    </w:p>
    <w:p>
      <w:pPr>
        <w:rPr>
          <w:rFonts w:hint="eastAsia" w:ascii="楷体_GB2312" w:eastAsia="楷体_GB2312"/>
        </w:rPr>
      </w:pPr>
      <w:r>
        <w:rPr>
          <w:rFonts w:ascii="楷体_GB2312" w:eastAsia="楷体_GB2312"/>
          <w:position w:val="-28"/>
        </w:rPr>
        <w:object>
          <v:shape id="_x0000_i1025" o:spt="75" type="#_x0000_t75" style="height:33.65pt;width:193.5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其变换域分析方法如下：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 xml:space="preserve">频域  </w:t>
      </w:r>
      <w:r>
        <w:rPr>
          <w:rFonts w:ascii="楷体_GB2312" w:eastAsia="楷体_GB2312"/>
          <w:position w:val="-28"/>
        </w:rPr>
        <w:object>
          <v:shape id="_x0000_i1026" o:spt="75" type="#_x0000_t75" style="height:30.4pt;width:279.05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hAnsi="宋体" w:eastAsia="楷体_GB2312"/>
        </w:rPr>
        <w:t>系</w:t>
      </w:r>
      <w:r>
        <w:rPr>
          <w:rFonts w:hint="eastAsia" w:ascii="楷体_GB2312" w:hAnsi="宋体" w:eastAsia="楷体_GB2312" w:cs="宋体"/>
        </w:rPr>
        <w:t>统</w:t>
      </w:r>
      <w:r>
        <w:rPr>
          <w:rFonts w:hint="eastAsia" w:ascii="楷体_GB2312" w:hAnsi="宋体" w:eastAsia="楷体_GB2312" w:cs="MS Mincho"/>
        </w:rPr>
        <w:t xml:space="preserve">的频率响应为  </w:t>
      </w:r>
      <w:r>
        <w:rPr>
          <w:rFonts w:ascii="楷体_GB2312" w:eastAsia="楷体_GB2312"/>
          <w:b/>
          <w:bCs/>
          <w:position w:val="-38"/>
        </w:rPr>
        <w:object>
          <v:shape id="_x0000_i1027" o:spt="75" type="#_x0000_t75" style="height:36.25pt;width:224.9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楷体_GB2312" w:eastAsia="楷体_GB2312"/>
        </w:rPr>
        <w:t xml:space="preserve">Z域  </w:t>
      </w:r>
      <w:r>
        <w:rPr>
          <w:rFonts w:ascii="楷体_GB2312" w:eastAsia="楷体_GB2312"/>
          <w:position w:val="-28"/>
        </w:rPr>
        <w:object>
          <v:shape id="_x0000_i1028" o:spt="75" type="#_x0000_t75" style="height:30.6pt;width:251.8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hAnsi="宋体" w:eastAsia="楷体_GB2312"/>
        </w:rPr>
        <w:t>系</w:t>
      </w:r>
      <w:r>
        <w:rPr>
          <w:rFonts w:hint="eastAsia" w:ascii="楷体_GB2312" w:hAnsi="宋体" w:eastAsia="楷体_GB2312" w:cs="宋体"/>
        </w:rPr>
        <w:t>统</w:t>
      </w:r>
      <w:r>
        <w:rPr>
          <w:rFonts w:hint="eastAsia" w:ascii="楷体_GB2312" w:hAnsi="宋体" w:eastAsia="楷体_GB2312" w:cs="MS Mincho"/>
        </w:rPr>
        <w:t xml:space="preserve">的转移函数为   </w:t>
      </w:r>
      <w:r>
        <w:rPr>
          <w:rFonts w:ascii="楷体_GB2312" w:eastAsia="楷体_GB2312"/>
          <w:b/>
          <w:bCs/>
          <w:position w:val="-38"/>
        </w:rPr>
        <w:object>
          <v:shape id="_x0000_i1029" o:spt="75" type="#_x0000_t75" style="height:40.7pt;width:216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 xml:space="preserve">分解因式   </w:t>
      </w:r>
      <w:r>
        <w:rPr>
          <w:rFonts w:ascii="楷体_GB2312" w:eastAsia="楷体_GB2312"/>
          <w:b/>
          <w:bCs/>
          <w:position w:val="-60"/>
        </w:rPr>
        <w:object>
          <v:shape id="_x0000_i1030" o:spt="75" type="#_x0000_t75" style="height:65.15pt;width:188.7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ascii="楷体_GB2312" w:eastAsia="楷体_GB2312"/>
          <w:b/>
          <w:bCs/>
        </w:rPr>
        <w:t xml:space="preserve"> </w:t>
      </w:r>
      <w:r>
        <w:rPr>
          <w:rFonts w:hint="eastAsia" w:ascii="楷体_GB2312" w:eastAsia="楷体_GB2312"/>
          <w:b/>
          <w:bCs/>
        </w:rPr>
        <w:t>，其中</w:t>
      </w:r>
      <w:r>
        <w:rPr>
          <w:rFonts w:ascii="楷体_GB2312" w:eastAsia="楷体_GB2312"/>
          <w:b/>
          <w:bCs/>
          <w:position w:val="-12"/>
        </w:rPr>
        <w:object>
          <v:shape id="_x0000_i1031" o:spt="75" type="#_x0000_t75" style="height:29.45pt;width:18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楷体_GB2312" w:eastAsia="楷体_GB2312"/>
        </w:rPr>
        <w:t>和</w:t>
      </w:r>
      <w:r>
        <w:rPr>
          <w:rFonts w:ascii="楷体_GB2312" w:eastAsia="楷体_GB2312"/>
          <w:b/>
          <w:bCs/>
          <w:position w:val="-12"/>
        </w:rPr>
        <w:object>
          <v:shape id="_x0000_i1032" o:spt="75" type="#_x0000_t75" style="height:29.45pt;width:25.15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楷体_GB2312" w:eastAsia="楷体_GB2312"/>
        </w:rPr>
        <w:t>称为</w:t>
      </w:r>
      <w:r>
        <w:rPr>
          <w:rFonts w:hint="eastAsia" w:ascii="楷体_GB2312" w:hAnsi="宋体" w:eastAsia="楷体_GB2312" w:cs="MS Mincho"/>
        </w:rPr>
        <w:t>零、极点。</w: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hAnsi="宋体" w:eastAsia="楷体_GB2312" w:cs="宋体"/>
        </w:rPr>
        <w:t xml:space="preserve">  </w:t>
      </w:r>
      <w:r>
        <w:rPr>
          <w:rFonts w:hint="eastAsia" w:ascii="楷体_GB2312" w:hAnsi="宋体" w:eastAsia="楷体_GB2312"/>
        </w:rPr>
        <w:t>在MATLAB中，</w:t>
      </w:r>
      <w:r>
        <w:rPr>
          <w:rFonts w:hint="eastAsia" w:ascii="楷体_GB2312" w:eastAsia="楷体_GB2312"/>
        </w:rPr>
        <w:t>可以用函数[z，p，K]=tf2zp（num，den）求得有理分式形式的系统转移函数的</w:t>
      </w:r>
      <w:r>
        <w:rPr>
          <w:rFonts w:hint="eastAsia" w:ascii="楷体_GB2312" w:hAnsi="宋体" w:eastAsia="楷体_GB2312" w:cs="MS Mincho"/>
        </w:rPr>
        <w:t>零、极点</w:t>
      </w:r>
      <w:r>
        <w:rPr>
          <w:rFonts w:hint="eastAsia" w:ascii="楷体_GB2312" w:eastAsia="楷体_GB2312"/>
        </w:rPr>
        <w:t>，用函数zplane（z，p）绘出</w:t>
      </w:r>
      <w:r>
        <w:rPr>
          <w:rFonts w:hint="eastAsia" w:ascii="楷体_GB2312" w:hAnsi="宋体" w:eastAsia="楷体_GB2312" w:cs="MS Mincho"/>
        </w:rPr>
        <w:t>零、极点分布图</w:t>
      </w:r>
      <w:r>
        <w:rPr>
          <w:rFonts w:hint="eastAsia" w:ascii="楷体_GB2312" w:eastAsia="楷体_GB2312"/>
        </w:rPr>
        <w:t>；也可以用函数zplane（num，den）直接绘出有理分式形式的系统转移函数的</w:t>
      </w:r>
      <w:r>
        <w:rPr>
          <w:rFonts w:hint="eastAsia" w:ascii="楷体_GB2312" w:hAnsi="宋体" w:eastAsia="楷体_GB2312" w:cs="MS Mincho"/>
        </w:rPr>
        <w:t>零、极点分布图</w:t>
      </w:r>
      <w:r>
        <w:rPr>
          <w:rFonts w:hint="eastAsia" w:ascii="楷体_GB2312" w:eastAsia="楷体_GB2312"/>
        </w:rPr>
        <w:t>。</w:t>
      </w:r>
    </w:p>
    <w:p>
      <w:pPr>
        <w:ind w:firstLine="420" w:firstLineChars="200"/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另外，</w:t>
      </w:r>
      <w:r>
        <w:rPr>
          <w:rFonts w:hint="eastAsia" w:ascii="楷体_GB2312" w:hAnsi="宋体" w:eastAsia="楷体_GB2312"/>
        </w:rPr>
        <w:t>在MATLAB中，</w:t>
      </w:r>
      <w:r>
        <w:rPr>
          <w:rFonts w:hint="eastAsia" w:ascii="楷体_GB2312" w:eastAsia="楷体_GB2312"/>
        </w:rPr>
        <w:t>可以用函数 [r，p，k]=residuez（num，den）完成部分分式展开计算；可以用函数sos=zp2sos（z，p，K）完成将高阶系统分解为2阶系统的串联。</w:t>
      </w:r>
    </w:p>
    <w:p>
      <w:pPr>
        <w:ind w:firstLine="420" w:firstLineChars="200"/>
        <w:rPr>
          <w:rFonts w:hint="eastAsia" w:ascii="楷体_GB2312" w:hAnsi="宋体" w:eastAsia="楷体_GB2312" w:cs="宋体"/>
        </w:rPr>
      </w:pPr>
    </w:p>
    <w:p>
      <w:pPr>
        <w:jc w:val="left"/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实验内容</w:t>
      </w:r>
      <w:r>
        <w:rPr>
          <w:rFonts w:hint="eastAsia" w:ascii="楷体_GB2312" w:eastAsia="楷体_GB2312"/>
        </w:rPr>
        <w:t>：求系统</w:t>
      </w:r>
    </w:p>
    <w:p>
      <w:pPr>
        <w:jc w:val="left"/>
        <w:rPr>
          <w:rFonts w:hint="eastAsia" w:ascii="楷体_GB2312" w:eastAsia="楷体_GB2312"/>
        </w:rPr>
      </w:pPr>
      <w:r>
        <w:rPr>
          <w:rFonts w:ascii="楷体_GB2312" w:eastAsia="楷体_GB2312"/>
          <w:b/>
          <w:bCs/>
          <w:position w:val="-38"/>
        </w:rPr>
        <w:object>
          <v:shape id="_x0000_i1033" o:spt="75" type="#_x0000_t75" style="height:37.3pt;width:416.25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楷体_GB2312" w:hAnsi="宋体" w:eastAsia="楷体_GB2312" w:cs="MS Mincho"/>
        </w:rPr>
        <w:t xml:space="preserve">  的零、极点和幅度频率响应。</w:t>
      </w:r>
    </w:p>
    <w:p>
      <w:pPr>
        <w:rPr>
          <w:rFonts w:hint="eastAsia" w:ascii="楷体_GB2312" w:hAnsi="宋体" w:eastAsia="楷体_GB2312" w:cs="宋体"/>
        </w:rPr>
      </w:pPr>
    </w:p>
    <w:p>
      <w:pPr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实验要求</w:t>
      </w:r>
      <w:r>
        <w:rPr>
          <w:rFonts w:hint="eastAsia" w:ascii="楷体_GB2312" w:eastAsia="楷体_GB2312"/>
        </w:rPr>
        <w:t>：编程实现系统参数输入，绘出</w:t>
      </w:r>
      <w:r>
        <w:rPr>
          <w:rFonts w:hint="eastAsia" w:ascii="楷体_GB2312" w:hAnsi="宋体" w:eastAsia="楷体_GB2312" w:cs="MS Mincho"/>
        </w:rPr>
        <w:t>幅度频率响应曲线和零、极点分布图。</w:t>
      </w:r>
    </w:p>
    <w:p/>
    <w:p/>
    <w:p/>
    <w:p/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编写程序如下：</w:t>
      </w:r>
    </w:p>
    <w:p>
      <w:r>
        <w:drawing>
          <wp:inline distT="0" distB="0" distL="114300" distR="114300">
            <wp:extent cx="2818765" cy="4891405"/>
            <wp:effectExtent l="0" t="0" r="635" b="10795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零级图：</w:t>
      </w:r>
    </w:p>
    <w:p>
      <w:r>
        <w:drawing>
          <wp:inline distT="0" distB="0" distL="114300" distR="114300">
            <wp:extent cx="2923540" cy="2570480"/>
            <wp:effectExtent l="0" t="0" r="2540" b="508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幅频相应</w:t>
      </w:r>
    </w:p>
    <w:p>
      <w:r>
        <w:drawing>
          <wp:inline distT="0" distB="0" distL="114300" distR="114300">
            <wp:extent cx="2870200" cy="2602230"/>
            <wp:effectExtent l="0" t="0" r="10160" b="381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实验心得：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系统的零点和极点对系统的稳定性、动态响应以及频率特性都有重要影响。通过使用 `tf2zp` 函数和 `zplane` 函数，可以直观地了解系统的零点和极点分布，进而评估系统的</w:t>
      </w:r>
      <w:r>
        <w:rPr>
          <w:rFonts w:hint="eastAsia"/>
          <w:sz w:val="24"/>
          <w:szCs w:val="24"/>
          <w:lang w:val="en-US" w:eastAsia="zh-CN"/>
        </w:rPr>
        <w:t>性质，如因果性</w:t>
      </w:r>
      <w:r>
        <w:rPr>
          <w:rFonts w:hint="default"/>
          <w:sz w:val="24"/>
          <w:szCs w:val="24"/>
          <w:lang w:val="en-US" w:eastAsia="zh-CN"/>
        </w:rPr>
        <w:t>和稳定性。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使用 `residuez` 函数可以对系统进行部分分式展开，这在系统分析和控制中非常有用。通过部分分式展开</w:t>
      </w:r>
      <w:r>
        <w:rPr>
          <w:rFonts w:hint="eastAsia"/>
          <w:sz w:val="24"/>
          <w:szCs w:val="24"/>
          <w:lang w:val="en-US" w:eastAsia="zh-CN"/>
        </w:rPr>
        <w:t>，可以更直观地看出系统的性质。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：`zp2sos` 函数可以将高阶系统分解为2阶系统的串联形式，这对于系统的实现和优化非常重要。这种形式的系统更易于分析和设计，并且可以更好地满足性能要求。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除了了解系统的零、极点分布外，绘制系统的幅频响应曲线也是评估系统性能的重要手段。在MATLAB中，可以使用 `freqz` 函数来绘制系统的频率响应曲线，这有助于我更全面地了解系统在不同频率下的响应特性。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5. 通过编写程序并实际应用MATLAB函数，我对系统分析和设计的理论知识有了更深入的理解。通过不断地调试和优化程序，我不仅提高了对MATLAB工具的熟练程度，还加深了对</w:t>
      </w:r>
      <w:r>
        <w:rPr>
          <w:rFonts w:hint="eastAsia"/>
          <w:sz w:val="24"/>
          <w:szCs w:val="24"/>
          <w:lang w:val="en-US" w:eastAsia="zh-CN"/>
        </w:rPr>
        <w:t>数字信号处理这门课的</w:t>
      </w:r>
      <w:r>
        <w:rPr>
          <w:rFonts w:hint="default"/>
          <w:sz w:val="24"/>
          <w:szCs w:val="24"/>
          <w:lang w:val="en-US" w:eastAsia="zh-CN"/>
        </w:rPr>
        <w:t>理解。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default"/>
          <w:sz w:val="24"/>
          <w:szCs w:val="24"/>
          <w:lang w:val="en-US" w:eastAsia="zh-CN"/>
        </w:rPr>
        <w:t>通过这个实验，我不仅学会了如何使用MATLAB中的函数来分析和设计系统，还深入了解了系统的零、极点分布、部分分式展开和幅频响应等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重要概念</w:t>
      </w:r>
      <w:r>
        <w:rPr>
          <w:rFonts w:hint="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jI2MDU3ZTc3YjJmODg2NjJmNzk3MmRkNDhhMGEifQ=="/>
  </w:docVars>
  <w:rsids>
    <w:rsidRoot w:val="45E349D0"/>
    <w:rsid w:val="1220184D"/>
    <w:rsid w:val="45E349D0"/>
    <w:rsid w:val="4A4D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2023-04-23T05:50:00Z</dcterms:created>
  <dc:creator>十</dc:creator>
  <cp:lastModifiedBy>油炸皮卡丘</cp:lastModifiedBy>
  <dcterms:modified xsi:type="dcterms:W3CDTF">2024-04-14T03:03:42Z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5C73A1B1D63C429DAFC541FB5E19F53D_13</vt:lpwstr>
  </property>
</Properties>
</file>