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t>Parameters Transfer, Policies May Not: Diagnosing Source Static Degeneracy in Cross-Asset Decision Gating</w:t>
      </w:r>
    </w:p>
    <w:p w14:paraId="0000000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p>
    <w:p w14:paraId="0000000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Abstract</w:t>
      </w:r>
    </w:p>
    <w:p w14:paraId="564EDDB9">
      <w:pPr>
        <w:keepNext w:val="0"/>
        <w:keepLines w:val="0"/>
        <w:widowControl/>
        <w:suppressLineNumbers w:val="0"/>
        <w:jc w:val="left"/>
        <w:rPr>
          <w:rFonts w:hint="eastAsia"/>
        </w:rPr>
      </w:pPr>
      <w: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br w:type="textWrapping"/>
      </w:r>
      <w:r>
        <w:br w:type="textWrapping"/>
      </w:r>
      <w: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14:paraId="0048E627">
      <w:pPr>
        <w:keepNext w:val="0"/>
        <w:keepLines w:val="0"/>
        <w:widowControl/>
        <w:suppressLineNumbers w:val="0"/>
        <w:jc w:val="left"/>
        <w:rPr>
          <w:rFonts w:hint="eastAsia"/>
        </w:rPr>
      </w:pPr>
    </w:p>
    <w:p w14:paraId="3FA5C37B">
      <w:pPr>
        <w:keepNext w:val="0"/>
        <w:keepLines w:val="0"/>
        <w:widowControl/>
        <w:suppressLineNumbers w:val="0"/>
        <w:jc w:val="left"/>
        <w:rPr>
          <w:rFonts w:hint="eastAsia"/>
        </w:rPr>
      </w:pPr>
      <w:r>
        <w:rPr>
          <w:rFonts w:hint="eastAsia" w:ascii="Times New Roman" w:hAnsi="Times New Roman" w:eastAsia="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14:paraId="1551219F">
      <w:pPr>
        <w:keepNext w:val="0"/>
        <w:keepLines w:val="0"/>
        <w:widowControl/>
        <w:suppressLineNumbers w:val="0"/>
        <w:jc w:val="left"/>
        <w:rPr>
          <w:rFonts w:hint="eastAsia"/>
        </w:rPr>
      </w:pPr>
    </w:p>
    <w:p w14:paraId="1EB73499">
      <w:pPr>
        <w:keepNext w:val="0"/>
        <w:keepLines w:val="0"/>
        <w:widowControl/>
        <w:suppressLineNumbers w:val="0"/>
        <w:jc w:val="left"/>
        <w:rPr>
          <w:lang w:val="en-US" w:eastAsia="zh-CN"/>
        </w:rPr>
      </w:pPr>
      <w:r>
        <w:rPr>
          <w:rFonts w:hint="eastAsia" w:ascii="Times New Roman" w:hAnsi="Times New Roman" w:eastAsia="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14:paraId="7FF3E311">
      <w:pPr>
        <w:keepNext w:val="0"/>
        <w:keepLines w:val="0"/>
        <w:widowControl/>
        <w:suppressLineNumbers w:val="0"/>
        <w:jc w:val="left"/>
        <w:rPr>
          <w:rFonts w:ascii="宋体" w:hAnsi="宋体" w:eastAsia="宋体" w:cs="宋体"/>
          <w:kern w:val="0"/>
          <w:sz w:val="24"/>
          <w:szCs w:val="24"/>
          <w:lang w:val="en-US" w:eastAsia="zh-CN" w:bidi="ar"/>
        </w:rPr>
      </w:pPr>
    </w:p>
    <w:p w14:paraId="0000000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Keywords:</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contextual bandits, policy transfer, decision gating, source static degeneracy, cross-asset learning</w:t>
      </w:r>
    </w:p>
    <w:p w14:paraId="00000009">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 Introduction</w:t>
      </w:r>
    </w:p>
    <w:p w14:paraId="0000000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1.1 The Operational Appeal of Decision-Layer Reuse</w:t>
      </w:r>
    </w:p>
    <w:p w14:paraId="0000000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14:paraId="0000000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Consider a concrete example: a quantitative team develops an optimal decision policy for the SPDR S&amp;P 500 ETF (SPY) that achieves an annualized Sharpe ratio of </w:t>
      </w:r>
      <m:oMath>
        <m:r>
          <m:rPr/>
          <m:t>0.45</m:t>
        </m:r>
      </m:oMath>
      <w:r>
        <w:rPr>
          <w:rFonts w:ascii="Times New Roman" w:hAnsi="Times New Roman" w:eastAsia="Times New Roman" w:cs="Google Sans"/>
          <w:color w:val="1F1F1F"/>
          <w:sz w:val="24"/>
          <w:rtl w:val="0"/>
        </w:rPr>
        <w:t xml:space="preserve"> over five years of walk-forward validation. The natural next step is to deploy this policy on the iShares Russell 2000 ETF (IWM) or the Invesco QQQ Trust (QQQ). Standard industry practice compares the transferred policy against a static </w:t>
      </w:r>
      <m:oMath>
        <m:r>
          <m:rPr/>
          <m:t>0.50</m:t>
        </m:r>
      </m:oMath>
      <w:r>
        <w:rPr>
          <w:rFonts w:ascii="Times New Roman" w:hAnsi="Times New Roman" w:eastAsia="Times New Roman" w:cs="Google Sans"/>
          <w:color w:val="1F1F1F"/>
          <w:sz w:val="24"/>
          <w:rtl w:val="0"/>
        </w:rPr>
        <w:t xml:space="preserve"> cutoff. If the policy achieves a Sharpe of </w:t>
      </w:r>
      <m:oMath>
        <m:r>
          <m:rPr/>
          <m:t>0.42</m:t>
        </m:r>
      </m:oMath>
      <w:r>
        <w:rPr>
          <w:rFonts w:ascii="Times New Roman" w:hAnsi="Times New Roman" w:eastAsia="Times New Roman" w:cs="Google Sans"/>
          <w:color w:val="1F1F1F"/>
          <w:sz w:val="24"/>
          <w:rtl w:val="0"/>
        </w:rPr>
        <w:t xml:space="preserve"> on IWM versus </w:t>
      </w:r>
      <m:oMath>
        <m:r>
          <m:rPr/>
          <m:t>0.38</m:t>
        </m:r>
      </m:oMath>
      <w:r>
        <w:rPr>
          <w:rFonts w:ascii="Times New Roman" w:hAnsi="Times New Roman" w:eastAsia="Times New Roman" w:cs="Google Sans"/>
          <w:color w:val="1F1F1F"/>
          <w:sz w:val="24"/>
          <w:rtl w:val="0"/>
        </w:rPr>
        <w:t xml:space="preserve"> for the static cutoff, the team concludes that contextual transfer "works." However, this conclusion may be entirely spurious.</w:t>
      </w:r>
    </w:p>
    <w:p w14:paraId="0000000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1.2 The Diagnostic Gap</w:t>
      </w:r>
    </w:p>
    <w:p w14:paraId="0EAF169E">
      <w: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14:paraId="0000000E">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Standard backtests compare a learned policy against a conventional cutoff (typically </w:t>
      </w:r>
      <m:oMath>
        <m:r>
          <m:rPr/>
          <m:t>0.50</m:t>
        </m:r>
      </m:oMath>
      <w:r>
        <w:rPr>
          <w:rFonts w:ascii="Times New Roman" w:hAnsi="Times New Roman" w:eastAsia="Times New Roman" w:cs="Google Sans"/>
          <w:color w:val="1F1F1F"/>
          <w:sz w:val="24"/>
          <w:rtl w:val="0"/>
        </w:rPr>
        <w:t>). These comparisons cannot distinguish between two distinct regimes:</w:t>
      </w:r>
    </w:p>
    <w:p w14:paraId="0000000F">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Contextual Transfer:</w:t>
      </w:r>
      <w:r>
        <w:rPr>
          <w:rFonts w:ascii="Times New Roman" w:hAnsi="Times New Roman" w:eastAsia="Times New Roman" w:cs="Google Sans"/>
          <w:color w:val="1F1F1F"/>
          <w:sz w:val="24"/>
          <w:rtl w:val="0"/>
        </w:rPr>
        <w:t xml:space="preserve"> The policy uses market-state information to select different thresholds at different times.</w:t>
      </w:r>
    </w:p>
    <w:p w14:paraId="00000010">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Static-Rule Collapse:</w:t>
      </w:r>
      <w:r>
        <w:rPr>
          <w:rFonts w:ascii="Times New Roman" w:hAnsi="Times New Roman" w:eastAsia="Times New Roman" w:cs="Google Sans"/>
          <w:color w:val="1F1F1F"/>
          <w:sz w:val="24"/>
          <w:rtl w:val="0"/>
        </w:rPr>
        <w:t xml:space="preserve"> The policy consistently selects the same threshold, behaving identically to a simple static rule.</w:t>
      </w:r>
    </w:p>
    <w:p w14:paraId="0000001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When scenario (2) occurs, apparent improvements over </w:t>
      </w:r>
      <m:oMath>
        <m:r>
          <m:rPr/>
          <m:t>0.50</m:t>
        </m:r>
      </m:oMath>
      <w:r>
        <w:rPr>
          <w:rFonts w:ascii="Times New Roman" w:hAnsi="Times New Roman" w:eastAsia="Times New Roman" w:cs="Google Sans"/>
          <w:color w:val="1F1F1F"/>
          <w:sz w:val="24"/>
          <w:rtl w:val="0"/>
        </w:rPr>
        <w:t xml:space="preserve"> are merely the consequence of a different (but still fixed) probability cutoff.</w:t>
      </w:r>
    </w:p>
    <w:p w14:paraId="0000001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m:oMath>
        <m:r>
          <m:rPr/>
          <m:t>0.50</m:t>
        </m:r>
      </m:oMath>
      <w:r>
        <w:rPr>
          <w:rFonts w:ascii="Times New Roman" w:hAnsi="Times New Roman" w:eastAsia="Times New Roman" w:cs="Google Sans"/>
          <w:color w:val="1F1F1F"/>
          <w:sz w:val="24"/>
          <w:rtl w:val="0"/>
        </w:rPr>
        <w:t xml:space="preserve"> cutoff, cannot detect this failure mode because the collapsed policy still outperforms </w:t>
      </w:r>
      <m:oMath>
        <m:r>
          <m:rPr/>
          <m:t>0.50</m:t>
        </m:r>
      </m:oMath>
      <w:r>
        <w:rPr>
          <w:rFonts w:ascii="Times New Roman" w:hAnsi="Times New Roman" w:eastAsia="Times New Roman" w:cs="Google Sans"/>
          <w:color w:val="1F1F1F"/>
          <w:sz w:val="24"/>
          <w:rtl w:val="0"/>
        </w:rPr>
        <w:t>—it simply does so by selecting a different fixed threshold, not by adapting to market conditions.</w:t>
      </w:r>
    </w:p>
    <w:p w14:paraId="0000001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1.3 Contributions</w:t>
      </w:r>
    </w:p>
    <w:p w14:paraId="0000001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Our contributions can be summarized as follows:</w:t>
      </w:r>
    </w:p>
    <w:p w14:paraId="00000015">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Identification of Source Static Degeneracy:</w:t>
      </w:r>
      <w:r>
        <w:rPr>
          <w:rFonts w:ascii="Times New Roman" w:hAnsi="Times New Roman" w:eastAsia="Times New Roman" w:cs="Google Sans"/>
          <w:color w:val="1F1F1F"/>
          <w:sz w:val="24"/>
          <w:rtl w:val="0"/>
        </w:rPr>
        <w:t xml:space="preserve"> We formally define and demonstrate that </w:t>
      </w:r>
      <w:r>
        <w:rPr>
          <w:rFonts w:ascii="Times New Roman" w:hAnsi="Times New Roman" w:eastAsia="Times New Roman" w:cs="Google Sans"/>
          <w:i/>
          <w:iCs/>
          <w:color w:val="1F1F1F"/>
          <w:sz w:val="24"/>
          <w:rtl w:val="0"/>
        </w:rPr>
        <w:t>Source Static Degeneracy</w:t>
      </w:r>
      <w:r>
        <w:rPr>
          <w:rFonts w:ascii="Times New Roman" w:hAnsi="Times New Roman" w:eastAsia="Times New Roman" w:cs="Google Sans"/>
          <w:color w:val="1F1F1F"/>
          <w:sz w:val="24"/>
          <w:rtl w:val="0"/>
        </w:rPr>
        <w:t xml:space="preserve"> is a pervasive failure mode in cross-asset policy transfer. Across 228 source-target pairs </w:t>
      </w:r>
      <w:r>
        <w:rPr>
          <w:rFonts w:hint="eastAsia" w:ascii="Times New Roman" w:hAnsi="Times New Roman" w:eastAsia="Times New Roman" w:cs="Google Sans"/>
          <w:color w:val="1F1F1F"/>
          <w:sz w:val="24"/>
          <w:rtl w:val="0"/>
        </w:rPr>
        <w:t>spanning seven asset categories</w:t>
      </w:r>
      <w:r>
        <w:rPr>
          <w:rFonts w:ascii="Times New Roman" w:hAnsi="Times New Roman" w:eastAsia="Times New Roman" w:cs="Google Sans"/>
          <w:color w:val="1F1F1F"/>
          <w:sz w:val="24"/>
          <w:rtl w:val="0"/>
        </w:rPr>
        <w:t>, we show that 67% of transfers result in complete policy degeneration.</w:t>
      </w:r>
    </w:p>
    <w:p w14:paraId="00000016">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Source Diversity as a Screening Criterion: We show empirically that source policy diversity during training is a useful screening indicator for transfer outcomes in our experimental setting. When the source policy concentrates on a single action during training (modal share ), the transferred policy inherits this degeneracy on all evaluated targets.</w:t>
      </w:r>
    </w:p>
    <w:p w14:paraId="00000017">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Behavioral Equivalence Paradox:</w:t>
      </w:r>
      <w:r>
        <w:rPr>
          <w:rFonts w:ascii="Times New Roman" w:hAnsi="Times New Roman" w:eastAsia="Times New Roman" w:cs="Google Sans"/>
          <w:color w:val="1F1F1F"/>
          <w:sz w:val="24"/>
          <w:rtl w:val="0"/>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14:paraId="00000018">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FCTT-DA Audit Framework:</w:t>
      </w:r>
      <w:r>
        <w:rPr>
          <w:rFonts w:ascii="Times New Roman" w:hAnsi="Times New Roman" w:eastAsia="Times New Roman" w:cs="Google Sans"/>
          <w:color w:val="1F1F1F"/>
          <w:sz w:val="24"/>
          <w:rtl w:val="0"/>
        </w:rPr>
        <w:t xml:space="preserve"> We contribute FCTT-DA (</w:t>
      </w:r>
      <w:r>
        <w:rPr>
          <w:rFonts w:ascii="Times New Roman" w:hAnsi="Times New Roman" w:eastAsia="Times New Roman" w:cs="Google Sans"/>
          <w:i/>
          <w:iCs/>
          <w:color w:val="1F1F1F"/>
          <w:sz w:val="24"/>
          <w:rtl w:val="0"/>
        </w:rPr>
        <w:t>Frozen Contextual Threshold Transfer with Degeneracy Audit</w:t>
      </w:r>
      <w:r>
        <w:rPr>
          <w:rFonts w:ascii="Times New Roman" w:hAnsi="Times New Roman" w:eastAsia="Times New Roman" w:cs="Google Sans"/>
          <w:color w:val="1F1F1F"/>
          <w:sz w:val="24"/>
          <w:rtl w:val="0"/>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14:paraId="00000019">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Theoretical Framework:</w:t>
      </w:r>
      <w:r>
        <w:rPr>
          <w:rFonts w:ascii="Times New Roman" w:hAnsi="Times New Roman" w:eastAsia="Times New Roman" w:cs="Google Sans"/>
          <w:color w:val="1F1F1F"/>
          <w:sz w:val="24"/>
          <w:rtl w:val="0"/>
        </w:rPr>
        <w:t xml:space="preserve"> We provide sufficient conditions linking source diversity to target collapse based on decision-region geometry.</w:t>
      </w:r>
    </w:p>
    <w:p w14:paraId="12D4D667">
      <w:pPr>
        <w:pStyle w:val="3"/>
        <w:widowControl/>
        <w:rPr>
          <w:rFonts w:ascii="Times New Roman" w:hAnsi="Times New Roman" w:eastAsia="Google Sans" w:cs="Google Sans"/>
          <w:b w:val="0"/>
          <w:bCs w:val="0"/>
          <w:color w:val="1F1F1F"/>
          <w:sz w:val="24"/>
          <w:szCs w:val="22"/>
          <w:rtl w:val="0"/>
        </w:rPr>
      </w:pPr>
      <w:r>
        <w:rPr>
          <w:rFonts w:ascii="Times New Roman" w:hAnsi="Times New Roman" w:eastAsia="Times New Roman"/>
        </w:rPr>
        <w:t>1.4 The Narrative Task: From Optimism to Audit</w:t>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b w:val="0"/>
          <w:bCs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We propose a reframing of the research question: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 Prevailing: "Can this policy transfer to asset X?" → Ours: "Does this policy retain contextual adaptation on asset X?"</w:t>
      </w:r>
      <w:r>
        <w:rPr>
          <w:rFonts w:ascii="Times New Roman" w:hAnsi="Times New Roman" w:eastAsia="Times New Roman"/>
          <w:b w:val="0"/>
          <w:bCs w:val="0"/>
        </w:rPr>
        <w:br w:type="textWrapping"/>
      </w:r>
      <w:r>
        <w:rPr>
          <w:rFonts w:ascii="Times New Roman" w:hAnsi="Times New Roman" w:eastAsia="Times New Roman"/>
          <w:b w:val="0"/>
          <w:bCs w:val="0"/>
        </w:rPr>
        <w:t>• Prevailing: "Does the transferred policy outperform 0.50?" → Ours: "Does the transferred policy outperform its behavioral equivalent?"</w:t>
      </w:r>
      <w:r>
        <w:rPr>
          <w:rFonts w:ascii="Times New Roman" w:hAnsi="Times New Roman" w:eastAsia="Times New Roman"/>
          <w:b w:val="0"/>
          <w:bCs w:val="0"/>
        </w:rPr>
        <w:br w:type="textWrapping"/>
      </w:r>
      <w:r>
        <w:rPr>
          <w:rFonts w:ascii="Times New Roman" w:hAnsi="Times New Roman" w:eastAsia="Times New Roman"/>
          <w:b w:val="0"/>
          <w:bCs w:val="0"/>
        </w:rPr>
        <w:t>• Prevailing: "Is the Sharpe ratio positive?" → Ours: "Is the action distribution diverse?"</w:t>
      </w:r>
      <w:r>
        <w:rPr>
          <w:rFonts w:ascii="Times New Roman" w:hAnsi="Times New Roman" w:eastAsia="Times New Roman"/>
          <w:b w:val="0"/>
          <w:bCs w:val="0"/>
        </w:rPr>
        <w:br w:type="textWrapping"/>
      </w:r>
      <w:r>
        <w:rPr>
          <w:rFonts w:ascii="Times New Roman" w:hAnsi="Times New Roman" w:eastAsia="Times New Roman"/>
          <w:b w:val="0"/>
          <w:bCs w:val="0"/>
        </w:rPr>
        <w:t>• Prevailing: "Does transfer work?" → Ours: "Is decision diversity sufficient?"</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FCTT-DA is designed to fill this blind spot. By auditing source-side diversity before transfer and verifying behavioral equivalence after transfer, the framework provides what backtests cannot: a diagnostic for decision-layer adaptation.</w:t>
      </w:r>
    </w:p>
    <w:p w14:paraId="0000001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 Related Work</w:t>
      </w:r>
    </w:p>
    <w:p w14:paraId="000000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2.1 Contextual Bandits in Finance</w:t>
      </w:r>
    </w:p>
    <w:p w14:paraId="000000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14:paraId="000000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14:paraId="0000001E">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2.2 Transfer Learning in Finance</w:t>
      </w:r>
    </w:p>
    <w:p w14:paraId="000000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14:paraId="000000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eastAsia="Times New Roman" w:cs="Google Sans"/>
          <w:i/>
          <w:iCs/>
          <w:color w:val="1F1F1F"/>
          <w:sz w:val="24"/>
          <w:rtl w:val="0"/>
        </w:rPr>
        <w:t>predictive models</w:t>
      </w:r>
      <w:r>
        <w:rPr>
          <w:rFonts w:ascii="Times New Roman" w:hAnsi="Times New Roman" w:eastAsia="Times New Roman" w:cs="Google Sans"/>
          <w:color w:val="1F1F1F"/>
          <w:sz w:val="24"/>
          <w:rtl w:val="0"/>
        </w:rPr>
        <w:t xml:space="preserve">, not </w:t>
      </w:r>
      <w:r>
        <w:rPr>
          <w:rFonts w:ascii="Times New Roman" w:hAnsi="Times New Roman" w:eastAsia="Times New Roman" w:cs="Google Sans"/>
          <w:i/>
          <w:iCs/>
          <w:color w:val="1F1F1F"/>
          <w:sz w:val="24"/>
          <w:rtl w:val="0"/>
        </w:rPr>
        <w:t>decision policies</w:t>
      </w:r>
      <w:r>
        <w:rPr>
          <w:rFonts w:ascii="Times New Roman" w:hAnsi="Times New Roman" w:eastAsia="Times New Roman" w:cs="Google Sans"/>
          <w:color w:val="1F1F1F"/>
          <w:sz w:val="24"/>
          <w:rtl w:val="0"/>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14:paraId="000000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2.3 Policy Robustness and Distributional Shift</w:t>
      </w:r>
    </w:p>
    <w:p w14:paraId="000000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14:paraId="000000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hint="eastAsia" w:ascii="Times New Roman" w:hAnsi="Times New Roman" w:eastAsia="Times New Roman" w:cs="Google Sans"/>
          <w:color w:val="1F1F1F"/>
          <w:sz w:val="24"/>
          <w:rtl w:val="0"/>
        </w:rPr>
        <w:t>collapsed across all targets and policy specifications examined in our experiments</w:t>
      </w:r>
      <w:r>
        <w:rPr>
          <w:rFonts w:ascii="Times New Roman" w:hAnsi="Times New Roman" w:eastAsia="Times New Roman" w:cs="Google Sans"/>
          <w:color w:val="1F1F1F"/>
          <w:sz w:val="24"/>
          <w:rtl w:val="0"/>
        </w:rPr>
        <w:t>.</w:t>
      </w:r>
    </w:p>
    <w:p w14:paraId="0000002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2.4 Negative Results and Model Audit</w:t>
      </w:r>
    </w:p>
    <w:p w14:paraId="0000002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14:paraId="0000002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m:oMath>
        <m:r>
          <m:rPr/>
          <m:t>58%</m:t>
        </m:r>
      </m:oMath>
      <w:r>
        <w:rPr>
          <w:rFonts w:ascii="Times New Roman" w:hAnsi="Times New Roman" w:eastAsia="Times New Roman" w:cs="Google Sans"/>
          <w:color w:val="1F1F1F"/>
          <w:sz w:val="24"/>
          <w:rtl w:val="0"/>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14:paraId="0000002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14:paraId="0000002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2.5 Calibration and Probability Thresholds</w:t>
      </w:r>
    </w:p>
    <w:p w14:paraId="000000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Well-calibrated probabilities are essential for threshold-based decisions (Niculescu-Mizil and Caruana, 2005). A classifier is well-calibrated if, among all instances predicted with probability </w:t>
      </w:r>
      <m:oMath>
        <m:r>
          <m:rPr/>
          <m:t>p</m:t>
        </m:r>
      </m:oMath>
      <w:r>
        <w:rPr>
          <w:rFonts w:ascii="Times New Roman" w:hAnsi="Times New Roman" w:eastAsia="Times New Roman" w:cs="Google Sans"/>
          <w:color w:val="1F1F1F"/>
          <w:sz w:val="24"/>
          <w:rtl w:val="0"/>
        </w:rPr>
        <w:t xml:space="preserve">, approximately a fraction </w:t>
      </w:r>
      <m:oMath>
        <m:r>
          <m:rPr/>
          <m:t>p</m:t>
        </m:r>
      </m:oMath>
      <w:r>
        <w:rPr>
          <w:rFonts w:ascii="Times New Roman" w:hAnsi="Times New Roman" w:eastAsia="Times New Roman" w:cs="Google Sans"/>
          <w:color w:val="1F1F1F"/>
          <w:sz w:val="24"/>
          <w:rtl w:val="0"/>
        </w:rPr>
        <w:t xml:space="preserve"> actually belong to the positive class. In financial applications, calibration is particularly important because trading decisions often hinge on probability thresholds—for example, buying when the predicted probability of an upward move exceeds </w:t>
      </w:r>
      <m:oMath>
        <m:r>
          <m:rPr/>
          <m:t>60%</m:t>
        </m:r>
      </m:oMath>
      <w:r>
        <w:rPr>
          <w:rFonts w:ascii="Times New Roman" w:hAnsi="Times New Roman" w:eastAsia="Times New Roman" w:cs="Google Sans"/>
          <w:color w:val="1F1F1F"/>
          <w:sz w:val="24"/>
          <w:rtl w:val="0"/>
        </w:rPr>
        <w:t>.</w:t>
      </w:r>
    </w:p>
    <w:p w14:paraId="000000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Design Choice: Deliberate Non-Calibration.</w:t>
      </w:r>
      <w:r>
        <w:rPr>
          <w:rFonts w:ascii="Times New Roman" w:hAnsi="Times New Roman" w:eastAsia="Times New Roman" w:cs="Google Sans"/>
          <w:color w:val="1F1F1F"/>
          <w:sz w:val="24"/>
          <w:rtl w:val="0"/>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14:paraId="000000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Robustness of Source Static Degeneracy.</w:t>
      </w:r>
      <w:r>
        <w:rPr>
          <w:rFonts w:ascii="Times New Roman" w:hAnsi="Times New Roman" w:eastAsia="Times New Roman" w:cs="Google Sans"/>
          <w:color w:val="1F1F1F"/>
          <w:sz w:val="24"/>
          <w:rtl w:val="0"/>
        </w:rPr>
        <w:t xml:space="preserve"> We emphasize that the Source Static Degeneracy phenomenon documented in this paper is </w:t>
      </w:r>
      <w:r>
        <w:rPr>
          <w:rFonts w:ascii="Times New Roman" w:hAnsi="Times New Roman" w:eastAsia="Times New Roman" w:cs="Google Sans"/>
          <w:b/>
          <w:bCs/>
          <w:color w:val="1F1F1F"/>
          <w:sz w:val="24"/>
          <w:rtl w:val="0"/>
        </w:rPr>
        <w:t>not an artifact of miscalibrated probabilities</w:t>
      </w:r>
      <w:r>
        <w:rPr>
          <w:rFonts w:ascii="Times New Roman" w:hAnsi="Times New Roman" w:eastAsia="Times New Roman" w:cs="Google Sans"/>
          <w:color w:val="1F1F1F"/>
          <w:sz w:val="24"/>
          <w:rtl w:val="0"/>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m:oMath>
        <m:r>
          <m:rPr/>
          <m:t>100%</m:t>
        </m:r>
      </m:oMath>
      <w:r>
        <w:rPr>
          <w:rFonts w:ascii="Times New Roman" w:hAnsi="Times New Roman" w:eastAsia="Times New Roman" w:cs="Google Sans"/>
          <w:color w:val="1F1F1F"/>
          <w:sz w:val="24"/>
          <w:rtl w:val="0"/>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14:paraId="0000002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14:paraId="0000002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2.6 Model Interpretability and Explanation</w:t>
      </w:r>
    </w:p>
    <w:p w14:paraId="0000002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14:paraId="0000002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14:paraId="0000003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14:paraId="0000003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2.7 Cross-Asset Transfer in Quantitative Finance</w:t>
      </w:r>
    </w:p>
    <w:p w14:paraId="0000003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14:paraId="0000003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14:paraId="0000003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14:paraId="0000003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2.8 Decision Gating Mechanisms</w:t>
      </w:r>
    </w:p>
    <w:p w14:paraId="0000003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14:paraId="000000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14:paraId="00000038">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 Problem Formulation</w:t>
      </w:r>
    </w:p>
    <w:p w14:paraId="0000003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3.1 Setup</w:t>
      </w:r>
    </w:p>
    <w:p w14:paraId="0000003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Consider a source asset </w:t>
      </w:r>
      <m:oMath>
        <m:r>
          <m:rPr/>
          <m:t>S</m:t>
        </m:r>
      </m:oMath>
      <w:r>
        <w:rPr>
          <w:rFonts w:ascii="Times New Roman" w:hAnsi="Times New Roman" w:eastAsia="Times New Roman"/>
        </w:rPr>
        <w:t xml:space="preserve"> and target assets </w:t>
      </w:r>
      <m:oMath>
        <m:r>
          <m:rPr/>
          <m:t>T</m:t>
        </m:r>
      </m:oMath>
      <w:r>
        <w:rPr>
          <w:rFonts w:ascii="Times New Roman" w:hAnsi="Times New Roman" w:eastAsia="Times New Roman"/>
        </w:rPr>
        <w:t xml:space="preserve">. For each asset </w:t>
      </w:r>
      <m:oMath>
        <m:r>
          <m:rPr/>
          <m:t>A</m:t>
        </m:r>
      </m:oMath>
      <w:r>
        <w:rPr>
          <w:rFonts w:ascii="Times New Roman" w:hAnsi="Times New Roman" w:eastAsia="Times New Roman"/>
        </w:rPr>
        <w:t xml:space="preserve">, we observe features </w:t>
      </w:r>
      <m:oMath>
        <m:sSubSup>
          <m:sSubSupPr/>
          <m:e>
            <m:r>
              <m:rPr>
                <m:sty m:val="b"/>
              </m:rPr>
              <m:t>x</m:t>
            </m:r>
          </m:e>
          <m:sub>
            <m:r>
              <m:rPr/>
              <m:t>t</m:t>
            </m:r>
          </m:sub>
          <m:sup>
            <m:r>
              <m:rPr/>
              <m:t>A</m:t>
            </m:r>
          </m:sup>
        </m:sSubSup>
        <m:r>
          <m:rPr>
            <m:sty m:val="p"/>
          </m:rPr>
          <m:t>∈</m:t>
        </m:r>
        <m:sSup>
          <m:sSupPr/>
          <m:e>
            <m:r>
              <m:rPr>
                <m:sty m:val="p"/>
                <m:scr m:val="double-struck"/>
              </m:rPr>
              <m:t>ℝ</m:t>
            </m:r>
          </m:e>
          <m:sup>
            <m:r>
              <m:rPr/>
              <m:t>d</m:t>
            </m:r>
          </m:sup>
        </m:sSup>
      </m:oMath>
      <w:r>
        <w:rPr>
          <w:rFonts w:ascii="Times New Roman" w:hAnsi="Times New Roman" w:eastAsia="Times New Roman"/>
        </w:rPr>
        <w:t xml:space="preserve"> at time </w:t>
      </w:r>
      <m:oMath>
        <m:r>
          <m:rPr/>
          <m:t>t</m:t>
        </m:r>
      </m:oMath>
      <w:r>
        <w:rPr>
          <w:rFonts w:ascii="Times New Roman" w:hAnsi="Times New Roman" w:eastAsia="Times New Roman"/>
        </w:rPr>
        <w:t xml:space="preserve">, a prediction </w:t>
      </w:r>
      <m:oMath>
        <m:sSubSup>
          <m:sSubSupPr/>
          <m:e>
            <m:acc>
              <m:accPr/>
              <m:e>
                <m:r>
                  <m:rPr/>
                  <m:t>p</m:t>
                </m:r>
              </m:e>
            </m:acc>
          </m:e>
          <m:sub>
            <m:r>
              <m:rPr/>
              <m:t>t</m:t>
            </m:r>
          </m:sub>
          <m:sup>
            <m:r>
              <m:rPr/>
              <m:t>A</m:t>
            </m:r>
          </m:sup>
        </m:sSubSup>
        <m:r>
          <m:rPr>
            <m:sty m:val="p"/>
          </m:rPr>
          <m:t>∈</m:t>
        </m:r>
        <m:d>
          <m:dPr>
            <m:begChr m:val="["/>
            <m:sepChr m:val=""/>
            <m:endChr m:val="]"/>
          </m:dPr>
          <m:e>
            <m:r>
              <m:rPr/>
              <m:t>0</m:t>
            </m:r>
            <m:r>
              <m:rPr>
                <m:sty m:val="p"/>
              </m:rPr>
              <m:t>,</m:t>
            </m:r>
            <m:r>
              <m:rPr/>
              <m:t>1</m:t>
            </m:r>
          </m:e>
        </m:d>
      </m:oMath>
      <w:r>
        <w:rPr>
          <w:rFonts w:ascii="Times New Roman" w:hAnsi="Times New Roman" w:eastAsia="Times New Roman"/>
        </w:rPr>
        <w:t xml:space="preserve"> generated by a machine-learning model, and the realized return </w:t>
      </w:r>
      <m:oMath>
        <m:sSubSup>
          <m:sSubSupPr/>
          <m:e>
            <m:r>
              <m:rPr/>
              <m:t>r</m:t>
            </m:r>
          </m:e>
          <m:sub>
            <m:r>
              <m:rPr/>
              <m:t>t</m:t>
            </m:r>
          </m:sub>
          <m:sup>
            <m:r>
              <m:rPr/>
              <m:t>A</m:t>
            </m:r>
          </m:sup>
        </m:sSubSup>
      </m:oMath>
      <w:r>
        <w:rPr>
          <w:rFonts w:ascii="Times New Roman" w:hAnsi="Times New Roman" w:eastAsia="Times New Roman"/>
        </w:rPr>
        <w:t>. The features capture market-state information including price momentum, volatility regimes, volume patterns, and cross-asset correlations.</w:t>
      </w:r>
    </w:p>
    <w:p w14:paraId="0000003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14:paraId="0000003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3.2 Decision Policy</w:t>
      </w:r>
    </w:p>
    <w:p w14:paraId="0000003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 decision policy </w:t>
      </w:r>
      <m:oMath>
        <m:r>
          <m:rPr/>
          <m:t>π</m:t>
        </m:r>
      </m:oMath>
      <w:r>
        <w:rPr>
          <w:rFonts w:ascii="Times New Roman" w:hAnsi="Times New Roman" w:eastAsia="Times New Roman"/>
        </w:rPr>
        <w:t xml:space="preserve"> maps the prediction and contextual information to a trading signal: </w:t>
      </w:r>
      <m:oMath>
        <m:sSub>
          <m:sSubPr/>
          <m:e>
            <m:r>
              <m:rPr/>
              <m:t>s</m:t>
            </m:r>
          </m:e>
          <m:sub>
            <m:r>
              <m:rPr/>
              <m:t>t</m:t>
            </m:r>
          </m:sub>
        </m:sSub>
        <m:r>
          <m:rPr>
            <m:sty m:val="p"/>
          </m:rPr>
          <m:t>=</m:t>
        </m:r>
        <m:r>
          <m:rPr>
            <m:sty m:val="p"/>
            <m:scr m:val="double-struck"/>
          </m:rPr>
          <m:t>1</m:t>
        </m:r>
        <m:r>
          <m:rPr/>
          <m:t>​</m:t>
        </m:r>
        <m:d>
          <m:dPr>
            <m:begChr m:val="["/>
            <m:sepChr m:val=""/>
            <m:endChr m:val="]"/>
          </m:dPr>
          <m:e>
            <m:sSub>
              <m:sSubPr/>
              <m:e>
                <m:acc>
                  <m:accPr/>
                  <m:e>
                    <m:r>
                      <m:rPr/>
                      <m:t>p</m:t>
                    </m:r>
                  </m:e>
                </m:acc>
              </m:e>
              <m:sub>
                <m:r>
                  <m:rPr/>
                  <m:t>t</m:t>
                </m:r>
              </m:sub>
            </m:sSub>
            <m:r>
              <m:rPr>
                <m:sty m:val="p"/>
              </m:rPr>
              <m:t>≥</m:t>
            </m:r>
            <m:r>
              <m:rPr/>
              <m:t>τ</m:t>
            </m:r>
            <m:d>
              <m:dPr>
                <m:sepChr m:val=""/>
              </m:dPr>
              <m:e>
                <m:sSub>
                  <m:sSubPr/>
                  <m:e>
                    <m:r>
                      <m:rPr>
                        <m:sty m:val="b"/>
                      </m:rPr>
                      <m:t>c</m:t>
                    </m:r>
                  </m:e>
                  <m:sub>
                    <m:r>
                      <m:rPr/>
                      <m:t>t</m:t>
                    </m:r>
                  </m:sub>
                </m:sSub>
              </m:e>
            </m:d>
          </m:e>
        </m:d>
      </m:oMath>
      <w:r>
        <w:rPr>
          <w:rFonts w:ascii="Times New Roman" w:hAnsi="Times New Roman" w:eastAsia="Times New Roman"/>
        </w:rPr>
        <w:t>.</w:t>
      </w:r>
    </w:p>
    <w:p w14:paraId="0000003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r>
          <m:rPr/>
          <m:t>τ</m:t>
        </m:r>
        <m:d>
          <m:dPr>
            <m:sepChr m:val=""/>
          </m:dPr>
          <m:e>
            <m:sSub>
              <m:sSubPr/>
              <m:e>
                <m:r>
                  <m:rPr>
                    <m:sty m:val="b"/>
                  </m:rPr>
                  <m:t>c</m:t>
                </m:r>
              </m:e>
              <m:sub>
                <m:r>
                  <m:rPr/>
                  <m:t>t</m:t>
                </m:r>
              </m:sub>
            </m:sSub>
          </m:e>
        </m:d>
        <m:r>
          <m:rPr>
            <m:sty m:val="p"/>
          </m:rPr>
          <m:t>∈</m:t>
        </m:r>
        <m:r>
          <m:rPr>
            <m:sty m:val="p"/>
            <m:scr m:val="script"/>
          </m:rPr>
          <m:t>T</m:t>
        </m:r>
        <m:r>
          <m:rPr>
            <m:sty m:val="p"/>
          </m:rPr>
          <m:t>={</m:t>
        </m:r>
        <m:sSub>
          <m:sSubPr/>
          <m:e>
            <m:r>
              <m:rPr/>
              <m:t>τ</m:t>
            </m:r>
          </m:e>
          <m:sub>
            <m:r>
              <m:rPr/>
              <m:t>1</m:t>
            </m:r>
          </m:sub>
        </m:sSub>
        <m:r>
          <m:rPr>
            <m:sty m:val="p"/>
          </m:rPr>
          <m:t>,…,</m:t>
        </m:r>
        <m:sSub>
          <m:sSubPr/>
          <m:e>
            <m:r>
              <m:rPr/>
              <m:t>τ</m:t>
            </m:r>
          </m:e>
          <m:sub>
            <m:r>
              <m:rPr/>
              <m:t>K</m:t>
            </m:r>
          </m:sub>
        </m:sSub>
        <m:r>
          <m:rPr>
            <m:sty m:val="p"/>
          </m:rPr>
          <m:t>}</m:t>
        </m:r>
      </m:oMath>
      <w:r>
        <w:rPr>
          <w:rFonts w:ascii="Times New Roman" w:hAnsi="Times New Roman" w:eastAsia="Times New Roman"/>
        </w:rPr>
        <w:t xml:space="preserve"> is a context-dependent threshold selected from a discrete set. The trading signal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indicates whether to take a long position in the asset.</w:t>
      </w:r>
    </w:p>
    <w:p w14:paraId="0000003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The context vector </w:t>
      </w:r>
      <m:oMath>
        <m:sSub>
          <m:sSubPr/>
          <m:e>
            <m:r>
              <m:rPr>
                <m:sty m:val="b"/>
              </m:rPr>
              <m:t>c</m:t>
            </m:r>
          </m:e>
          <m:sub>
            <m:r>
              <m:rPr/>
              <m:t>t</m:t>
            </m:r>
          </m:sub>
        </m:sSub>
        <m:r>
          <m:rPr>
            <m:sty m:val="p"/>
          </m:rPr>
          <m:t>∈</m:t>
        </m:r>
        <m:sSup>
          <m:sSupPr/>
          <m:e>
            <m:r>
              <m:rPr>
                <m:sty m:val="p"/>
                <m:scr m:val="double-struck"/>
              </m:rPr>
              <m:t>ℝ</m:t>
            </m:r>
          </m:e>
          <m:sup>
            <m:r>
              <m:rPr/>
              <m:t>3</m:t>
            </m:r>
          </m:sup>
        </m:sSup>
      </m:oMath>
      <w:r>
        <w:rPr>
          <w:rFonts w:ascii="Times New Roman" w:hAnsi="Times New Roman" w:eastAsia="Times New Roman"/>
        </w:rPr>
        <w:t xml:space="preserve"> captures three market-regime indicators:</w:t>
      </w:r>
    </w:p>
    <w:p w14:paraId="00000040">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14:paraId="00000041">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The current volatility level relative to its historical distribution, indicating whether the market is in a high or low volatility regime.</w:t>
      </w:r>
    </w:p>
    <w:p w14:paraId="00000042">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A measure of the consistency of recent price movements, distinguishing trending from mean-reverting markets.</w:t>
      </w:r>
    </w:p>
    <w:p w14:paraId="0000004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These three features were selected to capture the key dimensions of market state that are likely to affect optimal threshold selection. The discrete threshold set </w:t>
      </w:r>
      <m:oMath>
        <m:r>
          <m:rPr>
            <m:sty m:val="p"/>
            <m:scr m:val="script"/>
          </m:rPr>
          <m:t>T</m:t>
        </m:r>
        <m:r>
          <m:rPr>
            <m:sty m:val="p"/>
          </m:rPr>
          <m:t>={</m:t>
        </m:r>
        <m:r>
          <m:rPr/>
          <m:t>0.35</m:t>
        </m:r>
        <m:r>
          <m:rPr>
            <m:sty m:val="p"/>
          </m:rPr>
          <m:t>,</m:t>
        </m:r>
        <m:r>
          <m:rPr/>
          <m:t>0.45</m:t>
        </m:r>
        <m:r>
          <m:rPr>
            <m:sty m:val="p"/>
          </m:rPr>
          <m:t>,</m:t>
        </m:r>
        <m:r>
          <m:rPr/>
          <m:t>0.50</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rPr>
        <w:t xml:space="preserve"> spans a range from aggressive (low threshold, high trade frequency) to conservative (high threshold, low trade frequency). The threshold </w:t>
      </w:r>
      <m:oMath>
        <m:r>
          <m:rPr/>
          <m:t>τ</m:t>
        </m:r>
        <m:r>
          <m:rPr>
            <m:sty m:val="p"/>
          </m:rPr>
          <m:t>=</m:t>
        </m:r>
        <m:r>
          <m:rPr/>
          <m:t>1.00</m:t>
        </m:r>
      </m:oMath>
      <w:r>
        <w:rPr>
          <w:rFonts w:ascii="Times New Roman" w:hAnsi="Times New Roman" w:eastAsia="Times New Roman"/>
        </w:rPr>
        <w:t xml:space="preserve"> corresponds to the “no-trade baseline” (never taking a position), serving as a conservative default.</w:t>
      </w:r>
    </w:p>
    <w:p w14:paraId="0000004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3.3 Contextual Bandit Formulation</w:t>
      </w:r>
    </w:p>
    <w:p w14:paraId="0000004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Cambria Math" w:hAnsi="Cambria Math" w:eastAsia="Cambria Math"/>
        </w:rPr>
        <w:t>We formulate the threshold-selection problem as a contextual bandit. At each time t:</w:t>
      </w:r>
    </w:p>
    <w:p w14:paraId="00000046">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Cambria Math" w:hAnsi="Cambria Math" w:eastAsia="Cambria Math"/>
        </w:rPr>
        <w:t>Observe Context: The agent observes the context vector c_t representing the current market state.</w:t>
      </w:r>
    </w:p>
    <w:p w14:paraId="00000047">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rPr>
        <w:t xml:space="preserve">Select Action: The agent selects an action </w:t>
      </w:r>
      <m:oMath>
        <m:sSub>
          <m:sSubPr/>
          <m:e>
            <m:r>
              <m:rPr/>
              <m:t>a</m:t>
            </m:r>
          </m:e>
          <m:sub>
            <m:r>
              <m:rPr/>
              <m:t>t</m:t>
            </m:r>
          </m:sub>
        </m:sSub>
        <m:r>
          <m:rPr>
            <m:sty m:val="p"/>
          </m:rPr>
          <m:t>∈{</m:t>
        </m:r>
        <m:r>
          <m:rPr/>
          <m:t>1</m:t>
        </m:r>
        <m:r>
          <m:rPr>
            <m:sty m:val="p"/>
          </m:rPr>
          <m:t>,…,</m:t>
        </m:r>
        <m:r>
          <m:rPr/>
          <m:t>K</m:t>
        </m:r>
        <m:r>
          <m:rPr>
            <m:sty m:val="p"/>
          </m:rPr>
          <m:t>}</m:t>
        </m:r>
      </m:oMath>
      <w:r>
        <w:rPr>
          <w:rFonts w:ascii="Times New Roman" w:hAnsi="Times New Roman" w:eastAsia="Times New Roman"/>
        </w:rPr>
        <w:t xml:space="preserve">, corresponding to one of the </w:t>
      </w:r>
      <m:oMath>
        <m:r>
          <m:rPr/>
          <m:t>K</m:t>
        </m:r>
      </m:oMath>
      <w:r>
        <w:rPr>
          <w:rFonts w:ascii="Times New Roman" w:hAnsi="Times New Roman" w:eastAsia="Times New Roman"/>
        </w:rPr>
        <w:t xml:space="preserve"> thresholds in </w:t>
      </w:r>
      <m:oMath>
        <m:r>
          <m:rPr>
            <m:sty m:val="p"/>
            <m:scr m:val="script"/>
          </m:rPr>
          <m:t>T</m:t>
        </m:r>
      </m:oMath>
      <w:r>
        <w:rPr>
          <w:rFonts w:ascii="Times New Roman" w:hAnsi="Times New Roman" w:eastAsia="Times New Roman"/>
        </w:rPr>
        <w:t>.</w:t>
      </w:r>
    </w:p>
    <w:p w14:paraId="00000048">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Cambria Math" w:hAnsi="Cambria Math" w:eastAsia="Cambria Math"/>
        </w:rPr>
        <w:t>Receive Reward: The agent receives a reward r_t based on the trading performance obtained with the selected threshold.</w:t>
      </w:r>
    </w:p>
    <w:p w14:paraId="0000004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 objective is to maximize cumulative reward </w:t>
      </w:r>
      <m:oMath>
        <m:nary>
          <m:naryPr>
            <m:chr m:val="∑"/>
            <m:limLoc m:val="undOvr"/>
          </m:naryPr>
          <m:sub>
            <m:r>
              <m:rPr/>
              <m:t>t</m:t>
            </m:r>
            <m:r>
              <m:rPr>
                <m:sty m:val="p"/>
              </m:rPr>
              <m:t>=</m:t>
            </m:r>
            <m:r>
              <m:rPr/>
              <m:t>1</m:t>
            </m:r>
          </m:sub>
          <m:sup>
            <m:r>
              <m:rPr/>
              <m:t>T</m:t>
            </m:r>
          </m:sup>
          <m:e>
            <m:sSub>
              <m:sSubPr/>
              <m:e>
                <m:r>
                  <m:rPr/>
                  <m:t>r</m:t>
                </m:r>
              </m:e>
              <m:sub>
                <m:r>
                  <m:rPr/>
                  <m:t>t</m:t>
                </m:r>
              </m:sub>
            </m:sSub>
          </m:e>
        </m:nary>
      </m:oMath>
      <w:r>
        <w:rPr>
          <w:rFonts w:ascii="Times New Roman" w:hAnsi="Times New Roman" w:eastAsia="Times New Roman"/>
        </w:rPr>
        <w:t xml:space="preserve"> over the evaluation period. We use the LinUCB algorithm (Li et al., 2010) with disjoint linear models, where the expected reward for action </w:t>
      </w:r>
      <m:oMath>
        <m:r>
          <m:rPr/>
          <m:t>k</m:t>
        </m:r>
      </m:oMath>
      <w:r>
        <w:rPr>
          <w:rFonts w:ascii="Times New Roman" w:hAnsi="Times New Roman" w:eastAsia="Times New Roman"/>
        </w:rPr>
        <w:t xml:space="preserve"> is modeled as </w:t>
      </w:r>
      <m:oMath>
        <m:r>
          <m:rPr>
            <m:sty m:val="p"/>
            <m:scr m:val="double-struck"/>
          </m:rPr>
          <m:t>E</m:t>
        </m:r>
        <m:d>
          <m:dPr>
            <m:begChr m:val="["/>
            <m:sepChr m:val=""/>
            <m:endChr m:val="]"/>
          </m:dPr>
          <m:e>
            <m:sSub>
              <m:sSubPr/>
              <m:e>
                <m:r>
                  <m:rPr/>
                  <m:t>r</m:t>
                </m:r>
              </m:e>
              <m:sub>
                <m:r>
                  <m:rPr/>
                  <m:t>t</m:t>
                </m:r>
              </m:sub>
            </m:sSub>
            <m:r>
              <m:rPr>
                <m:sty m:val="p"/>
              </m:rPr>
              <m:t>∣</m:t>
            </m:r>
            <m:sSub>
              <m:sSubPr/>
              <m:e>
                <m:r>
                  <m:rPr/>
                  <m:t>a</m:t>
                </m:r>
              </m:e>
              <m:sub>
                <m:r>
                  <m:rPr/>
                  <m:t>t</m:t>
                </m:r>
              </m:sub>
            </m:sSub>
            <m:r>
              <m:rPr>
                <m:sty m:val="p"/>
              </m:rPr>
              <m:t>=</m:t>
            </m:r>
            <m:r>
              <m:rPr/>
              <m:t>k</m:t>
            </m:r>
            <m:r>
              <m:rPr>
                <m:sty m:val="p"/>
              </m:rPr>
              <m:t>,</m:t>
            </m:r>
            <m:sSub>
              <m:sSubPr/>
              <m:e>
                <m:r>
                  <m:rPr>
                    <m:sty m:val="b"/>
                  </m:rPr>
                  <m:t>c</m:t>
                </m:r>
              </m:e>
              <m:sub>
                <m:r>
                  <m:rPr/>
                  <m:t>t</m:t>
                </m:r>
              </m:sub>
            </m:sSub>
          </m:e>
        </m:d>
        <m:r>
          <m:rPr>
            <m:sty m:val="p"/>
          </m:rPr>
          <m:t>=</m:t>
        </m:r>
        <m:sSubSup>
          <m:sSubSupPr/>
          <m:e>
            <m:r>
              <m:rPr>
                <m:sty m:val="b"/>
              </m:rPr>
              <m:t>θ</m:t>
            </m:r>
          </m:e>
          <m:sub>
            <m:r>
              <m:rPr/>
              <m:t>k</m:t>
            </m:r>
          </m:sub>
          <m:sup>
            <m:r>
              <m:rPr>
                <m:sty m:val="p"/>
                <m:scr m:val="sans-serif"/>
              </m:rPr>
              <m:t>T</m:t>
            </m:r>
          </m:sup>
        </m:sSubSup>
        <m:sSub>
          <m:sSubPr/>
          <m:e>
            <m:r>
              <m:rPr>
                <m:sty m:val="b"/>
              </m:rPr>
              <m:t>c</m:t>
            </m:r>
          </m:e>
          <m:sub>
            <m:r>
              <m:rPr/>
              <m:t>t</m:t>
            </m:r>
          </m:sub>
        </m:sSub>
      </m:oMath>
      <w:r>
        <w:rPr>
          <w:rFonts w:ascii="Times New Roman" w:hAnsi="Times New Roman" w:eastAsia="Times New Roman"/>
        </w:rPr>
        <w:t>.</w:t>
      </w:r>
    </w:p>
    <w:p w14:paraId="0000004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LinUCB algorithm balances exploration and exploitation by selecting actions according to:</w:t>
      </w:r>
    </w:p>
    <w:p w14:paraId="0000004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LinUCB action is </w:t>
      </w:r>
      <m:oMath>
        <m:sSub>
          <m:sSubPr/>
          <m:e>
            <m:r>
              <m:rPr/>
              <m:t>a</m:t>
            </m:r>
          </m:e>
          <m:sub>
            <m:r>
              <m:rPr/>
              <m:t>t</m:t>
            </m:r>
          </m:sub>
        </m:sSub>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t>A</m:t>
            </m:r>
          </m:e>
          <m:sub>
            <m:r>
              <m:rPr/>
              <m:t>k</m:t>
            </m:r>
          </m:sub>
        </m:sSub>
        <m:r>
          <m:rPr>
            <m:sty m:val="p"/>
          </m:rPr>
          <m:t>=</m:t>
        </m:r>
        <m:sSub>
          <m:sSubPr/>
          <m:e>
            <m:r>
              <m:rPr/>
              <m:t>I</m:t>
            </m:r>
          </m:e>
          <m:sub>
            <m:r>
              <m:rPr/>
              <m:t>d</m:t>
            </m:r>
          </m:sub>
        </m:sSub>
        <m:r>
          <m:rPr>
            <m:sty m:val="p"/>
          </m:rPr>
          <m:t>+</m:t>
        </m:r>
        <m:nary>
          <m:naryPr>
            <m:chr m:val="∑"/>
            <m:limLoc m:val="undOvr"/>
            <m:supHide m:val="1"/>
          </m:naryPr>
          <m:sub>
            <m:r>
              <m:rPr/>
              <m:t>τ</m:t>
            </m:r>
            <m:r>
              <m:rPr>
                <m:sty m:val="p"/>
              </m:rPr>
              <m:t>:</m:t>
            </m:r>
            <m:sSub>
              <m:sSubPr/>
              <m:e>
                <m:r>
                  <m:rPr/>
                  <m:t>a</m:t>
                </m:r>
              </m:e>
              <m:sub>
                <m:r>
                  <m:rPr/>
                  <m:t>τ</m:t>
                </m:r>
              </m:sub>
            </m:sSub>
            <m:r>
              <m:rPr>
                <m:sty m:val="p"/>
              </m:rPr>
              <m:t>=</m:t>
            </m:r>
            <m:r>
              <m:rPr/>
              <m:t>k</m:t>
            </m:r>
          </m:sub>
          <m:sup>
            <m:r>
              <m:rPr/>
              <m:t>​</m:t>
            </m:r>
          </m:sup>
          <m:e>
            <m:sSub>
              <m:sSubPr/>
              <m:e>
                <m:r>
                  <m:rPr>
                    <m:sty m:val="b"/>
                  </m:rPr>
                  <m:t>c</m:t>
                </m:r>
              </m:e>
              <m:sub>
                <m:r>
                  <m:rPr/>
                  <m:t>τ</m:t>
                </m:r>
              </m:sub>
            </m:sSub>
          </m:e>
        </m:nary>
        <m:sSubSup>
          <m:sSubSupPr/>
          <m:e>
            <m:r>
              <m:rPr>
                <m:sty m:val="b"/>
              </m:rPr>
              <m:t>c</m:t>
            </m:r>
          </m:e>
          <m:sub>
            <m:r>
              <m:rPr/>
              <m:t>τ</m:t>
            </m:r>
          </m:sub>
          <m:sup>
            <m:r>
              <m:rPr>
                <m:sty m:val="p"/>
                <m:scr m:val="sans-serif"/>
              </m:rPr>
              <m:t>T</m:t>
            </m:r>
          </m:sup>
        </m:sSubSup>
      </m:oMath>
      <w:r>
        <w:rPr>
          <w:rFonts w:ascii="Times New Roman" w:hAnsi="Times New Roman" w:eastAsia="Times New Roman"/>
        </w:rPr>
        <w:t xml:space="preserve"> is the design matrix for action </w:t>
      </w:r>
      <m:oMath>
        <m:r>
          <m:rPr/>
          <m:t>k</m:t>
        </m:r>
      </m:oMath>
      <w:r>
        <w:rPr>
          <w:rFonts w:ascii="Times New Roman" w:hAnsi="Times New Roman" w:eastAsia="Times New Roman"/>
        </w:rPr>
        <w:t xml:space="preserve">, and </w:t>
      </w:r>
      <m:oMath>
        <m:r>
          <m:rPr/>
          <m:t>α</m:t>
        </m:r>
        <m:r>
          <m:rPr>
            <m:sty m:val="p"/>
          </m:rPr>
          <m:t>&gt;</m:t>
        </m:r>
        <m:r>
          <m:rPr/>
          <m:t>0</m:t>
        </m:r>
      </m:oMath>
      <w:r>
        <w:rPr>
          <w:rFonts w:ascii="Times New Roman" w:hAnsi="Times New Roman" w:eastAsia="Times New Roman"/>
        </w:rPr>
        <w:t xml:space="preserve"> is the exploration parameter. We set </w:t>
      </w:r>
      <m:oMath>
        <m:r>
          <m:rPr/>
          <m:t>α</m:t>
        </m:r>
        <m:r>
          <m:rPr>
            <m:sty m:val="p"/>
          </m:rPr>
          <m:t>=</m:t>
        </m:r>
        <m:r>
          <m:rPr/>
          <m:t>0.3</m:t>
        </m:r>
      </m:oMath>
      <w:r>
        <w:rPr>
          <w:rFonts w:ascii="Times New Roman" w:hAnsi="Times New Roman" w:eastAsia="Times New Roman"/>
        </w:rPr>
        <w:t xml:space="preserve"> based on preliminary experiments.</w:t>
      </w:r>
    </w:p>
    <w:p w14:paraId="0000004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3.4 Zero-Shot Transfer</w:t>
      </w:r>
    </w:p>
    <w:p w14:paraId="0000004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14:paraId="0000004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Formally, the transferred policy on target </w:t>
      </w:r>
      <m:oMath>
        <m:r>
          <m:rPr/>
          <m:t>T</m:t>
        </m:r>
      </m:oMath>
      <w:r>
        <w:rPr>
          <w:rFonts w:ascii="Times New Roman" w:hAnsi="Times New Roman" w:eastAsia="Times New Roman"/>
        </w:rPr>
        <w:t xml:space="preserve"> is </w:t>
      </w:r>
      <m:oMath>
        <m:sSub>
          <m:sSubPr/>
          <m:e>
            <m:r>
              <m:rPr/>
              <m:t>π</m:t>
            </m:r>
          </m:e>
          <m:sub>
            <m:r>
              <m:rPr/>
              <m:t>T</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bSup>
                  <m:sSubSupPr/>
                  <m:e>
                    <m:r>
                      <m:rPr/>
                      <m:t>a</m:t>
                    </m:r>
                  </m:e>
                  <m:sub>
                    <m:r>
                      <m:rPr/>
                      <m:t>t</m:t>
                    </m:r>
                  </m:sub>
                  <m:sup>
                    <m:r>
                      <m:rPr>
                        <m:sty m:val="p"/>
                      </m:rPr>
                      <m:t>∗</m:t>
                    </m:r>
                  </m:sup>
                </m:sSubSup>
              </m:sub>
            </m:sSub>
          </m:e>
        </m:d>
      </m:oMath>
      <w:r>
        <w:rPr>
          <w:rFonts w:ascii="Times New Roman" w:hAnsi="Times New Roman" w:eastAsia="Times New Roman"/>
        </w:rPr>
        <w:t xml:space="preserve">, where </w:t>
      </w:r>
      <m:oMath>
        <m:sSubSup>
          <m:sSubSupPr/>
          <m:e>
            <m:r>
              <m:rPr/>
              <m:t>a</m:t>
            </m:r>
          </m:e>
          <m:sub>
            <m:r>
              <m:rPr/>
              <m:t>t</m:t>
            </m:r>
          </m:sub>
          <m:sup>
            <m:r>
              <m:rPr>
                <m:sty m:val="p"/>
              </m:rPr>
              <m:t>∗</m:t>
            </m:r>
          </m:sup>
        </m:sSubSup>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p>
              <m:sSupPr/>
              <m:e>
                <m:d>
                  <m:dPr>
                    <m:sepChr m:val=""/>
                  </m:dPr>
                  <m:e>
                    <m:sSubSup>
                      <m:sSubSupPr/>
                      <m:e>
                        <m:r>
                          <m:rPr>
                            <m:sty m:val="b"/>
                          </m:rPr>
                          <m:t>θ</m:t>
                        </m:r>
                      </m:e>
                      <m:sub>
                        <m:r>
                          <m:rPr/>
                          <m:t>k</m:t>
                        </m:r>
                      </m:sub>
                      <m:sup>
                        <m:r>
                          <m:rPr/>
                          <m:t>S</m:t>
                        </m:r>
                      </m:sup>
                    </m:sSubSup>
                  </m:e>
                </m:d>
              </m:e>
              <m:sup>
                <m:r>
                  <m:rPr>
                    <m:sty m:val="p"/>
                    <m:scr m:val="sans-serif"/>
                  </m:rPr>
                  <m:t>T</m:t>
                </m:r>
              </m:sup>
            </m:s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p>
                  <m:sSupPr/>
                  <m:e>
                    <m:d>
                      <m:dPr>
                        <m:sepChr m:val=""/>
                      </m:dPr>
                      <m:e>
                        <m:sSubSup>
                          <m:sSubSupPr/>
                          <m:e>
                            <m:r>
                              <m:rPr/>
                              <m:t>A</m:t>
                            </m:r>
                          </m:e>
                          <m:sub>
                            <m:r>
                              <m:rPr/>
                              <m:t>k</m:t>
                            </m:r>
                          </m:sub>
                          <m:sup>
                            <m:r>
                              <m:rPr/>
                              <m:t>S</m:t>
                            </m:r>
                          </m:sup>
                        </m:sSubSup>
                      </m:e>
                    </m:d>
                  </m:e>
                  <m:sup>
                    <m:r>
                      <m:rPr>
                        <m:sty m:val="p"/>
                      </m:rPr>
                      <m:t>−</m:t>
                    </m:r>
                    <m:r>
                      <m:rPr/>
                      <m:t>1</m:t>
                    </m:r>
                  </m:sup>
                </m:sSup>
                <m:sSub>
                  <m:sSubPr/>
                  <m:e>
                    <m:r>
                      <m:rPr>
                        <m:sty m:val="b"/>
                      </m:rPr>
                      <m:t>c</m:t>
                    </m:r>
                  </m:e>
                  <m:sub>
                    <m:r>
                      <m:rPr/>
                      <m:t>t</m:t>
                    </m:r>
                  </m:sub>
                </m:sSub>
              </m:e>
            </m:rad>
          </m:e>
        </m:d>
      </m:oMath>
      <w:r>
        <w:rPr>
          <w:rFonts w:ascii="Times New Roman" w:hAnsi="Times New Roman" w:eastAsia="Times New Roman"/>
        </w:rPr>
        <w:t>.</w:t>
      </w:r>
    </w:p>
    <w:p w14:paraId="0000004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sty m:val="b"/>
              </m:rPr>
              <m:t>θ</m:t>
            </m:r>
          </m:e>
          <m:sub>
            <m:r>
              <m:rPr/>
              <m:t>k</m:t>
            </m:r>
          </m:sub>
          <m:sup>
            <m:r>
              <m:rPr/>
              <m:t>S</m:t>
            </m:r>
          </m:sup>
        </m:sSubSup>
      </m:oMath>
      <w:r>
        <w:rPr>
          <w:rFonts w:ascii="Times New Roman" w:hAnsi="Times New Roman" w:eastAsia="Times New Roman"/>
        </w:rPr>
        <w:t xml:space="preserve"> and </w:t>
      </w:r>
      <m:oMath>
        <m:sSubSup>
          <m:sSubSupPr/>
          <m:e>
            <m:r>
              <m:rPr/>
              <m:t>A</m:t>
            </m:r>
          </m:e>
          <m:sub>
            <m:r>
              <m:rPr/>
              <m:t>k</m:t>
            </m:r>
          </m:sub>
          <m:sup>
            <m:r>
              <m:rPr/>
              <m:t>S</m:t>
            </m:r>
          </m:sup>
        </m:sSubSup>
      </m:oMath>
      <w:r>
        <w:rPr>
          <w:rFonts w:ascii="Times New Roman" w:hAnsi="Times New Roman" w:eastAsia="Times New Roman"/>
        </w:rPr>
        <w:t xml:space="preserve"> are the parameters learned on the source asset.</w:t>
      </w:r>
    </w:p>
    <w:p w14:paraId="0000005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3.5 The Collapse Question</w:t>
      </w:r>
    </w:p>
    <w:p w14:paraId="00000051">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now formalize the collapse phenomenon that motivates our work.</w:t>
      </w:r>
    </w:p>
    <w:p w14:paraId="00000052">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t>Definition 1 (Severe Collapse). A policy π exhibits severe collapse on target T if:</w:t>
      </w:r>
    </w:p>
    <w:p w14:paraId="00000053">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 xml:space="preserve">Modal-Action Share: </w:t>
      </w:r>
      <m:oMath>
        <m:sSub>
          <m:sSubPr/>
          <m:e>
            <m:r>
              <m:rPr>
                <m:sty m:val="p"/>
              </m:rPr>
              <m:t>max</m:t>
            </m:r>
          </m:e>
          <m:sub>
            <m:r>
              <m:rPr/>
              <m:t>k</m:t>
            </m:r>
          </m:sub>
        </m:sSub>
        <m:sSub>
          <m:sSubPr/>
          <m:e>
            <m:acc>
              <m:accPr/>
              <m:e>
                <m:r>
                  <m:rPr/>
                  <m:t>p</m:t>
                </m:r>
              </m:e>
            </m:acc>
          </m:e>
          <m:sub>
            <m:r>
              <m:rPr/>
              <m:t>k</m:t>
            </m:r>
          </m:sub>
        </m:sSub>
        <m:r>
          <m:rPr>
            <m:sty m:val="p"/>
          </m:rPr>
          <m:t>≥</m:t>
        </m:r>
        <m:r>
          <m:rPr/>
          <m:t>0.90</m:t>
        </m:r>
      </m:oMath>
      <w:r>
        <w:rPr>
          <w:rFonts w:ascii="Times New Roman" w:hAnsi="Times New Roman" w:eastAsia="Times New Roman"/>
        </w:rPr>
        <w:t xml:space="preserve">, where </w:t>
      </w:r>
      <m:oMath>
        <m:sSub>
          <m:sSubPr/>
          <m:e>
            <m:acc>
              <m:accPr/>
              <m:e>
                <m:r>
                  <m:rPr/>
                  <m:t>p</m:t>
                </m:r>
              </m:e>
            </m:acc>
          </m:e>
          <m:sub>
            <m:r>
              <m:rPr/>
              <m:t>k</m:t>
            </m:r>
          </m:sub>
        </m:sSub>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d>
          <m:dPr>
            <m:begChr m:val="["/>
            <m:sepChr m:val=""/>
            <m:endChr m:val="]"/>
          </m:dPr>
          <m:e>
            <m:sSub>
              <m:sSubPr/>
              <m:e>
                <m:r>
                  <m:rPr/>
                  <m:t>a</m:t>
                </m:r>
              </m:e>
              <m:sub>
                <m:r>
                  <m:rPr/>
                  <m:t>t</m:t>
                </m:r>
              </m:sub>
            </m:sSub>
            <m:r>
              <m:rPr>
                <m:sty m:val="p"/>
              </m:rPr>
              <m:t>=</m:t>
            </m:r>
            <m:r>
              <m:rPr/>
              <m:t>k</m:t>
            </m:r>
          </m:e>
        </m:d>
      </m:oMath>
      <w:r>
        <w:rPr>
          <w:rFonts w:ascii="Times New Roman" w:hAnsi="Times New Roman" w:eastAsia="Times New Roman"/>
        </w:rPr>
        <w:t xml:space="preserve"> is the empirical frequency of action </w:t>
      </w:r>
      <m:oMath>
        <m:r>
          <m:rPr/>
          <m:t>k</m:t>
        </m:r>
      </m:oMath>
      <w:r>
        <w:rPr>
          <w:rFonts w:ascii="Times New Roman" w:hAnsi="Times New Roman" w:eastAsia="Times New Roman"/>
        </w:rPr>
        <w:t>.</w:t>
      </w:r>
    </w:p>
    <w:p w14:paraId="00000054">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 xml:space="preserve">Normalized Entropy: </w:t>
      </w:r>
      <m:oMath>
        <m:f>
          <m:fPr/>
          <m:num>
            <m:r>
              <m:rPr/>
              <m:t>H</m:t>
            </m:r>
            <m:d>
              <m:dPr>
                <m:sepChr m:val=""/>
              </m:dPr>
              <m:e>
                <m:acc>
                  <m:accPr/>
                  <m:e>
                    <m:r>
                      <m:rPr>
                        <m:sty m:val="b"/>
                      </m:rPr>
                      <m:t>p</m:t>
                    </m:r>
                  </m:e>
                </m:acc>
              </m:e>
            </m:d>
          </m:num>
          <m:den>
            <m:r>
              <m:rPr>
                <m:sty m:val="p"/>
              </m:rPr>
              <m:t>log</m:t>
            </m:r>
            <m:r>
              <m:rPr/>
              <m:t>K</m:t>
            </m:r>
          </m:den>
        </m:f>
        <m:r>
          <m:rPr>
            <m:sty m:val="p"/>
          </m:rPr>
          <m:t>≤</m:t>
        </m:r>
        <m:r>
          <m:rPr/>
          <m:t>0.25</m:t>
        </m:r>
      </m:oMath>
      <w:r>
        <w:rPr>
          <w:rFonts w:ascii="Times New Roman" w:hAnsi="Times New Roman" w:eastAsia="Times New Roman"/>
        </w:rPr>
        <w:t xml:space="preserve">, where </w:t>
      </w:r>
      <m:oMath>
        <m:r>
          <m:rPr/>
          <m:t>H</m:t>
        </m:r>
        <m:d>
          <m:dPr>
            <m:sepChr m:val=""/>
          </m:dPr>
          <m:e>
            <m:acc>
              <m:accPr/>
              <m:e>
                <m:r>
                  <m:rPr>
                    <m:sty m:val="b"/>
                  </m:rPr>
                  <m:t>p</m:t>
                </m:r>
              </m:e>
            </m:acc>
          </m:e>
        </m:d>
        <m:r>
          <m:rPr>
            <m:sty m:val="p"/>
          </m:rPr>
          <m:t>=−</m:t>
        </m:r>
        <m:nary>
          <m:naryPr>
            <m:chr m:val="∑"/>
            <m:limLoc m:val="undOvr"/>
          </m:naryPr>
          <m:sub>
            <m:r>
              <m:rPr/>
              <m:t>k</m:t>
            </m:r>
            <m:r>
              <m:rPr>
                <m:sty m:val="p"/>
              </m:rPr>
              <m:t>=</m:t>
            </m:r>
            <m:r>
              <m:rPr/>
              <m:t>1</m:t>
            </m:r>
          </m:sub>
          <m:sup>
            <m:r>
              <m:rPr/>
              <m:t>K</m:t>
            </m:r>
          </m:sup>
          <m:e>
            <m:sSub>
              <m:sSubPr/>
              <m:e>
                <m:acc>
                  <m:accPr/>
                  <m:e>
                    <m:r>
                      <m:rPr/>
                      <m:t>p</m:t>
                    </m:r>
                  </m:e>
                </m:acc>
              </m:e>
              <m:sub>
                <m:r>
                  <m:rPr/>
                  <m:t>k</m:t>
                </m:r>
              </m:sub>
            </m:sSub>
          </m:e>
        </m:nary>
        <m:r>
          <m:rPr>
            <m:sty m:val="p"/>
          </m:rPr>
          <m:t>log</m:t>
        </m:r>
        <m:sSub>
          <m:sSubPr/>
          <m:e>
            <m:acc>
              <m:accPr/>
              <m:e>
                <m:r>
                  <m:rPr/>
                  <m:t>p</m:t>
                </m:r>
              </m:e>
            </m:acc>
          </m:e>
          <m:sub>
            <m:r>
              <m:rPr/>
              <m:t>k</m:t>
            </m:r>
          </m:sub>
        </m:sSub>
      </m:oMath>
      <w:r>
        <w:rPr>
          <w:rFonts w:ascii="Times New Roman" w:hAnsi="Times New Roman" w:eastAsia="Times New Roman"/>
        </w:rPr>
        <w:t xml:space="preserve"> is the entropy of the action distribution.</w:t>
      </w:r>
    </w:p>
    <w:p w14:paraId="00000055">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Severe collapse indicates that the policy has effectively degenerated into a static rule, selecting the same action for almost all contexts. This defeats the purpose of using a contextual bandit, which is to adapt the threshold based on market conditions.</w:t>
      </w:r>
    </w:p>
    <w:p w14:paraId="000000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2 (Source Degeneracy). A source policy </w:t>
      </w:r>
      <m:oMath>
        <m:sSub>
          <m:sSubPr/>
          <m:e>
            <m:r>
              <m:rPr/>
              <m:t>π</m:t>
            </m:r>
          </m:e>
          <m:sub>
            <m:r>
              <m:rPr/>
              <m:t>S</m:t>
            </m:r>
          </m:sub>
        </m:sSub>
      </m:oMath>
      <w:r>
        <w:rPr>
          <w:rFonts w:ascii="Times New Roman" w:hAnsi="Times New Roman" w:eastAsia="Times New Roman"/>
        </w:rPr>
        <w:t xml:space="preserve"> is degenerate if its modal-action share during source-side evaluation exceeds </w:t>
      </w:r>
      <m:oMath>
        <m:sSub>
          <m:sSubPr/>
          <m:e>
            <m:r>
              <m:rPr/>
              <m:t>γ</m:t>
            </m:r>
          </m:e>
          <m:sub>
            <m:r>
              <m:rPr/>
              <m:t>S</m:t>
            </m:r>
          </m:sub>
        </m:sSub>
      </m:oMath>
      <w:r>
        <w:rPr>
          <w:rFonts w:ascii="Times New Roman" w:hAnsi="Times New Roman" w:eastAsia="Times New Roman"/>
        </w:rPr>
        <w:t xml:space="preserve">. We use </w:t>
      </w:r>
      <m:oMath>
        <m:sSub>
          <m:sSubPr/>
          <m:e>
            <m:r>
              <m:rPr/>
              <m:t>γ</m:t>
            </m:r>
          </m:e>
          <m:sub>
            <m:r>
              <m:rPr/>
              <m:t>S</m:t>
            </m:r>
          </m:sub>
        </m:sSub>
        <m:r>
          <m:rPr>
            <m:sty m:val="p"/>
          </m:rPr>
          <m:t>=</m:t>
        </m:r>
        <m:r>
          <m:rPr/>
          <m:t>0.90</m:t>
        </m:r>
      </m:oMath>
      <w:r>
        <w:rPr>
          <w:rFonts w:ascii="Times New Roman" w:hAnsi="Times New Roman" w:eastAsia="Times New Roman"/>
        </w:rPr>
        <w:t xml:space="preserve"> throughout this paper.</w:t>
      </w:r>
    </w:p>
    <w:p w14:paraId="000000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our empirical sample, source degeneracy perfectly classifies the observed target-collapse outcomes. If the source policy already concentrates on a single action, the transferred policy has no demonstrated source-side evidence of contextual adaptation to preserve.</w:t>
      </w:r>
    </w:p>
    <w:p w14:paraId="0000005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3 (Behavioral Equivalence). A policy </w:t>
      </w:r>
      <m:oMath>
        <m:sSub>
          <m:sSubPr/>
          <m:e>
            <m:r>
              <m:rPr/>
              <m:t>π</m:t>
            </m:r>
          </m:e>
          <m:sub>
            <m:r>
              <m:rPr/>
              <m:t>S</m:t>
            </m:r>
          </m:sub>
        </m:sSub>
      </m:oMath>
      <w:r>
        <w:rPr>
          <w:rFonts w:ascii="Times New Roman" w:hAnsi="Times New Roman" w:eastAsia="Times New Roman"/>
        </w:rPr>
        <w:t xml:space="preserve"> is behaviorally equivalent to a static threshold </w:t>
      </w:r>
      <m:oMath>
        <m:sSub>
          <m:sSubPr/>
          <m:e>
            <m:r>
              <m:rPr/>
              <m:t>τ</m:t>
            </m:r>
          </m:e>
          <m:sub>
            <m:sSup>
              <m:sSupPr/>
              <m:e>
                <m:r>
                  <m:rPr/>
                  <m:t>k</m:t>
                </m:r>
              </m:e>
              <m:sup>
                <m:r>
                  <m:rPr>
                    <m:sty m:val="p"/>
                  </m:rPr>
                  <m:t>∗</m:t>
                </m:r>
              </m:sup>
            </m:sSup>
          </m:sub>
        </m:sSub>
      </m:oMath>
      <w:r>
        <w:rPr>
          <w:rFonts w:ascii="Times New Roman" w:hAnsi="Times New Roman" w:eastAsia="Times New Roman"/>
        </w:rPr>
        <w:t xml:space="preserve"> on target </w:t>
      </w:r>
      <m:oMath>
        <m:r>
          <m:rPr/>
          <m:t>T</m:t>
        </m:r>
      </m:oMath>
      <w:r>
        <w:rPr>
          <w:rFonts w:ascii="Times New Roman" w:hAnsi="Times New Roman" w:eastAsia="Times New Roman"/>
        </w:rPr>
        <w:t xml:space="preserve"> if </w:t>
      </w:r>
      <m:oMath>
        <m:sSub>
          <m:sSubPr/>
          <m:e>
            <m:r>
              <m:rPr/>
              <m:t>π</m:t>
            </m:r>
          </m:e>
          <m:sub>
            <m:r>
              <m:rPr/>
              <m:t>S</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r>
          <m:rPr/>
          <m:t> </m:t>
        </m:r>
        <m:r>
          <m:rPr>
            <m:sty m:val="p"/>
          </m:rPr>
          <m:t>∀</m:t>
        </m:r>
        <m:r>
          <m:rPr/>
          <m:t> </m:t>
        </m:r>
        <m:sSub>
          <m:sSubPr/>
          <m:e>
            <m:r>
              <m:rPr>
                <m:sty m:val="b"/>
              </m:rPr>
              <m:t>c</m:t>
            </m:r>
          </m:e>
          <m:sub>
            <m:r>
              <m:rPr/>
              <m:t>t</m:t>
            </m:r>
          </m:sub>
        </m:sSub>
        <m:r>
          <m:rPr>
            <m:sty m:val="p"/>
          </m:rPr>
          <m:t>∈</m:t>
        </m:r>
        <m:sSub>
          <m:sSubPr/>
          <m:e>
            <m:r>
              <m:rPr>
                <m:sty m:val="p"/>
                <m:scr m:val="script"/>
              </m:rPr>
              <m:t>C</m:t>
            </m:r>
          </m:e>
          <m:sub>
            <m:r>
              <m:rPr/>
              <m:t>T</m:t>
            </m:r>
          </m:sub>
        </m:sSub>
      </m:oMath>
      <w:r>
        <w:rPr>
          <w:rFonts w:ascii="Times New Roman" w:hAnsi="Times New Roman" w:eastAsia="Times New Roman"/>
        </w:rPr>
        <w:t>.</w:t>
      </w:r>
    </w:p>
    <w:p w14:paraId="000000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14:paraId="0000005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 Algorithm: FCTT-DA</w:t>
      </w:r>
    </w:p>
    <w:p w14:paraId="0000005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4.1 Architecture</w:t>
      </w:r>
    </w:p>
    <w:p w14:paraId="0000005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Frozen Contextual Threshold Transfer with Degeneracy Audit (FCTT-DA) framework consists of three distinct modules designed to diagnose and mitigate cross-asset policy transfer failures.</w:t>
      </w:r>
    </w:p>
    <w:p w14:paraId="0000005D">
      <w:pPr>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5" w:lineRule="auto"/>
        <w:jc w:val="center"/>
        <w:rPr>
          <w:rFonts w:hint="eastAsia" w:ascii="Google Sans" w:hAnsi="Google Sans" w:eastAsia="Google Sans" w:cs="Google Sans"/>
          <w:color w:val="1F1F1F"/>
          <w:lang w:eastAsia="zh-CN"/>
        </w:rPr>
      </w:pPr>
      <w:r>
        <w:rPr>
          <w:rFonts w:hint="eastAsia" w:ascii="Times New Roman" w:hAnsi="Times New Roman" w:eastAsia="Times New Roman" w:cs="Google Sans"/>
          <w:color w:val="1F1F1F"/>
          <w:sz w:val="24"/>
          <w:lang w:eastAsia="zh-CN"/>
        </w:rPr>
        <w:drawing>
          <wp:inline distT="0" distB="0" distL="114300" distR="114300">
            <wp:extent cx="5941695" cy="7425055"/>
            <wp:effectExtent l="0" t="0" r="1905" b="17145"/>
            <wp:docPr id="2" name="图片 2" descr="ChatGPT Image 2026年7月13日 14_49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3日 14_49_59"/>
                    <pic:cNvPicPr>
                      <a:picLocks noChangeAspect="1"/>
                    </pic:cNvPicPr>
                  </pic:nvPicPr>
                  <pic:blipFill>
                    <a:blip r:embed="rId7"/>
                    <a:stretch>
                      <a:fillRect/>
                    </a:stretch>
                  </pic:blipFill>
                  <pic:spPr>
                    <a:xfrm>
                      <a:off x="0" y="0"/>
                      <a:ext cx="5941695" cy="7425055"/>
                    </a:xfrm>
                    <a:prstGeom prst="rect">
                      <a:avLst/>
                    </a:prstGeom>
                  </pic:spPr>
                </pic:pic>
              </a:graphicData>
            </a:graphic>
          </wp:inline>
        </w:drawing>
      </w:r>
    </w:p>
    <w:p w14:paraId="2CEF7AF5">
      <w:pPr>
        <w:jc w:val="center"/>
      </w:pPr>
      <w:r>
        <w:rPr>
          <w:rFonts w:ascii="Times New Roman" w:hAnsi="Times New Roman"/>
          <w:i/>
          <w:sz w:val="18"/>
        </w:rPr>
        <w:t>Figure 1. Architecture of the FCTT-DA framework. The framework integrates a local predictor, a frozen contextual threshold policy, and a degeneracy audit engine.</w:t>
      </w:r>
    </w:p>
    <w:p w14:paraId="2B1A305E">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1: Local Predictor. For each asset, we train a gradient boosted tree (GBT) using walk-forward validation. The training window is </w:t>
      </w:r>
      <w:r>
        <w:rPr>
          <w:rFonts w:hint="eastAsia" w:eastAsia="宋体"/>
          <w:lang w:val="en-US" w:eastAsia="zh-CN"/>
        </w:rPr>
        <w:t>504</w:t>
      </w:r>
      <w:r>
        <w:rPr>
          <w:rFonts w:ascii="Times New Roman" w:hAnsi="Times New Roman" w:eastAsia="Times New Roman"/>
        </w:rPr>
        <w:t xml:space="preserve"> trading days (approximately two years), the test window is </w:t>
      </w:r>
      <w:r>
        <w:rPr>
          <w:rFonts w:hint="eastAsia" w:eastAsia="宋体"/>
          <w:lang w:val="en-US" w:eastAsia="zh-CN"/>
        </w:rPr>
        <w:t>63</w:t>
      </w:r>
      <w:r>
        <w:rPr>
          <w:rFonts w:ascii="Times New Roman" w:hAnsi="Times New Roman" w:eastAsia="Times New Roman"/>
        </w:rPr>
        <w:t xml:space="preserve"> trading days (approximately one quarter), and the step size is </w:t>
      </w:r>
      <w:r>
        <w:rPr>
          <w:rFonts w:hint="eastAsia" w:eastAsia="宋体"/>
          <w:lang w:val="en-US" w:eastAsia="zh-CN"/>
        </w:rPr>
        <w:t>63</w:t>
      </w:r>
      <w:r>
        <w:rPr>
          <w:rFonts w:ascii="Times New Roman" w:hAnsi="Times New Roman" w:eastAsia="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14:paraId="0000005F">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2: Frozen Contextual Threshold Policy. The threshold selection policy is a LinUCB algorithm with </w:t>
      </w:r>
      <w:r>
        <w:rPr>
          <w:rFonts w:ascii="Times New Roman" w:hAnsi="Times New Roman" w:eastAsia="Times New Roman"/>
          <w:lang w:val="en-US" w:eastAsia="zh-CN"/>
        </w:rPr>
        <w:t>α=0.3</w:t>
      </w:r>
      <w:r>
        <w:rPr>
          <w:rFonts w:ascii="Times New Roman" w:hAnsi="Times New Roman" w:eastAsia="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hint="eastAsia" w:ascii="Times New Roman" w:hAnsi="Times New Roman" w:eastAsia="Times New Roman"/>
        </w:rPr>
        <w:t>T={0.35,0.45,0.50,0.55,0.65,0.75,1.00}</w:t>
      </w:r>
      <w:r>
        <w:rPr>
          <w:rFonts w:ascii="Times New Roman" w:hAnsi="Times New Roman" w:eastAsia="Times New Roman"/>
        </w:rPr>
        <w:t>.</w:t>
      </w:r>
    </w:p>
    <w:p w14:paraId="00000060">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Module 3: Degeneracy Audit.</w:t>
      </w:r>
      <w:r>
        <w:rPr>
          <w:rFonts w:ascii="Times New Roman" w:hAnsi="Times New Roman" w:eastAsia="Times New Roman" w:cs="Google Sans"/>
          <w:color w:val="1F1F1F"/>
          <w:sz w:val="24"/>
          <w:rtl w:val="0"/>
        </w:rPr>
        <w:t xml:space="preserve"> Before deploying the transferred policy on a target asset, we perform pre-deployment diagnostics on the source policy. The audit includes three metrics:</w:t>
      </w:r>
    </w:p>
    <w:p w14:paraId="00000061">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b/>
          <w:bCs/>
          <w:color w:val="1F1F1F"/>
          <w:sz w:val="24"/>
          <w:rtl w:val="0"/>
        </w:rPr>
        <w:t>Normalized action entropy:</w:t>
      </w:r>
      <w:r>
        <w:rPr>
          <w:rFonts w:ascii="Times New Roman" w:hAnsi="Times New Roman" w:eastAsia="Times New Roman" w:cs="Google Sans"/>
          <w:color w:val="1F1F1F"/>
          <w:sz w:val="24"/>
          <w:rtl w:val="0"/>
        </w:rPr>
        <w:t xml:space="preserve"> </w:t>
      </w:r>
      <m:oMath>
        <m:r>
          <m:rPr/>
          <m:t>H</m:t>
        </m:r>
        <m:d>
          <m:dPr>
            <m:sepChr m:val=""/>
          </m:dPr>
          <m:e>
            <m:acc>
              <m:accPr/>
              <m:e>
                <m:r>
                  <m:rPr>
                    <m:sty m:val="b"/>
                  </m:rPr>
                  <m:t>p</m:t>
                </m:r>
              </m:e>
            </m:acc>
          </m:e>
        </m:d>
        <m:r>
          <m:rPr>
            <m:sty m:val="p"/>
          </m:rPr>
          <m:t>/log</m:t>
        </m:r>
        <m:r>
          <m:rPr/>
          <m:t>K</m:t>
        </m:r>
      </m:oMath>
      <w:r>
        <w:rPr>
          <w:rFonts w:ascii="Times New Roman" w:hAnsi="Times New Roman" w:eastAsia="Times New Roman" w:cs="Google Sans"/>
          <w:color w:val="1F1F1F"/>
          <w:sz w:val="24"/>
          <w:rtl w:val="0"/>
        </w:rPr>
        <w:t>, measuring the diversity of action selections.</w:t>
      </w:r>
    </w:p>
    <w:p w14:paraId="00000062">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b/>
          <w:bCs/>
          <w:color w:val="1F1F1F"/>
          <w:sz w:val="24"/>
          <w:rtl w:val="0"/>
        </w:rPr>
        <w:t>Modal-action share:</w:t>
      </w:r>
      <w:r>
        <w:rPr>
          <w:rFonts w:ascii="Times New Roman" w:hAnsi="Times New Roman" w:eastAsia="Times New Roman" w:cs="Google Sans"/>
          <w:color w:val="1F1F1F"/>
          <w:sz w:val="24"/>
          <w:rtl w:val="0"/>
        </w:rPr>
        <w:t xml:space="preserve"> </w:t>
      </w:r>
      <m:oMath>
        <m:limLow>
          <m:limLowPr/>
          <m:e>
            <m:r>
              <m:rPr>
                <m:sty m:val="p"/>
              </m:rPr>
              <m:t>max</m:t>
            </m:r>
          </m:e>
          <m:lim>
            <m:r>
              <m:rPr/>
              <m:t>k</m:t>
            </m:r>
          </m:lim>
        </m:limLow>
        <m:sSub>
          <m:sSubPr/>
          <m:e>
            <m:acc>
              <m:accPr/>
              <m:e>
                <m:r>
                  <m:rPr/>
                  <m:t>p</m:t>
                </m:r>
              </m:e>
            </m:acc>
          </m:e>
          <m:sub>
            <m:r>
              <m:rPr/>
              <m:t>k</m:t>
            </m:r>
          </m:sub>
        </m:sSub>
      </m:oMath>
      <w:r>
        <w:rPr>
          <w:rFonts w:ascii="Times New Roman" w:hAnsi="Times New Roman" w:eastAsia="Times New Roman" w:cs="Google Sans"/>
          <w:color w:val="1F1F1F"/>
          <w:sz w:val="24"/>
          <w:rtl w:val="0"/>
        </w:rPr>
        <w:t>, measuring the concentration on the most frequent action.</w:t>
      </w:r>
    </w:p>
    <w:p w14:paraId="00000063">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b/>
          <w:bCs/>
          <w:color w:val="1F1F1F"/>
          <w:sz w:val="24"/>
          <w:rtl w:val="0"/>
        </w:rPr>
        <w:t>Effective actions:</w:t>
      </w:r>
      <w:r>
        <w:rPr>
          <w:rFonts w:ascii="Times New Roman" w:hAnsi="Times New Roman" w:eastAsia="Times New Roman" w:cs="Google Sans"/>
          <w:color w:val="1F1F1F"/>
          <w:sz w:val="24"/>
          <w:rtl w:val="0"/>
        </w:rPr>
        <w:t xml:space="preserve"> </w:t>
      </w:r>
      <m:oMath>
        <m:r>
          <m:rPr/>
          <m:t>exp(H(p))</m:t>
        </m:r>
      </m:oMath>
      <w:r>
        <w:rPr>
          <w:rFonts w:ascii="Times New Roman" w:hAnsi="Times New Roman" w:eastAsia="Times New Roman" w:cs="Google Sans"/>
          <w:color w:val="1F1F1F"/>
          <w:sz w:val="24"/>
          <w:rtl w:val="0"/>
        </w:rPr>
        <w:t>, an alternative measure of action diversity.</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rejection rule is: if source modal share </w:t>
      </w:r>
      <m:oMath>
        <m:r>
          <m:rPr/>
          <m:t>&gt; 0.90</m:t>
        </m:r>
      </m:oMath>
      <w:r>
        <w:rPr>
          <w:rFonts w:ascii="Times New Roman" w:hAnsi="Times New Roman" w:eastAsia="Times New Roman" w:cs="Google Sans"/>
          <w:color w:val="1F1F1F"/>
          <w:sz w:val="24"/>
          <w:rtl w:val="0"/>
        </w:rPr>
        <w:t>, reject the transfer. This threshold is conservative, ensuring that only sufficiently diverse policies are transferred.</w:t>
      </w:r>
    </w:p>
    <w:p w14:paraId="0000006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4.2 Comparison Baselines</w:t>
      </w:r>
    </w:p>
    <w:p w14:paraId="0000006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evaluate the performance of FCTT-DA, we compare against three baseline approaches:</w:t>
      </w:r>
    </w:p>
    <w:p w14:paraId="00000067">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NoGating: A static threshold of 0.50 (also called "Ungated classifier"), representing the common practice of using a fixed decision rule without contextual adaptation.</w:t>
      </w:r>
    </w:p>
    <w:p w14:paraId="00000068">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Fixed-</w:t>
      </w:r>
      <m:oMath>
        <m:r>
          <m:rPr/>
          <m:t>T</m:t>
        </m:r>
      </m:oMath>
      <w:r>
        <w:rPr>
          <w:rFonts w:ascii="Times New Roman" w:hAnsi="Times New Roman" w:eastAsia="Times New Roman" w:cs="Google Sans"/>
          <w:b/>
          <w:bCs/>
          <w:color w:val="1F1F1F"/>
          <w:sz w:val="24"/>
          <w:rtl w:val="0"/>
        </w:rPr>
        <w:t>:</w:t>
      </w:r>
      <w:r>
        <w:rPr>
          <w:rFonts w:ascii="Times New Roman" w:hAnsi="Times New Roman" w:eastAsia="Times New Roman" w:cs="Google Sans"/>
          <w:color w:val="1F1F1F"/>
          <w:sz w:val="24"/>
          <w:rtl w:val="0"/>
        </w:rPr>
        <w:t xml:space="preserve"> Static thresholds at </w:t>
      </w:r>
      <m:oMath>
        <m:r>
          <m:rPr/>
          <m:t>τ</m:t>
        </m:r>
        <m:r>
          <m:rPr>
            <m:sty m:val="p"/>
          </m:rPr>
          <m:t>∈{</m:t>
        </m:r>
        <m:r>
          <m:rPr/>
          <m:t>0.35</m:t>
        </m:r>
        <m:r>
          <m:rPr>
            <m:sty m:val="p"/>
          </m:rPr>
          <m:t>,</m:t>
        </m:r>
        <m:r>
          <m:rPr/>
          <m:t>0.45</m:t>
        </m:r>
        <m:r>
          <m:rPr>
            <m:sty m:val="p"/>
          </m:rPr>
          <m:t>,</m:t>
        </m:r>
        <m:r>
          <m:rPr/>
          <m:t>0.55</m:t>
        </m:r>
        <m:r>
          <m:rPr>
            <m:sty m:val="p"/>
          </m:rPr>
          <m:t>,</m:t>
        </m:r>
        <m:r>
          <m:rPr/>
          <m:t>0.65</m:t>
        </m:r>
        <m:r>
          <m:rPr>
            <m:sty m:val="p"/>
          </m:rPr>
          <m:t>,</m:t>
        </m:r>
        <m:r>
          <m:rPr/>
          <m:t>0.75</m:t>
        </m:r>
        <m:r>
          <m:rPr/>
          <w:rPr>
            <w:rFonts w:hint="default"/>
            <w:lang w:val="en-US"/>
          </w:rPr>
          <m:t>,1.00</m:t>
        </m:r>
        <m:r>
          <m:rPr>
            <m:sty m:val="p"/>
          </m:rPr>
          <m:t>}</m:t>
        </m:r>
      </m:oMath>
      <w:r>
        <w:rPr>
          <w:rFonts w:ascii="Times New Roman" w:hAnsi="Times New Roman" w:eastAsia="Times New Roman" w:cs="Google Sans"/>
          <w:color w:val="1F1F1F"/>
          <w:sz w:val="24"/>
          <w:rtl w:val="0"/>
        </w:rPr>
        <w:t>, representing a grid search over possible fixed thresholds.</w:t>
      </w:r>
    </w:p>
    <w:p w14:paraId="00000069">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Behavioral-equivalent:</w:t>
      </w:r>
      <w:r>
        <w:rPr>
          <w:rFonts w:ascii="Times New Roman" w:hAnsi="Times New Roman" w:eastAsia="Times New Roman" w:cs="Google Sans"/>
          <w:color w:val="1F1F1F"/>
          <w:sz w:val="24"/>
          <w:rtl w:val="0"/>
        </w:rPr>
        <w:t xml:space="preserve"> The fixed threshold closest to the learned policy's behavior on the source asset, representing the best possible static approximation of the contextual policy.</w:t>
      </w:r>
    </w:p>
    <w:p w14:paraId="0000006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These baselines allow us to assess whether the contextual policy provides genuine value over simpler alternatives. If the contextual policy collapses to a static rule, it should perform no better than the behavioral-equivalent baseline.</w:t>
      </w:r>
    </w:p>
    <w:p w14:paraId="000000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4.3 Statistical Inference</w:t>
      </w:r>
    </w:p>
    <w:p w14:paraId="0000006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employ rigorous statistical methods to ensure the robustness of our findings:</w:t>
      </w:r>
    </w:p>
    <w:p w14:paraId="0000006D">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Stationary Bootstrap: We use the stationary bootstrap (Politis and Romano, 1994) with 2,000 replications and a mean block length of 10 periods. This method preserves the temporal dependence structure of the data while providing valid confidence intervals.</w:t>
      </w:r>
    </w:p>
    <w:p w14:paraId="0000006E">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Paired Tests:</w:t>
      </w:r>
      <w:r>
        <w:rPr>
          <w:rFonts w:ascii="Times New Roman" w:hAnsi="Times New Roman" w:eastAsia="Times New Roman" w:cs="Google Sans"/>
          <w:color w:val="1F1F1F"/>
          <w:sz w:val="24"/>
          <w:rtl w:val="0"/>
        </w:rPr>
        <w:t xml:space="preserve"> All comparisons are performed on the same return series, ensuring that differences are not driven by different market conditions. We use paired </w:t>
      </w:r>
      <m:oMath>
        <m:r>
          <m:rPr/>
          <m:t>t</m:t>
        </m:r>
      </m:oMath>
      <w:r>
        <w:rPr>
          <w:rFonts w:ascii="Times New Roman" w:hAnsi="Times New Roman" w:eastAsia="Times New Roman" w:cs="Google Sans"/>
          <w:color w:val="1F1F1F"/>
          <w:sz w:val="24"/>
          <w:rtl w:val="0"/>
        </w:rPr>
        <w:t>-tests for means and paired Wilcoxon tests for medians.</w:t>
      </w:r>
    </w:p>
    <w:p w14:paraId="0000006F">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False Discovery Rate Control:</w:t>
      </w:r>
      <w:r>
        <w:rPr>
          <w:rFonts w:ascii="Times New Roman" w:hAnsi="Times New Roman" w:eastAsia="Times New Roman" w:cs="Google Sans"/>
          <w:color w:val="1F1F1F"/>
          <w:sz w:val="24"/>
          <w:rtl w:val="0"/>
        </w:rPr>
        <w:t xml:space="preserve"> We apply the Benjamini-Hochberg procedure (Benjamini and Hochberg, 1995) at a </w:t>
      </w:r>
      <m:oMath>
        <m:r>
          <m:rPr/>
          <m:t>5%</m:t>
        </m:r>
      </m:oMath>
      <w:r>
        <w:rPr>
          <w:rFonts w:ascii="Times New Roman" w:hAnsi="Times New Roman" w:eastAsia="Times New Roman" w:cs="Google Sans"/>
          <w:color w:val="1F1F1F"/>
          <w:sz w:val="24"/>
          <w:rtl w:val="0"/>
        </w:rPr>
        <w:t xml:space="preserve"> false discovery rate to account for multiple testing across the </w:t>
      </w:r>
      <w:r>
        <w:rPr>
          <w:rFonts w:hint="eastAsia" w:eastAsia="宋体" w:cs="Google Sans"/>
          <w:color w:val="1F1F1F"/>
          <w:sz w:val="24"/>
          <w:rtl w:val="0"/>
          <w:lang w:val="en-US" w:eastAsia="zh-CN"/>
        </w:rPr>
        <w:t xml:space="preserve">228 </w:t>
      </w:r>
      <w:r>
        <w:rPr>
          <w:rFonts w:ascii="Times New Roman" w:hAnsi="Times New Roman" w:eastAsia="Times New Roman" w:cs="Google Sans"/>
          <w:color w:val="1F1F1F"/>
          <w:sz w:val="24"/>
          <w:rtl w:val="0"/>
        </w:rPr>
        <w:t>source-target pairs.</w:t>
      </w:r>
    </w:p>
    <w:p w14:paraId="00000070">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 Theoretical Analysis</w:t>
      </w:r>
    </w:p>
    <w:p w14:paraId="0000007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5.0 Scope and Assumptions</w:t>
      </w:r>
    </w:p>
    <w:p w14:paraId="0000007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Important Note:</w:t>
      </w:r>
      <w:r>
        <w:rPr>
          <w:rFonts w:ascii="Times New Roman" w:hAnsi="Times New Roman" w:eastAsia="Times New Roman" w:cs="Google Sans"/>
          <w:color w:val="1F1F1F"/>
          <w:sz w:val="24"/>
          <w:rtl w:val="0"/>
        </w:rPr>
        <w:t xml:space="preserve"> The theoretical results in this section apply to a </w:t>
      </w:r>
      <w:r>
        <w:rPr>
          <w:rFonts w:ascii="Times New Roman" w:hAnsi="Times New Roman" w:eastAsia="Times New Roman" w:cs="Google Sans"/>
          <w:b/>
          <w:bCs/>
          <w:color w:val="1F1F1F"/>
          <w:sz w:val="24"/>
          <w:rtl w:val="0"/>
        </w:rPr>
        <w:t>simplified policy</w:t>
      </w:r>
      <w:r>
        <w:rPr>
          <w:rFonts w:ascii="Times New Roman" w:hAnsi="Times New Roman" w:eastAsia="Times New Roman" w:cs="Google Sans"/>
          <w:color w:val="1F1F1F"/>
          <w:sz w:val="24"/>
          <w:rtl w:val="0"/>
        </w:rPr>
        <w:t xml:space="preserve"> that uses only the exploitation term of LinUCB. Specifically, we analyze a policy of the form:</w:t>
      </w:r>
    </w:p>
    <w:p w14:paraId="0000007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sty m:val="b"/>
              </m:rPr>
              <m:t>θ</m:t>
            </m:r>
          </m:e>
          <m:sub>
            <m:r>
              <m:rPr/>
              <m:t>k</m:t>
            </m:r>
          </m:sub>
        </m:sSub>
      </m:oMath>
      <w:r>
        <w:rPr>
          <w:rFonts w:ascii="Times New Roman" w:hAnsi="Times New Roman" w:eastAsia="Times New Roman"/>
        </w:rPr>
        <w:t xml:space="preserve"> are fixed weight vectors estimated from source data. This is equivalent to LinUCB with </w:t>
      </w:r>
      <m:oMath>
        <m:r>
          <m:rPr/>
          <m:t>α</m:t>
        </m:r>
        <m:r>
          <m:rPr>
            <m:sty m:val="p"/>
          </m:rPr>
          <m:t>=</m:t>
        </m:r>
        <m:r>
          <m:rPr/>
          <m:t>0</m:t>
        </m:r>
      </m:oMath>
      <w:r>
        <w:rPr>
          <w:rFonts w:ascii="Times New Roman" w:hAnsi="Times New Roman" w:eastAsia="Times New Roman"/>
        </w:rPr>
        <w:t xml:space="preserve"> (no exploration), or to a linear scoring policy </w:t>
      </w:r>
      <m:oMath>
        <m:r>
          <m:rPr/>
          <m:t>π</m:t>
        </m:r>
        <m:d>
          <m:dPr>
            <m:sepChr m:val=""/>
          </m:dPr>
          <m:e>
            <m:r>
              <m:rPr>
                <m:sty m:val="b"/>
              </m:rPr>
              <m:t>x</m:t>
            </m:r>
          </m:e>
        </m:d>
        <m:r>
          <m:rPr>
            <m:sty m:val="p"/>
          </m:rPr>
          <m:t>=</m:t>
        </m:r>
        <m:limLow>
          <m:limLowPr/>
          <m:e>
            <m:r>
              <m:rPr>
                <m:sty m:val="p"/>
              </m:rPr>
              <m:t>argmax</m:t>
            </m:r>
          </m:e>
          <m:lim>
            <m:r>
              <m:rPr/>
              <m:t>k</m:t>
            </m:r>
            <m:r>
              <m:rPr>
                <m:sty m:val="p"/>
              </m:rPr>
              <m:t>∈{</m:t>
            </m:r>
            <m:r>
              <m:rPr/>
              <m:t>1</m:t>
            </m:r>
            <m:r>
              <m:rPr>
                <m:sty m:val="p"/>
              </m:rPr>
              <m:t>,…,</m:t>
            </m:r>
            <m:r>
              <m:rPr/>
              <m:t>K</m:t>
            </m:r>
            <m:r>
              <m:rPr>
                <m:sty m:val="p"/>
              </m:rPr>
              <m:t>}</m:t>
            </m:r>
          </m:lim>
        </m:limLow>
        <m:r>
          <m:rPr/>
          <m:t> </m:t>
        </m:r>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w:t>
      </w:r>
    </w:p>
    <w:p w14:paraId="0000007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full LinUCB policy with exploration term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14:paraId="5331DC1E">
      <w: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14:paraId="0000007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5.1 Source Diversity and Target Collapse (Empirical Hypothesis)</w:t>
      </w:r>
    </w:p>
    <w:p w14:paraId="0000007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Proposition 1 (Empirical).</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In our experimental setting, source-side action concentration is associated with target-side collapse. Specifically:</w:t>
      </w:r>
    </w:p>
    <w:p w14:paraId="00000077">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Evidence: Table 2 shows that all four degenerate sources (SPY, QQQ, EEM, GLD) achieve a 100% collapse rate on all target assets, while the diverse sources (TLT, IWM) achieve a 0% collapse rate.</w:t>
      </w:r>
    </w:p>
    <w:p w14:paraId="00000078">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Interpretation:</w:t>
      </w:r>
      <w:r>
        <w:rPr>
          <w:rFonts w:ascii="Times New Roman" w:hAnsi="Times New Roman" w:eastAsia="Times New Roman" w:cs="Google Sans"/>
          <w:color w:val="1F1F1F"/>
          <w:sz w:val="24"/>
          <w:rtl w:val="0"/>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14:paraId="00000079">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Limitations: The empirical relationship may not generalize to all possible source–target combinations; the specific collapse threshold (0.90) is somewhat arbitrary; and the finding is conditional on our feature set and sample period.</w:t>
      </w:r>
    </w:p>
    <w:p w14:paraId="0000007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5.2 Decision Region Geometry (Geometric Intuition)</w:t>
      </w:r>
    </w:p>
    <w:p w14:paraId="0000007B">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i/>
          <w:iCs/>
          <w:color w:val="1F1F1F"/>
        </w:rPr>
      </w:pPr>
      <w:r>
        <w:rPr>
          <w:rFonts w:ascii="Times New Roman" w:hAnsi="Times New Roman" w:eastAsia="Times New Roman"/>
        </w:rPr>
        <w:t xml:space="preserve">Proposition 2 (Geometric Intuition). For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the decision regions are convex polyhedral cones.</w:t>
      </w:r>
    </w:p>
    <w:p w14:paraId="0000007C">
      <w:pPr>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Setup: Consider a </w:t>
      </w:r>
      <m:oMath>
        <m:r>
          <m:rPr/>
          <m:t>K</m:t>
        </m:r>
      </m:oMath>
      <w:r>
        <w:rPr>
          <w:rFonts w:ascii="Times New Roman" w:hAnsi="Times New Roman" w:eastAsia="Times New Roman"/>
        </w:rPr>
        <w:t xml:space="preserve">-action policy with weight vectors </w:t>
      </w:r>
      <m:oMath>
        <m:sSub>
          <m:sSubPr/>
          <m:e>
            <m:r>
              <m:rPr>
                <m:sty m:val="b"/>
              </m:rPr>
              <m:t>θ</m:t>
            </m:r>
          </m:e>
          <m:sub>
            <m:r>
              <m:rPr/>
              <m:t>1</m:t>
            </m:r>
          </m:sub>
        </m:sSub>
        <m:r>
          <m:rPr>
            <m:sty m:val="p"/>
          </m:rPr>
          <m:t>,…,</m:t>
        </m:r>
        <m:sSub>
          <m:sSubPr/>
          <m:e>
            <m:r>
              <m:rPr>
                <m:sty m:val="b"/>
              </m:rPr>
              <m:t>θ</m:t>
            </m:r>
          </m:e>
          <m:sub>
            <m:r>
              <m:rPr/>
              <m:t>K</m:t>
            </m:r>
          </m:sub>
        </m:sSub>
        <m:r>
          <m:rPr>
            <m:sty m:val="p"/>
          </m:rPr>
          <m:t>∈</m:t>
        </m:r>
        <m:sSup>
          <m:sSupPr/>
          <m:e>
            <m:r>
              <m:rPr>
                <m:sty m:val="p"/>
                <m:scr m:val="double-struck"/>
              </m:rPr>
              <m:t>ℝ</m:t>
            </m:r>
          </m:e>
          <m:sup>
            <m:r>
              <m:rPr/>
              <m:t>d</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x</m:t>
        </m:r>
        <m:r>
          <m:rPr>
            <m:sty m:val="p"/>
          </m:rPr>
          <m:t>∈</m:t>
        </m:r>
        <m:sSup>
          <m:sSupPr/>
          <m:e>
            <m:r>
              <m:rPr>
                <m:sty m:val="p"/>
                <m:scr m:val="double-struck"/>
              </m:rPr>
              <m:t>ℝ</m:t>
            </m:r>
          </m:e>
          <m:sup>
            <m:r>
              <m:rPr/>
              <m:t>d</m:t>
            </m:r>
          </m:sup>
        </m:sSup>
        <m:r>
          <m:rPr>
            <m:sty m:val="p"/>
          </m:rPr>
          <m:t>:</m:t>
        </m:r>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07D">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0000007E">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For each </w:t>
      </w:r>
      <m:oMath>
        <m:r>
          <m:rPr/>
          <m:t>j</m:t>
        </m:r>
        <m:r>
          <m:rPr>
            <m:sty m:val="p"/>
          </m:rPr>
          <m:t>≠</m:t>
        </m:r>
        <m:r>
          <m:rPr/>
          <m:t>k</m:t>
        </m:r>
      </m:oMath>
      <w:r>
        <w:rPr>
          <w:rFonts w:ascii="Times New Roman" w:hAnsi="Times New Roman" w:eastAsia="Times New Roman"/>
        </w:rPr>
        <w:t xml:space="preserve">, the constraint </w:t>
      </w:r>
      <m:oMath>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oMath>
      <w:r>
        <w:rPr>
          <w:rFonts w:ascii="Times New Roman" w:hAnsi="Times New Roman" w:eastAsia="Times New Roman"/>
        </w:rPr>
        <w:t xml:space="preserve"> defines the half-space </w:t>
      </w:r>
      <m:oMath>
        <m:r>
          <m:rPr>
            <m:sty m:val="p"/>
          </m:rPr>
          <m:t>{</m:t>
        </m:r>
        <m:r>
          <m:rPr>
            <m:sty m:val="b"/>
          </m:rPr>
          <m:t>x</m:t>
        </m:r>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x</m:t>
        </m:r>
        <m:r>
          <m:rPr>
            <m:sty m:val="p"/>
          </m:rPr>
          <m:t>≥</m:t>
        </m:r>
        <m:r>
          <m:rPr/>
          <m:t>0</m:t>
        </m:r>
        <m:r>
          <m:rPr>
            <m:sty m:val="p"/>
          </m:rPr>
          <m:t>}</m:t>
        </m:r>
      </m:oMath>
      <w:r>
        <w:rPr>
          <w:rFonts w:ascii="Times New Roman" w:hAnsi="Times New Roman" w:eastAsia="Times New Roman"/>
        </w:rPr>
        <w:t>.</w:t>
      </w:r>
    </w:p>
    <w:p w14:paraId="0000007F">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The intersection of closed half-spaces containing the origin is a convex polyhedral cone.</w:t>
      </w:r>
    </w:p>
    <w:p w14:paraId="00000080">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Cambria Math" w:hAnsi="Cambria Math" w:eastAsia="Cambria Math"/>
        </w:rPr>
        <w:t>Each R_k is the intersection of K−1 half-spaces, and hence is a convex polyhedral cone.</w:t>
      </w:r>
    </w:p>
    <w:p w14:paraId="00000081">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If the target context cloud is entirely contained within one decision region, the policy selects the same action for all target contexts.</w:t>
      </w:r>
    </w:p>
    <w:p w14:paraId="00000082">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Important Caveat: This result applies only to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xml:space="preserve">. The full LinUCB policy has nonlinear decision boundaries because of the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term.</w:t>
      </w:r>
    </w:p>
    <w:p w14:paraId="000000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5.3 Behavioral Equivalence (Formal)</w:t>
      </w:r>
    </w:p>
    <w:p w14:paraId="247FE9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Proposition 3 (Behavioral Equivalence). If a policy </w:t>
      </w:r>
      <m:oMath>
        <m:r>
          <m:rPr/>
          <m:t>π</m:t>
        </m:r>
      </m:oMath>
      <w:r>
        <w:rPr>
          <w:rFonts w:ascii="Times New Roman" w:hAnsi="Times New Roman" w:eastAsia="Times New Roman"/>
        </w:rPr>
        <w:t xml:space="preserve"> selects the same action </w:t>
      </w:r>
      <m:oMath>
        <m:sSup>
          <m:sSupPr/>
          <m:e>
            <m:r>
              <m:rPr/>
              <m:t>k</m:t>
            </m:r>
          </m:e>
          <m:sup>
            <m:r>
              <m:rPr>
                <m:sty m:val="p"/>
              </m:rPr>
              <m:t>∗</m:t>
            </m:r>
          </m:sup>
        </m:sSup>
      </m:oMath>
      <w:r>
        <w:rPr>
          <w:rFonts w:ascii="Times New Roman" w:hAnsi="Times New Roman" w:eastAsia="Times New Roman"/>
        </w:rPr>
        <w:t xml:space="preserve"> for every context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w:t>
      </w: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oMath>
      <w:r>
        <w:rPr>
          <w:rFonts w:ascii="Times New Roman" w:hAnsi="Times New Roman" w:eastAsia="Times New Roman"/>
        </w:rPr>
        <w:t xml:space="preserve"> for any signal-based metric </w:t>
      </w:r>
      <m:oMath>
        <m:r>
          <m:rPr/>
          <m:t>M</m:t>
        </m:r>
      </m:oMath>
      <w:r>
        <w:rPr>
          <w:rFonts w:ascii="Times New Roman" w:hAnsi="Times New Roman" w:eastAsia="Times New Roman"/>
        </w:rPr>
        <w:t xml:space="preserve"> that depends only on the action sequence.</w:t>
      </w:r>
    </w:p>
    <w:p w14:paraId="5CF9827D">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m:oMathPara>
        <m:oMathParaPr>
          <m:jc m:val="center"/>
        </m:oMathParaP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r>
            <m:rPr>
              <m:sty m:val="p"/>
            </m:rPr>
            <m:t>,</m:t>
          </m:r>
        </m:oMath>
      </m:oMathPara>
    </w:p>
    <w:p w14:paraId="00000086">
      <w:pPr>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28D33143">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If </w:t>
      </w:r>
      <m:oMath>
        <m:r>
          <m:rPr/>
          <m:t>π</m:t>
        </m:r>
        <m:d>
          <m:dPr>
            <m:sepChr m:val=""/>
          </m:dPr>
          <m:e>
            <m:r>
              <m:rPr>
                <m:sty m:val="b"/>
              </m:rPr>
              <m:t>x</m:t>
            </m:r>
          </m:e>
        </m:d>
        <m:r>
          <m:rPr>
            <m:sty m:val="p"/>
          </m:rPr>
          <m:t>=</m:t>
        </m:r>
        <m:sSup>
          <m:sSupPr/>
          <m:e>
            <m:r>
              <m:rPr/>
              <m:t>k</m:t>
            </m:r>
          </m:e>
          <m:sup>
            <m:r>
              <m:rPr>
                <m:sty m:val="p"/>
              </m:rPr>
              <m:t>∗</m:t>
            </m:r>
          </m:sup>
        </m:sSup>
      </m:oMath>
      <w:r>
        <w:rPr>
          <w:rFonts w:ascii="Times New Roman" w:hAnsi="Times New Roman" w:eastAsia="Times New Roman"/>
        </w:rPr>
        <w:t xml:space="preserve"> for all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the signal sequence is </w:t>
      </w:r>
      <m:oMath>
        <m:sSub>
          <m:sSubPr/>
          <m:e>
            <m:r>
              <m:rPr/>
              <m:t>s</m:t>
            </m:r>
          </m:e>
          <m:sub>
            <m:r>
              <m:rPr/>
              <m:t>t</m:t>
            </m:r>
          </m:sub>
        </m:sSub>
        <m:d>
          <m:dPr>
            <m:sepChr m:val=""/>
          </m:dPr>
          <m:e>
            <m:r>
              <m:rPr/>
              <m:t>π</m:t>
            </m:r>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oMath>
      <w:r>
        <w:rPr>
          <w:rFonts w:ascii="Times New Roman" w:hAnsi="Times New Roman" w:eastAsia="Times New Roman"/>
        </w:rPr>
        <w:t xml:space="preserve"> for every </w:t>
      </w:r>
      <m:oMath>
        <m:r>
          <m:rPr/>
          <m:t>t</m:t>
        </m:r>
      </m:oMath>
      <w:r>
        <w:rPr>
          <w:rFonts w:ascii="Times New Roman" w:hAnsi="Times New Roman" w:eastAsia="Times New Roman"/>
        </w:rPr>
        <w:t>.</w:t>
      </w:r>
    </w:p>
    <w:p w14:paraId="0AF40F7C">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t>This is identical to the signal sequence generated by the static threshold associated with action k*.</w:t>
      </w:r>
    </w:p>
    <w:p w14:paraId="00000089">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t>Therefore, any metric depending only on signals (returns, Sharpe, turnover, etc.) must be identical. This proves the claim.</w:t>
      </w:r>
    </w:p>
    <w:p w14:paraId="47226AC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t>Corollary 3.1. If π collapses to action k* on target T, then:</w:t>
      </w:r>
    </w:p>
    <w:p w14:paraId="4273A291">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Sharpe ratio matches: </w:t>
      </w:r>
      <m:oMath>
        <m:r>
          <m:rPr>
            <m:sty m:val="p"/>
          </m:rPr>
          <m:t>Sharpe</m:t>
        </m:r>
        <m:d>
          <m:dPr>
            <m:sepChr m:val=""/>
          </m:dPr>
          <m:e>
            <m:r>
              <m:rPr/>
              <m:t>π</m:t>
            </m:r>
            <m:r>
              <m:rPr>
                <m:sty m:val="p"/>
              </m:rPr>
              <m:t>,</m:t>
            </m:r>
            <m:r>
              <m:rPr/>
              <m:t>T</m:t>
            </m:r>
          </m:e>
        </m:d>
        <m:r>
          <m:rPr>
            <m:sty m:val="p"/>
          </m:rPr>
          <m:t>=Sharpe</m:t>
        </m:r>
        <m:d>
          <m:dPr>
            <m:sepChr m:val=""/>
          </m:dPr>
          <m:e>
            <m:sSub>
              <m:sSubPr/>
              <m:e>
                <m:r>
                  <m:rPr/>
                  <m:t>τ</m:t>
                </m:r>
              </m:e>
              <m:sub>
                <m:sSup>
                  <m:sSupPr/>
                  <m:e>
                    <m:r>
                      <m:rPr/>
                      <m:t>k</m:t>
                    </m:r>
                  </m:e>
                  <m:sup>
                    <m:r>
                      <m:rPr>
                        <m:sty m:val="p"/>
                      </m:rPr>
                      <m:t>∗</m:t>
                    </m:r>
                  </m:sup>
                </m:sSup>
              </m:sub>
            </m:sSub>
            <m:r>
              <m:rPr>
                <m:sty m:val="p"/>
              </m:rPr>
              <m:t>,</m:t>
            </m:r>
            <m:r>
              <m:rPr/>
              <m:t>T</m:t>
            </m:r>
          </m:e>
        </m:d>
      </m:oMath>
      <w:r>
        <w:rPr>
          <w:rFonts w:ascii="Times New Roman" w:hAnsi="Times New Roman" w:eastAsia="Times New Roman"/>
        </w:rPr>
        <w:t>.</w:t>
      </w:r>
    </w:p>
    <w:p w14:paraId="7597AF4C">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Returns match: </w:t>
      </w:r>
      <m:oMath>
        <m:sSub>
          <m:sSubPr/>
          <m:e>
            <m:r>
              <m:rPr/>
              <m:t>r</m:t>
            </m:r>
          </m:e>
          <m:sub>
            <m:r>
              <m:rPr/>
              <m:t>t</m:t>
            </m:r>
          </m:sub>
        </m:sSub>
        <m:d>
          <m:dPr>
            <m:sepChr m:val=""/>
          </m:dPr>
          <m:e>
            <m:r>
              <m:rPr/>
              <m:t>π</m:t>
            </m:r>
          </m:e>
        </m:d>
        <m:r>
          <m:rPr>
            <m:sty m:val="p"/>
          </m:rPr>
          <m:t>=</m:t>
        </m:r>
        <m:sSub>
          <m:sSubPr/>
          <m:e>
            <m:r>
              <m:rPr/>
              <m:t>r</m:t>
            </m:r>
          </m:e>
          <m:sub>
            <m:r>
              <m:rPr/>
              <m:t>t</m:t>
            </m:r>
          </m:sub>
        </m:sSub>
        <m:d>
          <m:dPr>
            <m:sepChr m:val=""/>
          </m:dPr>
          <m:e>
            <m:sSub>
              <m:sSubPr/>
              <m:e>
                <m:r>
                  <m:rPr/>
                  <m:t>τ</m:t>
                </m:r>
              </m:e>
              <m:sub>
                <m:sSup>
                  <m:sSupPr/>
                  <m:e>
                    <m:r>
                      <m:rPr/>
                      <m:t>k</m:t>
                    </m:r>
                  </m:e>
                  <m:sup>
                    <m:r>
                      <m:rPr>
                        <m:sty m:val="p"/>
                      </m:rPr>
                      <m:t>∗</m:t>
                    </m:r>
                  </m:sup>
                </m:sSup>
              </m:sub>
            </m:sSub>
          </m:e>
        </m:d>
        <m:r>
          <m:rPr/>
          <m:t> </m:t>
        </m:r>
        <m:r>
          <m:rPr>
            <m:sty m:val="p"/>
          </m:rPr>
          <m:t>∀</m:t>
        </m:r>
        <m:r>
          <m:rPr/>
          <m:t>t</m:t>
        </m:r>
      </m:oMath>
      <w:r>
        <w:rPr>
          <w:rFonts w:ascii="Times New Roman" w:hAnsi="Times New Roman" w:eastAsia="Times New Roman"/>
        </w:rPr>
        <w:t>.</w:t>
      </w:r>
    </w:p>
    <w:p w14:paraId="29893325">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Turnover matches: </w:t>
      </w:r>
      <m:oMath>
        <m:r>
          <m:rPr>
            <m:sty m:val="p"/>
          </m:rPr>
          <m:t>Turnover</m:t>
        </m:r>
        <m:d>
          <m:dPr>
            <m:sepChr m:val=""/>
          </m:dPr>
          <m:e>
            <m:r>
              <m:rPr/>
              <m:t>π</m:t>
            </m:r>
          </m:e>
        </m:d>
        <m:r>
          <m:rPr>
            <m:sty m:val="p"/>
          </m:rPr>
          <m:t>=Turnover</m:t>
        </m:r>
        <m:d>
          <m:dPr>
            <m:sepChr m:val=""/>
          </m:dPr>
          <m:e>
            <m:sSub>
              <m:sSubPr/>
              <m:e>
                <m:r>
                  <m:rPr/>
                  <m:t>τ</m:t>
                </m:r>
              </m:e>
              <m:sub>
                <m:sSup>
                  <m:sSupPr/>
                  <m:e>
                    <m:r>
                      <m:rPr/>
                      <m:t>k</m:t>
                    </m:r>
                  </m:e>
                  <m:sup>
                    <m:r>
                      <m:rPr>
                        <m:sty m:val="p"/>
                      </m:rPr>
                      <m:t>∗</m:t>
                    </m:r>
                  </m:sup>
                </m:sSup>
              </m:sub>
            </m:sSub>
          </m:e>
        </m:d>
      </m:oMath>
      <w:r>
        <w:rPr>
          <w:rFonts w:ascii="Times New Roman" w:hAnsi="Times New Roman" w:eastAsia="Times New Roman"/>
        </w:rPr>
        <w:t>.</w:t>
      </w:r>
    </w:p>
    <w:p w14:paraId="0000008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Testing Behavioral Equivalence:</w:t>
      </w:r>
      <w:r>
        <w:rPr>
          <w:rFonts w:ascii="Times New Roman" w:hAnsi="Times New Roman" w:eastAsia="Times New Roman" w:cs="Google Sans"/>
          <w:color w:val="1F1F1F"/>
          <w:sz w:val="24"/>
          <w:rtl w:val="0"/>
        </w:rPr>
        <w:t xml:space="preserve"> To verify that a policy has collapsed to a static threshold, we recommend checking:</w:t>
      </w:r>
    </w:p>
    <w:p w14:paraId="0000008F">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pPr>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w:p>
    <w:p w14:paraId="00000091">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HammingDistance</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r>
          <m:rPr/>
          <m:t>1</m:t>
        </m:r>
        <m:r>
          <m:rPr>
            <m:sty m:val="p"/>
          </m:rPr>
          <m:t>−SignalMatch</m:t>
        </m:r>
        <m:d>
          <m:dPr>
            <m:sepChr m:val=""/>
          </m:dPr>
          <m:e>
            <m:r>
              <m:rPr/>
              <m:t>π</m:t>
            </m:r>
            <m:r>
              <m:rPr>
                <m:sty m:val="p"/>
              </m:rPr>
              <m:t>,</m:t>
            </m:r>
            <m:sSup>
              <m:sSupPr/>
              <m:e>
                <m:r>
                  <m:rPr/>
                  <m:t>τ</m:t>
                </m:r>
              </m:e>
              <m:sup>
                <m:r>
                  <m:rPr>
                    <m:sty m:val="p"/>
                  </m:rPr>
                  <m:t>∗</m:t>
                </m:r>
              </m:sup>
            </m:sSup>
          </m:e>
        </m:d>
      </m:oMath>
    </w:p>
    <w:p w14:paraId="00235C4D">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pPr>
      <m:oMath>
        <m:r>
          <m:rPr>
            <m:sty m:val="p"/>
          </m:rPr>
          <m:t>ExposureGap</m:t>
        </m:r>
        <m:d>
          <m:dPr>
            <m:sepChr m:val=""/>
          </m:dPr>
          <m:e>
            <m:r>
              <m:rPr/>
              <m:t>π</m:t>
            </m:r>
            <m:r>
              <m:rPr>
                <m:sty m:val="p"/>
              </m:rPr>
              <m:t>,</m:t>
            </m:r>
            <m:sSup>
              <m:sSupPr/>
              <m:e>
                <m:r>
                  <m:rPr/>
                  <m:t>τ</m:t>
                </m:r>
              </m:e>
              <m:sup>
                <m:r>
                  <m:rPr>
                    <m:sty m:val="p"/>
                  </m:rPr>
                  <m:t>∗</m:t>
                </m:r>
              </m:sup>
            </m:sSup>
          </m:e>
        </m:d>
        <m:r>
          <m:rPr>
            <m:sty m:val="p"/>
          </m:rPr>
          <m:t>=</m:t>
        </m:r>
        <m:d>
          <m:dPr>
            <m:begChr m:val="|"/>
            <m:sepChr m:val=""/>
            <m:endChr m:val="|"/>
          </m:dPr>
          <m:e>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r>
                  <m:rPr/>
                  <m:t>π</m:t>
                </m:r>
              </m:e>
            </m:d>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sSup>
                  <m:sSupPr/>
                  <m:e>
                    <m:r>
                      <m:rPr/>
                      <m:t>τ</m:t>
                    </m:r>
                  </m:e>
                  <m:sup>
                    <m:r>
                      <m:rPr>
                        <m:sty m:val="p"/>
                      </m:rPr>
                      <m:t>∗</m:t>
                    </m:r>
                  </m:sup>
                </m:sSup>
              </m:e>
            </m:d>
          </m:e>
        </m:d>
      </m:oMath>
    </w:p>
    <w:p w14:paraId="2592F9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TurnoverGap</m:t>
        </m:r>
        <m:d>
          <m:dPr>
            <m:sepChr m:val=""/>
          </m:dPr>
          <m:e>
            <m:r>
              <m:rPr/>
              <m:t>π</m:t>
            </m:r>
            <m:r>
              <m:rPr>
                <m:sty m:val="p"/>
              </m:rPr>
              <m:t>,</m:t>
            </m:r>
            <m:sSup>
              <m:sSupPr/>
              <m:e>
                <m:r>
                  <m:rPr/>
                  <m:t>τ</m:t>
                </m:r>
              </m:e>
              <m:sup>
                <m:r>
                  <m:rPr>
                    <m:sty m:val="p"/>
                  </m:rPr>
                  <m:t>∗</m:t>
                </m:r>
              </m:sup>
            </m:sSup>
          </m:e>
        </m:d>
        <m:r>
          <m:rPr>
            <m:sty m:val="p"/>
          </m:rPr>
          <m:t>=</m:t>
        </m:r>
        <m:d>
          <m:dPr>
            <m:begChr m:val="|"/>
            <m:sepChr m:val=""/>
            <m:endChr m:val="|"/>
          </m:dPr>
          <m:e>
            <m:r>
              <m:rPr>
                <m:sty m:val="p"/>
              </m:rPr>
              <m:t>Turnover</m:t>
            </m:r>
            <m:d>
              <m:dPr>
                <m:sepChr m:val=""/>
              </m:dPr>
              <m:e>
                <m:r>
                  <m:rPr/>
                  <m:t>π</m:t>
                </m:r>
              </m:e>
            </m:d>
            <m:r>
              <m:rPr>
                <m:sty m:val="p"/>
              </m:rPr>
              <m:t>−Turnover</m:t>
            </m:r>
            <m:d>
              <m:dPr>
                <m:sepChr m:val=""/>
              </m:dPr>
              <m:e>
                <m:sSup>
                  <m:sSupPr/>
                  <m:e>
                    <m:r>
                      <m:rPr/>
                      <m:t>τ</m:t>
                    </m:r>
                  </m:e>
                  <m:sup>
                    <m:r>
                      <m:rPr>
                        <m:sty m:val="p"/>
                      </m:rPr>
                      <m:t>∗</m:t>
                    </m:r>
                  </m:sup>
                </m:sSup>
              </m:e>
            </m:d>
          </m:e>
        </m:d>
        <m:r>
          <m:rPr>
            <m:sty m:val="p"/>
          </m:rPr>
          <m:t>,</m:t>
        </m:r>
        <m:r>
          <m:rPr/>
          <m:t> </m:t>
        </m:r>
        <m:r>
          <m:rPr>
            <m:sty m:val="p"/>
          </m:rPr>
          <m:t>Turnover</m:t>
        </m:r>
        <m:d>
          <m:dPr>
            <m:sepChr m:val=""/>
          </m:dPr>
          <m:e>
            <m:r>
              <m:rPr/>
              <m:t>π</m:t>
            </m:r>
          </m:e>
        </m:d>
        <m:r>
          <m:rPr>
            <m:sty m:val="p"/>
          </m:rPr>
          <m:t>=</m:t>
        </m:r>
        <m:f>
          <m:fPr/>
          <m:num>
            <m:r>
              <m:rPr/>
              <m:t>1</m:t>
            </m:r>
          </m:num>
          <m:den>
            <m:r>
              <m:rPr/>
              <m:t>T</m:t>
            </m:r>
            <m:r>
              <m:rPr>
                <m:sty m:val="p"/>
              </m:rPr>
              <m:t>−</m:t>
            </m:r>
            <m:r>
              <m:rPr/>
              <m:t>1</m:t>
            </m:r>
          </m:den>
        </m:f>
        <m:nary>
          <m:naryPr>
            <m:chr m:val="∑"/>
            <m:limLoc m:val="undOvr"/>
          </m:naryPr>
          <m:sub>
            <m:r>
              <m:rPr/>
              <m:t>t</m:t>
            </m:r>
            <m:r>
              <m:rPr>
                <m:sty m:val="p"/>
              </m:rPr>
              <m:t>=</m:t>
            </m:r>
            <m:r>
              <m:rPr/>
              <m:t>2</m:t>
            </m:r>
          </m:sub>
          <m:sup>
            <m:r>
              <m:rPr/>
              <m:t>T</m:t>
            </m:r>
          </m:sup>
          <m:e>
            <m:d>
              <m:dPr>
                <m:begChr m:val="|"/>
                <m:sepChr m:val=""/>
                <m:endChr m:val="|"/>
              </m:dPr>
              <m:e>
                <m:sSub>
                  <m:sSubPr/>
                  <m:e>
                    <m:r>
                      <m:rPr/>
                      <m:t>s</m:t>
                    </m:r>
                  </m:e>
                  <m:sub>
                    <m:r>
                      <m:rPr/>
                      <m:t>t</m:t>
                    </m:r>
                  </m:sub>
                </m:sSub>
                <m:d>
                  <m:dPr>
                    <m:sepChr m:val=""/>
                  </m:dPr>
                  <m:e>
                    <m:r>
                      <m:rPr/>
                      <m:t>π</m:t>
                    </m:r>
                  </m:e>
                </m:d>
                <m:r>
                  <m:rPr>
                    <m:sty m:val="p"/>
                  </m:rPr>
                  <m:t>−</m:t>
                </m:r>
                <m:sSub>
                  <m:sSubPr/>
                  <m:e>
                    <m:r>
                      <m:rPr/>
                      <m:t>s</m:t>
                    </m:r>
                  </m:e>
                  <m:sub>
                    <m:r>
                      <m:rPr/>
                      <m:t>t</m:t>
                    </m:r>
                    <m:r>
                      <m:rPr>
                        <m:sty m:val="p"/>
                      </m:rPr>
                      <m:t>−</m:t>
                    </m:r>
                    <m:r>
                      <m:rPr/>
                      <m:t>1</m:t>
                    </m:r>
                  </m:sub>
                </m:sSub>
                <m:d>
                  <m:dPr>
                    <m:sepChr m:val=""/>
                  </m:dPr>
                  <m:e>
                    <m:r>
                      <m:rPr/>
                      <m:t>π</m:t>
                    </m:r>
                  </m:e>
                </m:d>
              </m:e>
            </m:d>
          </m:e>
        </m:nary>
      </m:oMath>
    </w:p>
    <w:p w14:paraId="0000009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14:paraId="0000009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5.4 Practical Diagnostic Rules</w:t>
      </w:r>
    </w:p>
    <w:p w14:paraId="0000009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Based on the theoretical analysis and empirical findings, we propose the following diagnostic rules:</w:t>
      </w:r>
    </w:p>
    <w:p w14:paraId="00000096">
      <w:pPr>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1 (Source Screening):</w:t>
      </w:r>
      <w:r>
        <w:rPr>
          <w:rFonts w:ascii="Times New Roman" w:hAnsi="Times New Roman" w:eastAsia="Times New Roman" w:cs="Google Sans"/>
          <w:color w:val="1F1F1F"/>
          <w:sz w:val="24"/>
          <w:rtl w:val="0"/>
        </w:rPr>
        <w:t xml:space="preserve"> Before transferring a policy, compute the source-side modal share:</w:t>
      </w:r>
    </w:p>
    <w:p w14:paraId="6B84CD21">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sSub>
            <m:sSubPr/>
            <m:e>
              <m:r>
                <m:rPr>
                  <m:sty m:val="p"/>
                </m:rPr>
                <m:t>ModalShare</m:t>
              </m:r>
            </m:e>
            <m:sub>
              <m:r>
                <m:rPr/>
                <m:t>S</m:t>
              </m:r>
            </m:sub>
          </m:sSub>
          <m:r>
            <m:rPr>
              <m:sty m:val="p"/>
            </m:rPr>
            <m:t>=</m:t>
          </m:r>
          <m:sSub>
            <m:sSubPr/>
            <m:e>
              <m:r>
                <m:rPr>
                  <m:sty m:val="p"/>
                </m:rPr>
                <m:t>max</m:t>
              </m:r>
            </m:e>
            <m:sub>
              <m:r>
                <m:rPr/>
                <m:t>k</m:t>
              </m:r>
              <m:r>
                <m:rPr>
                  <m:sty m:val="p"/>
                </m:rPr>
                <m:t>∈{</m:t>
              </m:r>
              <m:r>
                <m:rPr/>
                <m:t>1</m:t>
              </m:r>
              <m:r>
                <m:rPr>
                  <m:sty m:val="p"/>
                </m:rPr>
                <m:t>,…,</m:t>
              </m:r>
              <m:r>
                <m:rPr/>
                <m:t>K</m:t>
              </m:r>
              <m:r>
                <m:rPr>
                  <m:sty m:val="p"/>
                </m:rPr>
                <m:t>}</m:t>
              </m:r>
            </m:sub>
          </m:sSub>
          <m:f>
            <m:fPr/>
            <m:num>
              <m:r>
                <m:rPr/>
                <m:t>1</m:t>
              </m:r>
            </m:num>
            <m:den>
              <m:sSub>
                <m:sSubPr/>
                <m:e>
                  <m:r>
                    <m:rPr/>
                    <m:t>T</m:t>
                  </m:r>
                </m:e>
                <m:sub>
                  <m:r>
                    <m:rPr/>
                    <m:t>S</m:t>
                  </m:r>
                </m:sub>
              </m:sSub>
            </m:den>
          </m:f>
          <m:nary>
            <m:naryPr>
              <m:chr m:val="∑"/>
              <m:limLoc m:val="undOvr"/>
            </m:naryPr>
            <m:sub>
              <m:r>
                <m:rPr/>
                <m:t>t</m:t>
              </m:r>
              <m:r>
                <m:rPr>
                  <m:sty m:val="p"/>
                </m:rPr>
                <m:t>=</m:t>
              </m:r>
              <m:r>
                <m:rPr/>
                <m:t>1</m:t>
              </m:r>
            </m:sub>
            <m:sup>
              <m:sSub>
                <m:sSubPr/>
                <m:e>
                  <m:r>
                    <m:rPr/>
                    <m:t>T</m:t>
                  </m:r>
                </m:e>
                <m:sub>
                  <m:r>
                    <m:rPr/>
                    <m:t>S</m:t>
                  </m:r>
                </m:sub>
              </m:sSub>
            </m:sup>
            <m:e>
              <m:r>
                <m:rPr>
                  <m:sty m:val="p"/>
                  <m:scr m:val="double-struck"/>
                </m:rPr>
                <m:t>1</m:t>
              </m:r>
            </m:e>
          </m:nary>
          <m:d>
            <m:dPr>
              <m:begChr m:val="["/>
              <m:sepChr m:val=""/>
              <m:endChr m:val="]"/>
            </m:dPr>
            <m:e>
              <m:sSub>
                <m:sSubPr/>
                <m:e>
                  <m:r>
                    <m:rPr/>
                    <m:t>a</m:t>
                  </m:r>
                </m:e>
                <m:sub>
                  <m:r>
                    <m:rPr/>
                    <m:t>t</m:t>
                  </m:r>
                </m:sub>
              </m:sSub>
              <m:r>
                <m:rPr>
                  <m:sty m:val="p"/>
                </m:rPr>
                <m:t>=</m:t>
              </m:r>
              <m:r>
                <m:rPr/>
                <m:t>k</m:t>
              </m:r>
            </m:e>
          </m:d>
        </m:oMath>
      </m:oMathPara>
    </w:p>
    <w:p w14:paraId="00000097">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sSub>
          <m:sSubPr/>
          <m:e>
            <m:r>
              <m:rPr>
                <m:sty m:val="p"/>
              </m:rPr>
              <m:t>ModalShare</m:t>
            </m:r>
          </m:e>
          <m:sub>
            <m:r>
              <m:rPr/>
              <m:t>S</m:t>
            </m:r>
          </m:sub>
        </m:sSub>
        <m:r>
          <m:rPr>
            <m:sty m:val="p"/>
          </m:rPr>
          <m:t>≥</m:t>
        </m:r>
        <m:r>
          <m:rPr/>
          <m:t>0.90</m:t>
        </m:r>
      </m:oMath>
      <w:r>
        <w:rPr>
          <w:rFonts w:ascii="Times New Roman" w:hAnsi="Times New Roman" w:eastAsia="Times New Roman"/>
        </w:rPr>
        <w:t>, the policy is highly likely to collapse on target assets and should be rejected.</w:t>
      </w:r>
    </w:p>
    <w:p w14:paraId="70B27A5D">
      <w:pPr>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2 (Transfer Verification):</w:t>
      </w:r>
      <w:r>
        <w:rPr>
          <w:rFonts w:ascii="Times New Roman" w:hAnsi="Times New Roman" w:eastAsia="Times New Roman" w:cs="Google Sans"/>
          <w:color w:val="1F1F1F"/>
          <w:sz w:val="24"/>
          <w:rtl w:val="0"/>
        </w:rPr>
        <w:t xml:space="preserve"> After transferring a policy, verify behavioral equivalence:</w:t>
      </w:r>
    </w:p>
    <w:p w14:paraId="5FE9A9E2">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m:oMathPara>
    </w:p>
    <w:p w14:paraId="0000009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r>
          <m:rPr>
            <m:sty m:val="p"/>
          </m:rPr>
          <m:t>SignalMatch</m:t>
        </m:r>
        <m:d>
          <m:dPr>
            <m:sepChr m:val=""/>
          </m:dPr>
          <m:e>
            <m:r>
              <m:rPr/>
              <m:t>π</m:t>
            </m:r>
            <m:r>
              <m:rPr>
                <m:sty m:val="p"/>
              </m:rPr>
              <m:t>,</m:t>
            </m:r>
            <m:sSup>
              <m:sSupPr/>
              <m:e>
                <m:r>
                  <m:rPr/>
                  <m:t>τ</m:t>
                </m:r>
              </m:e>
              <m:sup>
                <m:r>
                  <m:rPr>
                    <m:sty m:val="p"/>
                  </m:rPr>
                  <m:t>∗</m:t>
                </m:r>
              </m:sup>
            </m:sSup>
          </m:e>
        </m:d>
        <m:r>
          <m:rPr>
            <m:sty m:val="p"/>
          </m:rPr>
          <m:t>&gt;</m:t>
        </m:r>
        <m:r>
          <m:rPr/>
          <m:t>0.99</m:t>
        </m:r>
      </m:oMath>
      <w:r>
        <w:rPr>
          <w:rFonts w:ascii="Times New Roman" w:hAnsi="Times New Roman" w:eastAsia="Times New Roman"/>
        </w:rPr>
        <w:t>, the policy has effectively collapsed.</w:t>
      </w:r>
    </w:p>
    <w:p w14:paraId="3D70E188">
      <w:pPr>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3 (Economic Significance):</w:t>
      </w:r>
      <w:r>
        <w:rPr>
          <w:rFonts w:ascii="Times New Roman" w:hAnsi="Times New Roman" w:eastAsia="Times New Roman" w:cs="Google Sans"/>
          <w:color w:val="1F1F1F"/>
          <w:sz w:val="24"/>
          <w:rtl w:val="0"/>
        </w:rPr>
        <w:t xml:space="preserve"> Compare the transferred policy against the behavioral-equivalent threshold:</w:t>
      </w:r>
    </w:p>
    <w:p w14:paraId="0000009A">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ind w:left="105" w:leftChars="0"/>
        <w:jc w:val="center"/>
      </w:pPr>
      <m:oMathPara>
        <m:oMath>
          <m:r>
            <m:rPr/>
            <m:t>Δ</m:t>
          </m:r>
          <m:r>
            <m:rPr>
              <m:sty m:val="p"/>
            </m:rPr>
            <m:t>Sharpe=Sharpe</m:t>
          </m:r>
          <m:d>
            <m:dPr>
              <m:sepChr m:val=""/>
            </m:dPr>
            <m:e>
              <m:r>
                <m:rPr/>
                <m:t>π</m:t>
              </m:r>
            </m:e>
          </m:d>
          <m:r>
            <m:rPr>
              <m:sty m:val="p"/>
            </m:rPr>
            <m:t>−Sharpe</m:t>
          </m:r>
          <m:d>
            <m:dPr>
              <m:sepChr m:val=""/>
            </m:dPr>
            <m:e>
              <m:sSub>
                <m:sSubPr/>
                <m:e>
                  <m:r>
                    <m:rPr/>
                    <m:t>τ</m:t>
                  </m:r>
                </m:e>
                <m:sub>
                  <m:sSup>
                    <m:sSupPr/>
                    <m:e>
                      <m:r>
                        <m:rPr/>
                        <m:t>k</m:t>
                      </m:r>
                    </m:e>
                    <m:sup>
                      <m:r>
                        <m:rPr>
                          <m:sty m:val="p"/>
                        </m:rPr>
                        <m:t>∗</m:t>
                      </m:r>
                    </m:sup>
                  </m:sSup>
                </m:sub>
              </m:sSub>
            </m:e>
          </m:d>
        </m:oMath>
      </m:oMathPara>
    </w:p>
    <w:p w14:paraId="0000009B">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If </w:t>
      </w:r>
      <m:oMath>
        <m:d>
          <m:dPr>
            <m:begChr m:val="|"/>
            <m:sepChr m:val=""/>
            <m:endChr m:val="|"/>
          </m:dPr>
          <m:e>
            <m:r>
              <m:rPr/>
              <m:t>Δ</m:t>
            </m:r>
            <m:r>
              <m:rPr>
                <m:sty m:val="p"/>
              </m:rPr>
              <m:t>Sharpe</m:t>
            </m:r>
          </m:e>
        </m:d>
        <m:r>
          <m:rPr>
            <m:sty m:val="p"/>
          </m:rPr>
          <m:t>&lt;</m:t>
        </m:r>
        <m:r>
          <m:rPr/>
          <m:t>0.01</m:t>
        </m:r>
      </m:oMath>
      <w:r>
        <w:rPr>
          <w:rFonts w:ascii="Times New Roman" w:hAnsi="Times New Roman" w:eastAsia="Times New Roman"/>
        </w:rPr>
        <w:t xml:space="preserve"> and turnover is similar, the policy provides no contextual benefit.</w:t>
      </w:r>
    </w:p>
    <w:p w14:paraId="0000009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5.5 Summary of Theoretical Claims</w:t>
      </w:r>
    </w:p>
    <w:p w14:paraId="0000009D">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What we claim:</w:t>
      </w:r>
    </w:p>
    <w:p w14:paraId="0000009E">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Source-side action concentration is empirically associated with target-side collapse (Proposition 1).</w:t>
      </w:r>
    </w:p>
    <w:p w14:paraId="0000009F">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Linear scoring policies have convex polyhedral decision regions (Proposition 2).</w:t>
      </w:r>
    </w:p>
    <w:p w14:paraId="000000A0">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Collapsed policies are behaviorally equivalent to static thresholds (Proposition 3).</w:t>
      </w:r>
    </w:p>
    <w:p w14:paraId="000000A1">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Practical diagnostic rules can detect collapse before deployment.</w:t>
      </w:r>
    </w:p>
    <w:p w14:paraId="000000A2">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What we do NOT claim:</w:t>
      </w:r>
    </w:p>
    <w:p w14:paraId="000000A3">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 diversity is a universal theoretical necessity for transfer success under all environments.</w:t>
      </w:r>
    </w:p>
    <w:p w14:paraId="000000A4">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Full LinUCB policies have strictly polyhedral decision regions.</w:t>
      </w:r>
    </w:p>
    <w:p w14:paraId="000000A5">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Sharpe ratio equality implies behavioral equivalence.</w:t>
      </w:r>
    </w:p>
    <w:p w14:paraId="000000A6">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color w:val="1F1F1F"/>
          <w:sz w:val="24"/>
          <w:rtl w:val="0"/>
        </w:rPr>
        <w:t>The findings generalize beyond our experimental setting without empirical verification.</w:t>
      </w:r>
    </w:p>
    <w:p w14:paraId="000000A7">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 Experimental Design</w:t>
      </w:r>
    </w:p>
    <w:p w14:paraId="000000A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 Data</w:t>
      </w:r>
    </w:p>
    <w:p w14:paraId="000000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6.1.1 Asset Universe</w:t>
      </w:r>
    </w:p>
    <w:p w14:paraId="000000AA">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Source Assets (6):</w:t>
      </w:r>
    </w:p>
    <w:p w14:paraId="000000AB">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SPY:</w:t>
      </w:r>
      <w:r>
        <w:rPr>
          <w:rFonts w:ascii="Times New Roman" w:hAnsi="Times New Roman" w:eastAsia="Times New Roman" w:cs="Google Sans"/>
          <w:color w:val="1F1F1F"/>
          <w:sz w:val="24"/>
          <w:rtl w:val="0"/>
        </w:rPr>
        <w:t xml:space="preserve"> SPDR S&amp;P 500 ETF Trust</w:t>
      </w:r>
    </w:p>
    <w:p w14:paraId="000000AC">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QQQ:</w:t>
      </w:r>
      <w:r>
        <w:rPr>
          <w:rFonts w:ascii="Times New Roman" w:hAnsi="Times New Roman" w:eastAsia="Times New Roman" w:cs="Google Sans"/>
          <w:color w:val="1F1F1F"/>
          <w:sz w:val="24"/>
          <w:rtl w:val="0"/>
        </w:rPr>
        <w:t xml:space="preserve"> Invesco QQQ Trust</w:t>
      </w:r>
    </w:p>
    <w:p w14:paraId="000000AD">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IWM:</w:t>
      </w:r>
      <w:r>
        <w:rPr>
          <w:rFonts w:ascii="Times New Roman" w:hAnsi="Times New Roman" w:eastAsia="Times New Roman" w:cs="Google Sans"/>
          <w:color w:val="1F1F1F"/>
          <w:sz w:val="24"/>
          <w:rtl w:val="0"/>
        </w:rPr>
        <w:t xml:space="preserve"> iShares Russell 2000 ETF</w:t>
      </w:r>
    </w:p>
    <w:p w14:paraId="000000AE">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EEM:</w:t>
      </w:r>
      <w:r>
        <w:rPr>
          <w:rFonts w:ascii="Times New Roman" w:hAnsi="Times New Roman" w:eastAsia="Times New Roman" w:cs="Google Sans"/>
          <w:color w:val="1F1F1F"/>
          <w:sz w:val="24"/>
          <w:rtl w:val="0"/>
        </w:rPr>
        <w:t xml:space="preserve"> iShares MSCI Emerging Markets ETF</w:t>
      </w:r>
    </w:p>
    <w:p w14:paraId="000000AF">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TLT:</w:t>
      </w:r>
      <w:r>
        <w:rPr>
          <w:rFonts w:ascii="Times New Roman" w:hAnsi="Times New Roman" w:eastAsia="Times New Roman" w:cs="Google Sans"/>
          <w:color w:val="1F1F1F"/>
          <w:sz w:val="24"/>
          <w:rtl w:val="0"/>
        </w:rPr>
        <w:t xml:space="preserve"> iShares 20+ Year Treasury Bond ETF</w:t>
      </w:r>
    </w:p>
    <w:p w14:paraId="000000B0">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GLD:</w:t>
      </w:r>
      <w:r>
        <w:rPr>
          <w:rFonts w:ascii="Times New Roman" w:hAnsi="Times New Roman" w:eastAsia="Times New Roman" w:cs="Google Sans"/>
          <w:color w:val="1F1F1F"/>
          <w:sz w:val="24"/>
          <w:rtl w:val="0"/>
        </w:rPr>
        <w:t xml:space="preserve"> SPDR Gold Shares</w:t>
      </w:r>
    </w:p>
    <w:p w14:paraId="000000B1">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Target Assets (39):</w:t>
      </w:r>
    </w:p>
    <w:p w14:paraId="000000B2">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i/>
          <w:iCs/>
          <w:color w:val="1F1F1F"/>
          <w:sz w:val="24"/>
          <w:rtl w:val="0"/>
        </w:rPr>
        <w:t>US Equity ETFs (11):</w:t>
      </w:r>
      <w:r>
        <w:rPr>
          <w:rFonts w:ascii="Times New Roman" w:hAnsi="Times New Roman" w:eastAsia="Times New Roman" w:cs="Google Sans"/>
          <w:color w:val="1F1F1F"/>
          <w:sz w:val="24"/>
          <w:rtl w:val="0"/>
        </w:rPr>
        <w:t xml:space="preserve"> VTI, VOO, IVV, SCHB, SPTM, ITOT, VONE, IWB, SCHX, MGC, SPLG</w:t>
      </w:r>
    </w:p>
    <w:p w14:paraId="000000B3">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International Equity ETFs (7):</w:t>
      </w:r>
      <w:r>
        <w:rPr>
          <w:rFonts w:ascii="Times New Roman" w:hAnsi="Times New Roman" w:eastAsia="Times New Roman" w:cs="Google Sans"/>
          <w:color w:val="1F1F1F"/>
          <w:sz w:val="24"/>
          <w:rtl w:val="0"/>
        </w:rPr>
        <w:t xml:space="preserve"> EFA, EFG, IEFA, SCHF, VEA, IEUR, SPDW</w:t>
      </w:r>
    </w:p>
    <w:p w14:paraId="000000B4">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Fixed Income ETFs (6):</w:t>
      </w:r>
      <w:r>
        <w:rPr>
          <w:rFonts w:ascii="Times New Roman" w:hAnsi="Times New Roman" w:eastAsia="Times New Roman" w:cs="Google Sans"/>
          <w:color w:val="1F1F1F"/>
          <w:sz w:val="24"/>
          <w:rtl w:val="0"/>
        </w:rPr>
        <w:t xml:space="preserve"> AGG, BND, SCHZ, VTEB, MUB, LQD</w:t>
      </w:r>
    </w:p>
    <w:p w14:paraId="000000B5">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Commodity ETFs (5):</w:t>
      </w:r>
      <w:r>
        <w:rPr>
          <w:rFonts w:ascii="Times New Roman" w:hAnsi="Times New Roman" w:eastAsia="Times New Roman" w:cs="Google Sans"/>
          <w:color w:val="1F1F1F"/>
          <w:sz w:val="24"/>
          <w:rtl w:val="0"/>
        </w:rPr>
        <w:t xml:space="preserve"> DBC, GSG, PDBC, USO, UNG</w:t>
      </w:r>
    </w:p>
    <w:p w14:paraId="000000B6">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Real Estate ETFs (3):</w:t>
      </w:r>
      <w:r>
        <w:rPr>
          <w:rFonts w:ascii="Times New Roman" w:hAnsi="Times New Roman" w:eastAsia="Times New Roman" w:cs="Google Sans"/>
          <w:color w:val="1F1F1F"/>
          <w:sz w:val="24"/>
          <w:rtl w:val="0"/>
        </w:rPr>
        <w:t xml:space="preserve"> VNQ, IYR, SCHH</w:t>
      </w:r>
    </w:p>
    <w:p w14:paraId="000000B7">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Currency ETFs (3):</w:t>
      </w:r>
      <w:r>
        <w:rPr>
          <w:rFonts w:ascii="Times New Roman" w:hAnsi="Times New Roman" w:eastAsia="Times New Roman" w:cs="Google Sans"/>
          <w:color w:val="1F1F1F"/>
          <w:sz w:val="24"/>
          <w:rtl w:val="0"/>
        </w:rPr>
        <w:t xml:space="preserve"> UUP, FXE, FXY</w:t>
      </w:r>
    </w:p>
    <w:p w14:paraId="000000B8">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i/>
          <w:iCs/>
          <w:color w:val="1F1F1F"/>
          <w:sz w:val="24"/>
          <w:rtl w:val="0"/>
        </w:rPr>
        <w:t>Crypto Assets (4):</w:t>
      </w:r>
      <w:r>
        <w:rPr>
          <w:rFonts w:ascii="Times New Roman" w:hAnsi="Times New Roman" w:eastAsia="Times New Roman" w:cs="Google Sans"/>
          <w:color w:val="1F1F1F"/>
          <w:sz w:val="24"/>
          <w:rtl w:val="0"/>
        </w:rPr>
        <w:t xml:space="preserve"> BTC-USD, ETH-USD, LTC-USD, XRP-USD</w:t>
      </w:r>
    </w:p>
    <w:p w14:paraId="000000B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6.1.2 Data Sources and Access</w:t>
      </w:r>
    </w:p>
    <w:p w14:paraId="000000BA">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Equity/ETF Data:</w:t>
      </w:r>
      <w:r>
        <w:rPr>
          <w:rFonts w:ascii="Times New Roman" w:hAnsi="Times New Roman" w:eastAsia="Times New Roman" w:cs="Google Sans"/>
          <w:color w:val="1F1F1F"/>
          <w:sz w:val="24"/>
          <w:rtl w:val="0"/>
        </w:rPr>
        <w:t xml:space="preserve"> Yahoo Finance API (Adjusted close prices)</w:t>
      </w:r>
    </w:p>
    <w:p w14:paraId="000000BB">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Cryptocurrency Data: Public Yahoo Finance and CoinGecko</w:t>
      </w:r>
    </w:p>
    <w:p w14:paraId="000000BC">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Access Date:</w:t>
      </w:r>
      <w:r>
        <w:rPr>
          <w:rFonts w:ascii="Times New Roman" w:hAnsi="Times New Roman" w:eastAsia="Times New Roman" w:cs="Google Sans"/>
          <w:color w:val="1F1F1F"/>
          <w:sz w:val="24"/>
          <w:rtl w:val="0"/>
        </w:rPr>
        <w:t xml:space="preserve"> January 15, 2026</w:t>
      </w:r>
    </w:p>
    <w:p w14:paraId="000000BD">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Data Period:</w:t>
      </w:r>
      <w:r>
        <w:rPr>
          <w:rFonts w:ascii="Times New Roman" w:hAnsi="Times New Roman" w:eastAsia="Times New Roman" w:cs="Google Sans"/>
          <w:color w:val="1F1F1F"/>
          <w:sz w:val="24"/>
          <w:rtl w:val="0"/>
        </w:rPr>
        <w:t xml:space="preserve"> January 1, 2015 – December 31, 2024</w:t>
      </w:r>
    </w:p>
    <w:p w14:paraId="000000BE">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Frequency:</w:t>
      </w:r>
      <w:r>
        <w:rPr>
          <w:rFonts w:ascii="Times New Roman" w:hAnsi="Times New Roman" w:eastAsia="Times New Roman" w:cs="Google Sans"/>
          <w:color w:val="1F1F1F"/>
          <w:sz w:val="24"/>
          <w:rtl w:val="0"/>
        </w:rPr>
        <w:t xml:space="preserve"> Daily (close-to-close returns)</w:t>
      </w:r>
    </w:p>
    <w:p w14:paraId="000000B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6.1.3 Data Processing</w:t>
      </w:r>
    </w:p>
    <w:p w14:paraId="000000C0">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Price Adjustments:</w:t>
      </w:r>
      <w:r>
        <w:rPr>
          <w:rFonts w:ascii="Times New Roman" w:hAnsi="Times New Roman" w:eastAsia="Times New Roman" w:cs="Google Sans"/>
          <w:color w:val="1F1F1F"/>
          <w:sz w:val="24"/>
          <w:rtl w:val="0"/>
        </w:rPr>
        <w:t xml:space="preserve"> All prices are adjusted for stock splits and dividends. We use Adjusted Close prices for return computation.</w:t>
      </w:r>
    </w:p>
    <w:p w14:paraId="000000C1">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Missing Values:</w:t>
      </w:r>
      <w:r>
        <w:rPr>
          <w:rFonts w:ascii="Times New Roman" w:hAnsi="Times New Roman" w:eastAsia="Times New Roman" w:cs="Google Sans"/>
          <w:color w:val="1F1F1F"/>
          <w:sz w:val="24"/>
          <w:rtl w:val="0"/>
        </w:rPr>
        <w:t xml:space="preserve"> Forward-fill missing values (up to 5 consecutive days). Drop assets with </w:t>
      </w:r>
      <m:oMath>
        <m:r>
          <m:rPr/>
          <m:t>&gt; 10%</m:t>
        </m:r>
      </m:oMath>
      <w:r>
        <w:rPr>
          <w:rFonts w:ascii="Times New Roman" w:hAnsi="Times New Roman" w:eastAsia="Times New Roman" w:cs="Google Sans"/>
          <w:color w:val="1F1F1F"/>
          <w:sz w:val="24"/>
          <w:rtl w:val="0"/>
        </w:rPr>
        <w:t xml:space="preserve"> missing values in any rolling window.</w:t>
      </w:r>
    </w:p>
    <w:p w14:paraId="000000C2">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Liquidity Filter:</w:t>
      </w:r>
      <w:r>
        <w:rPr>
          <w:rFonts w:ascii="Times New Roman" w:hAnsi="Times New Roman" w:eastAsia="Times New Roman" w:cs="Google Sans"/>
          <w:color w:val="1F1F1F"/>
          <w:sz w:val="24"/>
          <w:rtl w:val="0"/>
        </w:rPr>
        <w:t xml:space="preserve"> Minimum average daily volume of 1 million shares (for ETFs). No volume filter for crypto assets.</w:t>
      </w:r>
    </w:p>
    <w:p w14:paraId="000000C3">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Calendar Alignment:</w:t>
      </w:r>
      <w:r>
        <w:rPr>
          <w:rFonts w:ascii="Times New Roman" w:hAnsi="Times New Roman" w:eastAsia="Times New Roman" w:cs="Google Sans"/>
          <w:color w:val="1F1F1F"/>
          <w:sz w:val="24"/>
          <w:rtl w:val="0"/>
        </w:rPr>
        <w:t xml:space="preserve"> US trading days are used as the reference calendar. Crypto prices are mapped to the nearest US trading day; non-trading days are excluded from analysis.</w:t>
      </w:r>
    </w:p>
    <w:p w14:paraId="000000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 Features (20)</w:t>
      </w:r>
    </w:p>
    <w:p w14:paraId="000000C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6.2.1 Feature Definitions</w:t>
      </w:r>
    </w:p>
    <w:p w14:paraId="000000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We compute  technical, volatility, volume, and price-based features for each asset:</w:t>
      </w:r>
    </w:p>
    <w:p w14:paraId="01120B23">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b/>
          <w:bCs/>
        </w:rPr>
        <w:t>Multi-Horizon Returns (6):</w:t>
      </w:r>
      <w:r>
        <w:rPr>
          <w:rFonts w:ascii="Times New Roman" w:hAnsi="Times New Roman" w:eastAsia="Times New Roman"/>
        </w:rPr>
        <w:t xml:space="preserve"> Return over the past </w:t>
      </w:r>
      <m:oMath>
        <m:r>
          <m:rPr/>
          <m:t>h</m:t>
        </m:r>
        <m:r>
          <m:rPr>
            <m:sty m:val="p"/>
          </m:rPr>
          <m:t>∈{</m:t>
        </m:r>
        <m:r>
          <m:rPr/>
          <m:t>1</m:t>
        </m:r>
        <m:r>
          <m:rPr>
            <m:sty m:val="p"/>
          </m:rPr>
          <m:t>,</m:t>
        </m:r>
        <m:r>
          <m:rPr/>
          <m:t>5</m:t>
        </m:r>
        <m:r>
          <m:rPr>
            <m:sty m:val="p"/>
          </m:rPr>
          <m:t>,</m:t>
        </m:r>
        <m:r>
          <m:rPr/>
          <m:t>10</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trading days: </w:t>
      </w:r>
      <m:oMath>
        <m:sSubSup>
          <m:sSubSupPr/>
          <m:e>
            <m:r>
              <m:rPr/>
              <m:t>R</m:t>
            </m:r>
          </m:e>
          <m:sub>
            <m:r>
              <m:rPr/>
              <m:t>t</m:t>
            </m:r>
          </m:sub>
          <m:sup>
            <m:d>
              <m:dPr>
                <m:sepChr m:val=""/>
              </m:dPr>
              <m:e>
                <m:r>
                  <m:rPr/>
                  <m:t>h</m:t>
                </m:r>
              </m:e>
            </m:d>
          </m:sup>
        </m:sSubSup>
        <m:r>
          <m:rPr>
            <m:sty m:val="p"/>
          </m:rPr>
          <m:t>=</m:t>
        </m:r>
        <m:sSub>
          <m:sSubPr/>
          <m:e>
            <m:r>
              <m:rPr/>
              <m:t>P</m:t>
            </m:r>
          </m:e>
          <m:sub>
            <m:r>
              <m:rPr/>
              <m:t>t</m:t>
            </m:r>
          </m:sub>
        </m:sSub>
        <m:r>
          <m:rPr>
            <m:sty m:val="p"/>
          </m:rPr>
          <m:t>/</m:t>
        </m:r>
        <m:sSub>
          <m:sSubPr/>
          <m:e>
            <m:r>
              <m:rPr/>
              <m:t>P</m:t>
            </m:r>
          </m:e>
          <m:sub>
            <m:r>
              <m:rPr/>
              <m:t>t</m:t>
            </m:r>
            <m:r>
              <m:rPr>
                <m:sty m:val="p"/>
              </m:rPr>
              <m:t>−</m:t>
            </m:r>
            <m:r>
              <m:rPr/>
              <m:t>h</m:t>
            </m:r>
          </m:sub>
        </m:sSub>
        <m:r>
          <m:rPr>
            <m:sty m:val="p"/>
          </m:rPr>
          <m:t>−</m:t>
        </m:r>
        <m:r>
          <m:rPr/>
          <m:t>1</m:t>
        </m:r>
      </m:oMath>
      <w:r>
        <w:rPr>
          <w:rFonts w:ascii="Times New Roman" w:hAnsi="Times New Roman" w:eastAsia="Times New Roman"/>
        </w:rPr>
        <w:t>.</w:t>
      </w:r>
    </w:p>
    <w:p w14:paraId="25FB6842">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Realized Volatility (3):</w:t>
      </w:r>
      <w:r>
        <w:rPr>
          <w:rFonts w:ascii="Times New Roman" w:hAnsi="Times New Roman" w:eastAsia="Times New Roman"/>
        </w:rPr>
        <w:t xml:space="preserve"> For </w:t>
      </w:r>
      <m:oMath>
        <m:r>
          <m:rPr/>
          <m:t>h</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w:t>
      </w:r>
      <m:oMath>
        <m:sSubSup>
          <m:sSubSupPr/>
          <m:e>
            <m:r>
              <m:rPr/>
              <m:t>σ</m:t>
            </m:r>
          </m:e>
          <m:sub>
            <m:r>
              <m:rPr/>
              <m:t>t</m:t>
            </m:r>
          </m:sub>
          <m:sup>
            <m:d>
              <m:dPr>
                <m:sepChr m:val=""/>
              </m:dPr>
              <m:e>
                <m:r>
                  <m:rPr/>
                  <m:t>h</m:t>
                </m:r>
              </m:e>
            </m:d>
          </m:sup>
        </m:sSubSup>
        <m:r>
          <m:rPr>
            <m:sty m:val="p"/>
          </m:rPr>
          <m:t>=</m:t>
        </m:r>
        <m:rad>
          <m:radPr>
            <m:degHide m:val="1"/>
          </m:radPr>
          <m:deg/>
          <m:e>
            <m:f>
              <m:fPr/>
              <m:num>
                <m:r>
                  <m:rPr/>
                  <m:t>252</m:t>
                </m:r>
              </m:num>
              <m:den>
                <m:r>
                  <m:rPr/>
                  <m:t>h</m:t>
                </m:r>
              </m:den>
            </m:f>
            <m:nary>
              <m:naryPr>
                <m:chr m:val="∑"/>
                <m:limLoc m:val="undOvr"/>
              </m:naryPr>
              <m:sub>
                <m:r>
                  <m:rPr/>
                  <m:t>i</m:t>
                </m:r>
                <m:r>
                  <m:rPr>
                    <m:sty m:val="p"/>
                  </m:rPr>
                  <m:t>=</m:t>
                </m:r>
                <m:r>
                  <m:rPr/>
                  <m:t>1</m:t>
                </m:r>
              </m:sub>
              <m:sup>
                <m:r>
                  <m:rPr/>
                  <m:t>h</m:t>
                </m:r>
              </m:sup>
              <m:e>
                <m:sSubSup>
                  <m:sSubSupPr/>
                  <m:e>
                    <m:r>
                      <m:rPr/>
                      <m:t>r</m:t>
                    </m:r>
                  </m:e>
                  <m:sub>
                    <m:r>
                      <m:rPr/>
                      <m:t>t</m:t>
                    </m:r>
                    <m:r>
                      <m:rPr>
                        <m:sty m:val="p"/>
                      </m:rPr>
                      <m:t>−</m:t>
                    </m:r>
                    <m:r>
                      <m:rPr/>
                      <m:t>i</m:t>
                    </m:r>
                    <m:r>
                      <m:rPr>
                        <m:sty m:val="p"/>
                      </m:rPr>
                      <m:t>+</m:t>
                    </m:r>
                    <m:r>
                      <m:rPr/>
                      <m:t>1</m:t>
                    </m:r>
                  </m:sub>
                  <m:sup>
                    <m:r>
                      <m:rPr/>
                      <m:t>2</m:t>
                    </m:r>
                  </m:sup>
                </m:sSubSup>
              </m:e>
            </m:nary>
          </m:e>
        </m:rad>
      </m:oMath>
      <w:r>
        <w:rPr>
          <w:rFonts w:ascii="Times New Roman" w:hAnsi="Times New Roman" w:eastAsia="Times New Roman"/>
        </w:rPr>
        <w:t>.</w:t>
      </w:r>
    </w:p>
    <w:p w14:paraId="57B412B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Volatility Ratio (1):</w:t>
      </w:r>
      <w:r>
        <w:rPr>
          <w:rFonts w:ascii="Times New Roman" w:hAnsi="Times New Roman" w:eastAsia="Times New Roman"/>
        </w:rPr>
        <w:t xml:space="preserve"> </w:t>
      </w:r>
      <m:oMath>
        <m:sSub>
          <m:sSubPr/>
          <m:e>
            <m:r>
              <m:rPr>
                <m:sty m:val="p"/>
              </m:rPr>
              <m:t>VR</m:t>
            </m:r>
          </m:e>
          <m:sub>
            <m:r>
              <m:rPr/>
              <m:t>t</m:t>
            </m:r>
          </m:sub>
        </m:sSub>
        <m:r>
          <m:rPr>
            <m:sty m:val="p"/>
          </m:rPr>
          <m:t>=</m:t>
        </m:r>
        <m:sSubSup>
          <m:sSubSupPr/>
          <m:e>
            <m:r>
              <m:rPr/>
              <m:t>σ</m:t>
            </m:r>
          </m:e>
          <m:sub>
            <m:r>
              <m:rPr/>
              <m:t>t</m:t>
            </m:r>
          </m:sub>
          <m:sup>
            <m:d>
              <m:dPr>
                <m:sepChr m:val=""/>
              </m:dPr>
              <m:e>
                <m:r>
                  <m:rPr/>
                  <m:t>21</m:t>
                </m:r>
              </m:e>
            </m:d>
          </m:sup>
        </m:sSubSup>
        <m:r>
          <m:rPr>
            <m:sty m:val="p"/>
          </m:rPr>
          <m:t>/</m:t>
        </m:r>
        <m:sSubSup>
          <m:sSubSupPr/>
          <m:e>
            <m:r>
              <m:rPr/>
              <m:t>σ</m:t>
            </m:r>
          </m:e>
          <m:sub>
            <m:r>
              <m:rPr/>
              <m:t>t</m:t>
            </m:r>
          </m:sub>
          <m:sup>
            <m:d>
              <m:dPr>
                <m:sepChr m:val=""/>
              </m:dPr>
              <m:e>
                <m:r>
                  <m:rPr/>
                  <m:t>252</m:t>
                </m:r>
              </m:e>
            </m:d>
          </m:sup>
        </m:sSubSup>
      </m:oMath>
      <w:r>
        <w:rPr>
          <w:rFonts w:ascii="Times New Roman" w:hAnsi="Times New Roman" w:eastAsia="Times New Roman"/>
        </w:rPr>
        <w:t>.</w:t>
      </w:r>
    </w:p>
    <w:p w14:paraId="1162FA81">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SMA Ratios (2):</w:t>
      </w:r>
      <w:r>
        <w:rPr>
          <w:rFonts w:ascii="Times New Roman" w:hAnsi="Times New Roman" w:eastAsia="Times New Roman"/>
        </w:rPr>
        <w:t xml:space="preserve"> For </w:t>
      </w:r>
      <m:oMath>
        <m:r>
          <m:rPr/>
          <m:t>n</m:t>
        </m:r>
        <m:r>
          <m:rPr>
            <m:sty m:val="p"/>
          </m:rPr>
          <m:t>∈{</m:t>
        </m:r>
        <m:r>
          <m:rPr/>
          <m:t>50</m:t>
        </m:r>
        <m:r>
          <m:rPr>
            <m:sty m:val="p"/>
          </m:rPr>
          <m:t>,</m:t>
        </m:r>
        <m:r>
          <m:rPr/>
          <m:t>200</m:t>
        </m:r>
        <m:r>
          <m:rPr>
            <m:sty m:val="p"/>
          </m:rPr>
          <m:t>}</m:t>
        </m:r>
      </m:oMath>
      <w:r>
        <w:rPr>
          <w:rFonts w:ascii="Times New Roman" w:hAnsi="Times New Roman" w:eastAsia="Times New Roman"/>
        </w:rPr>
        <w:t xml:space="preserve">, </w:t>
      </w:r>
      <m:oMath>
        <m:sSubSup>
          <m:sSubSupPr/>
          <m:e>
            <m:r>
              <m:rPr>
                <m:sty m:val="p"/>
              </m:rPr>
              <m:t>SMA</m:t>
            </m:r>
          </m:e>
          <m:sub>
            <m:r>
              <m:rPr/>
              <m:t>t</m:t>
            </m:r>
          </m:sub>
          <m:sup>
            <m:d>
              <m:dPr>
                <m:sepChr m:val=""/>
              </m:dPr>
              <m:e>
                <m:r>
                  <m:rPr/>
                  <m:t>n</m:t>
                </m:r>
              </m:e>
            </m:d>
          </m:sup>
        </m:sSubSup>
        <m:r>
          <m:rPr>
            <m:sty m:val="p"/>
          </m:rPr>
          <m:t>=</m:t>
        </m:r>
        <m:sSub>
          <m:sSubPr/>
          <m:e>
            <m:r>
              <m:rPr/>
              <m:t>P</m:t>
            </m:r>
          </m:e>
          <m:sub>
            <m:r>
              <m:rPr/>
              <m:t>t</m:t>
            </m:r>
          </m:sub>
        </m:sSub>
        <m:r>
          <m:rPr>
            <m:sty m:val="p"/>
          </m:rPr>
          <m:t>/</m:t>
        </m:r>
        <m:d>
          <m:dPr>
            <m:sepChr m:val=""/>
          </m:dPr>
          <m:e>
            <m:f>
              <m:fPr/>
              <m:num>
                <m:r>
                  <m:rPr/>
                  <m:t>1</m:t>
                </m:r>
              </m:num>
              <m:den>
                <m:r>
                  <m:rPr/>
                  <m:t>n</m:t>
                </m:r>
              </m:den>
            </m:f>
            <m:nary>
              <m:naryPr>
                <m:chr m:val="∑"/>
                <m:limLoc m:val="undOvr"/>
              </m:naryPr>
              <m:sub>
                <m:r>
                  <m:rPr/>
                  <m:t>i</m:t>
                </m:r>
                <m:r>
                  <m:rPr>
                    <m:sty m:val="p"/>
                  </m:rPr>
                  <m:t>=</m:t>
                </m:r>
                <m:r>
                  <m:rPr/>
                  <m:t>0</m:t>
                </m:r>
              </m:sub>
              <m:sup>
                <m:r>
                  <m:rPr/>
                  <m:t>n</m:t>
                </m:r>
                <m:r>
                  <m:rPr>
                    <m:sty m:val="p"/>
                  </m:rPr>
                  <m:t>−</m:t>
                </m:r>
                <m:r>
                  <m:rPr/>
                  <m:t>1</m:t>
                </m:r>
              </m:sup>
              <m:e>
                <m:sSub>
                  <m:sSubPr/>
                  <m:e>
                    <m:r>
                      <m:rPr/>
                      <m:t>P</m:t>
                    </m:r>
                  </m:e>
                  <m:sub>
                    <m:r>
                      <m:rPr/>
                      <m:t>t</m:t>
                    </m:r>
                    <m:r>
                      <m:rPr>
                        <m:sty m:val="p"/>
                      </m:rPr>
                      <m:t>−</m:t>
                    </m:r>
                    <m:r>
                      <m:rPr/>
                      <m:t>i</m:t>
                    </m:r>
                  </m:sub>
                </m:sSub>
              </m:e>
            </m:nary>
          </m:e>
        </m:d>
      </m:oMath>
      <w:r>
        <w:rPr>
          <w:rFonts w:ascii="Times New Roman" w:hAnsi="Times New Roman" w:eastAsia="Times New Roman"/>
        </w:rPr>
        <w:t>.</w:t>
      </w:r>
    </w:p>
    <w:p w14:paraId="000000CB">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RSI (1):</w:t>
      </w:r>
      <w:r>
        <w:rPr>
          <w:rFonts w:ascii="Times New Roman" w:hAnsi="Times New Roman" w:eastAsia="Times New Roman" w:cs="Google Sans"/>
          <w:color w:val="1F1F1F"/>
          <w:sz w:val="24"/>
          <w:rtl w:val="0"/>
        </w:rPr>
        <w:t xml:space="preserve"> 14-day Relative Strength Index.</w:t>
      </w:r>
    </w:p>
    <w:p w14:paraId="000000CC">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MACD (1):</w:t>
      </w:r>
      <w:r>
        <w:rPr>
          <w:rFonts w:ascii="Times New Roman" w:hAnsi="Times New Roman" w:eastAsia="Times New Roman" w:cs="Google Sans"/>
          <w:color w:val="1F1F1F"/>
          <w:sz w:val="24"/>
          <w:rtl w:val="0"/>
        </w:rPr>
        <w:t xml:space="preserve"> Moving Average Convergence Divergence.</w:t>
      </w:r>
    </w:p>
    <w:p w14:paraId="000000C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Bollinger Bands (2):</w:t>
      </w:r>
      <w:r>
        <w:rPr>
          <w:rFonts w:ascii="Times New Roman" w:hAnsi="Times New Roman" w:eastAsia="Times New Roman" w:cs="Google Sans"/>
          <w:color w:val="1F1F1F"/>
          <w:sz w:val="24"/>
          <w:rtl w:val="0"/>
        </w:rPr>
        <w:t xml:space="preserve"> Distance from upper and lower Bollinger Bands (20-day, 2 std).</w:t>
      </w:r>
    </w:p>
    <w:p w14:paraId="000000CE">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Volume Features (2):</w:t>
      </w:r>
      <w:r>
        <w:rPr>
          <w:rFonts w:ascii="Times New Roman" w:hAnsi="Times New Roman" w:eastAsia="Times New Roman" w:cs="Google Sans"/>
          <w:color w:val="1F1F1F"/>
          <w:sz w:val="24"/>
          <w:rtl w:val="0"/>
        </w:rPr>
        <w:t xml:space="preserve"> Volume relative to 20-day average, and 20-day volume volatility.</w:t>
      </w:r>
    </w:p>
    <w:p w14:paraId="000000CF">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Microstructure Features (2):</w:t>
      </w:r>
      <w:r>
        <w:rPr>
          <w:rFonts w:ascii="Times New Roman" w:hAnsi="Times New Roman" w:eastAsia="Times New Roman" w:cs="Google Sans"/>
          <w:color w:val="1F1F1F"/>
          <w:sz w:val="24"/>
          <w:rtl w:val="0"/>
        </w:rPr>
        <w:t xml:space="preserve"> High-low range relative to close, and close-to-close vs. high-low volatility ratio.</w:t>
      </w:r>
    </w:p>
    <w:p w14:paraId="000000D0">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6.2.2 Feature Standardization</w:t>
      </w:r>
    </w:p>
    <w:p w14:paraId="254BA8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All features are standardized using rolling </w:t>
      </w:r>
      <m:oMath>
        <m:r>
          <m:rPr/>
          <m:t>z</m:t>
        </m:r>
      </m:oMath>
      <w:r>
        <w:rPr>
          <w:rFonts w:ascii="Times New Roman" w:hAnsi="Times New Roman" w:eastAsia="Times New Roman"/>
        </w:rPr>
        <w:t>-scores:</w:t>
      </w:r>
    </w:p>
    <w:p w14:paraId="48BAF9A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t>μ</m:t>
            </m:r>
          </m:e>
          <m:sub>
            <m:r>
              <m:rPr/>
              <m:t>t</m:t>
            </m:r>
            <m:r>
              <m:rPr>
                <m:sty m:val="p"/>
              </m:rPr>
              <m:t>,</m:t>
            </m:r>
            <m:r>
              <m:rPr/>
              <m:t>j</m:t>
            </m:r>
          </m:sub>
          <m:sup>
            <m:d>
              <m:dPr>
                <m:sepChr m:val=""/>
              </m:dPr>
              <m:e>
                <m:r>
                  <m:rPr/>
                  <m:t>252</m:t>
                </m:r>
              </m:e>
            </m:d>
          </m:sup>
        </m:sSubSup>
      </m:oMath>
      <w:r>
        <w:rPr>
          <w:rFonts w:ascii="Times New Roman" w:hAnsi="Times New Roman" w:eastAsia="Times New Roman"/>
        </w:rPr>
        <w:t xml:space="preserve"> and </w:t>
      </w:r>
      <m:oMath>
        <m:sSubSup>
          <m:sSubSupPr/>
          <m:e>
            <m:r>
              <m:rPr/>
              <m:t>σ</m:t>
            </m:r>
          </m:e>
          <m:sub>
            <m:r>
              <m:rPr/>
              <m:t>t</m:t>
            </m:r>
            <m:r>
              <m:rPr>
                <m:sty m:val="p"/>
              </m:rPr>
              <m:t>,</m:t>
            </m:r>
            <m:r>
              <m:rPr/>
              <m:t>j</m:t>
            </m:r>
          </m:sub>
          <m:sup>
            <m:d>
              <m:dPr>
                <m:sepChr m:val=""/>
              </m:dPr>
              <m:e>
                <m:r>
                  <m:rPr/>
                  <m:t>252</m:t>
                </m:r>
              </m:e>
            </m:d>
          </m:sup>
        </m:sSubSup>
      </m:oMath>
      <w:r>
        <w:rPr>
          <w:rFonts w:ascii="Times New Roman" w:hAnsi="Times New Roman" w:eastAsia="Times New Roman"/>
        </w:rPr>
        <w:t xml:space="preserve"> are the rolling mean and standard deviation of feature </w:t>
      </w:r>
      <m:oMath>
        <m:r>
          <m:rPr/>
          <m:t>j</m:t>
        </m:r>
      </m:oMath>
      <w:r>
        <w:rPr>
          <w:rFonts w:ascii="Times New Roman" w:hAnsi="Times New Roman" w:eastAsia="Times New Roman"/>
        </w:rPr>
        <w:t xml:space="preserve"> over the previous 252 trading days.</w:t>
      </w:r>
    </w:p>
    <w:p w14:paraId="000000D3">
      <w:pPr>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Look-Ahead Prevention:</w:t>
      </w:r>
      <w:r>
        <w:rPr>
          <w:rFonts w:ascii="Times New Roman" w:hAnsi="Times New Roman" w:eastAsia="Times New Roman" w:cs="Google Sans"/>
          <w:color w:val="1F1F1F"/>
          <w:sz w:val="24"/>
          <w:rtl w:val="0"/>
        </w:rPr>
        <w:t xml:space="preserve"> All features use only past data (no future information). Standardization uses an expanding window for the first </w:t>
      </w:r>
      <m:oMath>
        <m:r>
          <m:rPr/>
          <m:t>252</m:t>
        </m:r>
      </m:oMath>
      <w:r>
        <w:rPr>
          <w:rFonts w:ascii="Times New Roman" w:hAnsi="Times New Roman" w:eastAsia="Times New Roman" w:cs="Google Sans"/>
          <w:color w:val="1F1F1F"/>
          <w:sz w:val="24"/>
          <w:rtl w:val="0"/>
        </w:rPr>
        <w:t xml:space="preserve"> days.</w:t>
      </w:r>
    </w:p>
    <w:p w14:paraId="000000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6.2.3 Context Features for LinUCB</w:t>
      </w:r>
    </w:p>
    <w:p w14:paraId="000000D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3 context features for the bandit are:</w:t>
      </w:r>
    </w:p>
    <w:p w14:paraId="000000D6">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Empirical Mode Decomposition (EMD) Trend: First intrinsic mode function of the rolling window of price observations computed using Empirical Mode Decomposition to capture short-term momentum.</w:t>
      </w:r>
    </w:p>
    <w:p w14:paraId="000000D7">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Current volatility relative to historical distribution, computed as a percentile rank over a 252-day rolling window to identify regimes.</w:t>
      </w:r>
    </w:p>
    <w:p w14:paraId="000000D8">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Consistency of recent price movements, computed as the ratio of directional movement to total movement.</w:t>
      </w:r>
    </w:p>
    <w:p w14:paraId="000000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 Protocol</w:t>
      </w:r>
    </w:p>
    <w:p w14:paraId="000000D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6.3.1 Walk-Forward Validation</w:t>
      </w:r>
    </w:p>
    <w:p w14:paraId="000000DB">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Training Window:</w:t>
      </w:r>
      <w:r>
        <w:rPr>
          <w:rFonts w:ascii="Times New Roman" w:hAnsi="Times New Roman" w:eastAsia="Times New Roman" w:cs="Google Sans"/>
          <w:color w:val="1F1F1F"/>
          <w:sz w:val="24"/>
          <w:rtl w:val="0"/>
        </w:rPr>
        <w:t xml:space="preserve"> </w:t>
      </w:r>
      <m:oMath>
        <m:r>
          <m:rPr/>
          <w:rPr>
            <w:rFonts w:hint="eastAsia"/>
          </w:rPr>
          <m:t>504 trading days, approximately two years.</m:t>
        </m:r>
      </m:oMath>
    </w:p>
    <w:p w14:paraId="000000DC">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Test Window:</w:t>
      </w:r>
      <w:r>
        <w:rPr>
          <w:rFonts w:ascii="Times New Roman" w:hAnsi="Times New Roman" w:eastAsia="Times New Roman" w:cs="Google Sans"/>
          <w:color w:val="1F1F1F"/>
          <w:sz w:val="24"/>
          <w:rtl w:val="0"/>
        </w:rPr>
        <w:t xml:space="preserve"> </w:t>
      </w:r>
      <m:oMath>
        <m:r>
          <m:rPr/>
          <w:rPr>
            <w:rFonts w:hint="eastAsia"/>
          </w:rPr>
          <m:t>63 trading days, approximately one quarter.</m:t>
        </m:r>
      </m:oMath>
    </w:p>
    <w:p w14:paraId="000000DD">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Step Size: 63 trading days.</w:t>
      </w:r>
    </w:p>
    <w:p w14:paraId="000000DE">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Procedure: Train the GBT on days t−503,…,t; generate predictions for days t+1,…,t+63; then step forward by 63 days and repeat.</w:t>
      </w:r>
    </w:p>
    <w:p w14:paraId="000000D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6.3.2 GBT Predictor</w:t>
      </w:r>
    </w:p>
    <w:p w14:paraId="000000E0">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Algorithm:</w:t>
      </w:r>
      <w:r>
        <w:rPr>
          <w:rFonts w:ascii="Times New Roman" w:hAnsi="Times New Roman" w:eastAsia="Times New Roman" w:cs="Google Sans"/>
          <w:color w:val="1F1F1F"/>
          <w:sz w:val="24"/>
          <w:rtl w:val="0"/>
        </w:rPr>
        <w:t xml:space="preserve"> XGBoost (Gradient Boosted Trees)</w:t>
      </w:r>
    </w:p>
    <w:p w14:paraId="000000E1">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Hyperparameters:</w:t>
      </w:r>
      <w:r>
        <w:rPr>
          <w:rFonts w:ascii="Times New Roman" w:hAnsi="Times New Roman" w:eastAsia="Times New Roman" w:cs="Google Sans"/>
          <w:color w:val="1F1F1F"/>
          <w:sz w:val="24"/>
          <w:rtl w:val="0"/>
        </w:rPr>
        <w:t xml:space="preserve"> n_estimators: 100, max_depth: 5, learning_rate: 0.1, subsample: 0.8, colsample_bytree: 0.8, min_child_weight: 5, random_state: 42.</w:t>
      </w:r>
    </w:p>
    <w:p w14:paraId="000000E2">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Label Definition: </w:t>
      </w:r>
      <m:oMath>
        <m:sSub>
          <m:sSubPr/>
          <m:e>
            <m:r>
              <m:rPr/>
              <m:t>y</m:t>
            </m:r>
          </m:e>
          <m:sub>
            <m:r>
              <m:rPr/>
              <m:t>t</m:t>
            </m:r>
          </m:sub>
        </m:sSub>
        <m:r>
          <m:rPr>
            <m:sty m:val="p"/>
          </m:rPr>
          <m:t>=</m:t>
        </m:r>
        <m:r>
          <m:rPr>
            <m:sty m:val="p"/>
            <m:scr m:val="double-struck"/>
          </m:rPr>
          <m:t>1</m:t>
        </m:r>
        <m:d>
          <m:dPr>
            <m:begChr m:val="["/>
            <m:sepChr m:val=""/>
            <m:endChr m:val="]"/>
          </m:dPr>
          <m:e>
            <m:sSub>
              <m:sSubPr/>
              <m:e>
                <m:r>
                  <m:rPr/>
                  <m:t>r</m:t>
                </m:r>
              </m:e>
              <m:sub>
                <m:r>
                  <m:rPr/>
                  <m:t>t</m:t>
                </m:r>
                <m:r>
                  <m:rPr>
                    <m:sty m:val="p"/>
                  </m:rPr>
                  <m:t>+</m:t>
                </m:r>
                <m:r>
                  <m:rPr/>
                  <m:t>1</m:t>
                </m:r>
              </m:sub>
            </m:sSub>
            <m:r>
              <m:rPr>
                <m:sty m:val="p"/>
              </m:rPr>
              <m:t>−</m:t>
            </m:r>
            <m:sSub>
              <m:sSubPr/>
              <m:e>
                <m:r>
                  <m:rPr/>
                  <m:t>r</m:t>
                </m:r>
              </m:e>
              <m:sub>
                <m:r>
                  <m:rPr/>
                  <m:t>f</m:t>
                </m:r>
                <m:r>
                  <m:rPr>
                    <m:sty m:val="p"/>
                  </m:rPr>
                  <m:t>,</m:t>
                </m:r>
                <m:r>
                  <m:rPr/>
                  <m:t>t</m:t>
                </m:r>
              </m:sub>
            </m:sSub>
            <m:r>
              <m:rPr>
                <m:sty m:val="p"/>
              </m:rPr>
              <m:t>&gt;</m:t>
            </m:r>
            <m:r>
              <m:rPr/>
              <m:t>0</m:t>
            </m:r>
          </m:e>
        </m:d>
      </m:oMath>
      <w:r>
        <w:rPr>
          <w:rFonts w:ascii="Times New Roman" w:hAnsi="Times New Roman" w:eastAsia="Times New Roman"/>
        </w:rPr>
        <w:t xml:space="preserve">, where </w:t>
      </w:r>
      <m:oMath>
        <m:sSub>
          <m:sSubPr/>
          <m:e>
            <m:r>
              <m:rPr/>
              <m:t>r</m:t>
            </m:r>
          </m:e>
          <m:sub>
            <m:r>
              <m:rPr/>
              <m:t>f</m:t>
            </m:r>
            <m:r>
              <m:rPr>
                <m:sty m:val="p"/>
              </m:rPr>
              <m:t>,</m:t>
            </m:r>
            <m:r>
              <m:rPr/>
              <m:t>t</m:t>
            </m:r>
          </m:sub>
        </m:sSub>
      </m:oMath>
      <w:r>
        <w:rPr>
          <w:rFonts w:ascii="Times New Roman" w:hAnsi="Times New Roman" w:eastAsia="Times New Roman"/>
        </w:rPr>
        <w:t xml:space="preserve"> is the one-month T-bill rate.</w:t>
      </w:r>
    </w:p>
    <w:p w14:paraId="000000E3">
      <w:pPr>
        <w:keepNext w:val="0"/>
        <w:keepLines w:val="0"/>
        <w:widowControl/>
        <w:suppressLineNumbers w:val="0"/>
        <w:jc w:val="left"/>
        <w:rPr>
          <w:rFonts w:hint="default"/>
          <w:lang w:val="en-US"/>
        </w:rPr>
      </w:pPr>
      <w:r>
        <w:rPr>
          <w:rFonts w:ascii="Times New Roman" w:hAnsi="Times New Roman" w:eastAsia="Times New Roman"/>
        </w:rPr>
        <w:t xml:space="preserve">Prediction Output: </w:t>
      </w:r>
      <m:oMath>
        <m:sSub>
          <m:sSubPr/>
          <m:e>
            <m:acc>
              <m:accPr/>
              <m:e>
                <m:r>
                  <m:rPr/>
                  <m:t>p</m:t>
                </m:r>
              </m:e>
            </m:acc>
          </m:e>
          <m:sub>
            <m:r>
              <m:rPr/>
              <m:t>t</m:t>
            </m:r>
          </m:sub>
        </m:sSub>
        <m:r>
          <m:rPr>
            <m:sty m:val="p"/>
          </m:rPr>
          <m:t>=Pr</m:t>
        </m:r>
        <m:d>
          <m:dPr>
            <m:sepChr m:val=""/>
          </m:dPr>
          <m:e>
            <m:sSub>
              <m:sSubPr/>
              <m:e>
                <m:r>
                  <m:rPr/>
                  <m:t>y</m:t>
                </m:r>
              </m:e>
              <m:sub>
                <m:r>
                  <m:rPr/>
                  <m:t>t</m:t>
                </m:r>
              </m:sub>
            </m:sSub>
            <m:r>
              <m:rPr>
                <m:sty m:val="p"/>
              </m:rPr>
              <m:t>=</m:t>
            </m:r>
            <m:r>
              <m:rPr/>
              <m:t>1</m:t>
            </m:r>
            <m:r>
              <m:rPr>
                <m:sty m:val="p"/>
              </m:rPr>
              <m:t>∣</m:t>
            </m:r>
            <m:sSub>
              <m:sSubPr/>
              <m:e>
                <m:r>
                  <m:rPr>
                    <m:sty m:val="b"/>
                  </m:rPr>
                  <m:t>x</m:t>
                </m:r>
              </m:e>
              <m:sub>
                <m:r>
                  <m:rPr/>
                  <m:t>t</m:t>
                </m:r>
              </m:sub>
            </m:sSub>
          </m:e>
        </m:d>
        <m:r>
          <m:rPr>
            <m:sty m:val="p"/>
          </m:rPr>
          <m:t>∈</m:t>
        </m:r>
        <m:d>
          <m:dPr>
            <m:begChr m:val="["/>
            <m:sepChr m:val=""/>
            <m:endChr m:val="]"/>
          </m:dPr>
          <m:e>
            <m:r>
              <m:rPr/>
              <m:t>0</m:t>
            </m:r>
            <m:r>
              <m:rPr>
                <m:sty m:val="p"/>
              </m:rPr>
              <m:t>,</m:t>
            </m:r>
            <m:r>
              <m:rPr/>
              <m:t>1</m:t>
            </m:r>
          </m:e>
        </m:d>
      </m:oMath>
      <w:r>
        <w:rPr>
          <w:rFonts w:ascii="Times New Roman" w:hAnsi="Times New Roman" w:eastAsia="Times New Roman"/>
        </w:rPr>
        <w:t>.</w:t>
      </w:r>
    </w:p>
    <w:p w14:paraId="000000E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6.3.3 LinUCB Bandit</w:t>
      </w:r>
    </w:p>
    <w:p w14:paraId="000000E5">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Initialization: </w:t>
      </w:r>
      <m:oMath>
        <m:sSub>
          <m:sSubPr/>
          <m:e>
            <m:r>
              <m:rPr/>
              <m:t>A</m:t>
            </m:r>
          </m:e>
          <m:sub>
            <m:r>
              <m:rPr/>
              <m:t>k</m:t>
            </m:r>
          </m:sub>
        </m:sSub>
        <m:r>
          <m:rPr>
            <m:sty m:val="p"/>
          </m:rPr>
          <m:t>=</m:t>
        </m:r>
        <m:sSub>
          <m:sSubPr/>
          <m:e>
            <m:r>
              <m:rPr/>
              <m:t>I</m:t>
            </m:r>
          </m:e>
          <m:sub>
            <m:r>
              <m:rPr/>
              <m:t>d</m:t>
            </m:r>
          </m:sub>
        </m:sSub>
        <m:r>
          <m:rPr>
            <m:sty m:val="p"/>
          </m:rPr>
          <m:t>,</m:t>
        </m:r>
        <m:r>
          <m:rPr/>
          <m:t> </m:t>
        </m:r>
        <m:sSub>
          <m:sSubPr/>
          <m:e>
            <m:r>
              <m:rPr>
                <m:sty m:val="b"/>
              </m:rPr>
              <m:t>b</m:t>
            </m:r>
          </m:e>
          <m:sub>
            <m:r>
              <m:rPr/>
              <m:t>k</m:t>
            </m:r>
          </m:sub>
        </m:sSub>
        <m:r>
          <m:rPr>
            <m:sty m:val="p"/>
          </m:rPr>
          <m:t>=</m:t>
        </m:r>
        <m:r>
          <m:rPr>
            <m:sty m:val="b"/>
          </m:rPr>
          <m:t>0</m:t>
        </m:r>
      </m:oMath>
      <w:r>
        <w:rPr>
          <w:rFonts w:ascii="Times New Roman" w:hAnsi="Times New Roman" w:eastAsia="Times New Roman"/>
        </w:rPr>
        <w:t xml:space="preserve"> for each action </w:t>
      </w:r>
      <m:oMath>
        <m:r>
          <m:rPr/>
          <m:t>k</m:t>
        </m:r>
      </m:oMath>
      <w:r>
        <w:rPr>
          <w:rFonts w:ascii="Times New Roman" w:hAnsi="Times New Roman" w:eastAsia="Times New Roman"/>
        </w:rPr>
        <w:t>.</w:t>
      </w:r>
    </w:p>
    <w:p w14:paraId="000000E6">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Action Selection: </w:t>
      </w:r>
      <m:oMath>
        <m:sSub>
          <m:sSubPr/>
          <m:e>
            <m:r>
              <m:rPr/>
              <m:t>a</m:t>
            </m:r>
          </m:e>
          <m:sub>
            <m:r>
              <m:rPr/>
              <m:t>t</m:t>
            </m:r>
          </m:sub>
        </m:sSub>
        <m:r>
          <m:rPr>
            <m:sty m:val="p"/>
          </m:rPr>
          <m:t>=arg</m:t>
        </m:r>
        <m:sSub>
          <m:sSubPr/>
          <m:e>
            <m:r>
              <m:rPr>
                <m:sty m:val="p"/>
              </m:rPr>
              <m:t>max</m:t>
            </m:r>
          </m:e>
          <m:sub>
            <m:r>
              <m:rPr/>
              <m:t>k</m:t>
            </m:r>
          </m:sub>
        </m:sSub>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sty m:val="b"/>
              </m:rPr>
              <m:t>θ</m:t>
            </m:r>
          </m:e>
          <m:sub>
            <m:r>
              <m:rPr/>
              <m:t>k</m:t>
            </m:r>
          </m:sub>
        </m:sSub>
        <m:r>
          <m:rPr>
            <m:sty m:val="p"/>
          </m:rPr>
          <m:t>=</m:t>
        </m:r>
        <m:sSubSup>
          <m:sSubSupPr/>
          <m:e>
            <m:r>
              <m:rPr/>
              <m:t>A</m:t>
            </m:r>
          </m:e>
          <m:sub>
            <m:r>
              <m:rPr/>
              <m:t>k</m:t>
            </m:r>
          </m:sub>
          <m:sup>
            <m:r>
              <m:rPr>
                <m:sty m:val="p"/>
              </m:rPr>
              <m:t>−</m:t>
            </m:r>
            <m:r>
              <m:rPr/>
              <m:t>1</m:t>
            </m:r>
          </m:sup>
        </m:sSubSup>
        <m:sSub>
          <m:sSubPr/>
          <m:e>
            <m:r>
              <m:rPr>
                <m:sty m:val="b"/>
              </m:rPr>
              <m:t>b</m:t>
            </m:r>
          </m:e>
          <m:sub>
            <m:r>
              <m:rPr/>
              <m:t>k</m:t>
            </m:r>
          </m:sub>
        </m:sSub>
      </m:oMath>
      <w:r>
        <w:rPr>
          <w:rFonts w:ascii="Times New Roman" w:hAnsi="Times New Roman" w:eastAsia="Times New Roman"/>
        </w:rPr>
        <w:t>.</w:t>
      </w:r>
    </w:p>
    <w:p w14:paraId="000000E7">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Update Rule: </w:t>
      </w:r>
      <m:oMath>
        <m:sSub>
          <m:sSubPr/>
          <m:e>
            <m:r>
              <m:rPr/>
              <m:t>A</m:t>
            </m:r>
          </m:e>
          <m:sub>
            <m:r>
              <m:rPr/>
              <m:t>k</m:t>
            </m:r>
          </m:sub>
        </m:sSub>
        <m:r>
          <m:rPr>
            <m:sty m:val="p"/>
          </m:rPr>
          <m:t>←</m:t>
        </m:r>
        <m:sSub>
          <m:sSubPr/>
          <m:e>
            <m:r>
              <m:rPr/>
              <m:t>A</m:t>
            </m:r>
          </m:e>
          <m:sub>
            <m:r>
              <m:rPr/>
              <m:t>k</m:t>
            </m:r>
          </m:sub>
        </m:sSub>
        <m:r>
          <m:rPr>
            <m:sty m:val="p"/>
          </m:rPr>
          <m:t>+</m:t>
        </m:r>
        <m:sSub>
          <m:sSubPr/>
          <m:e>
            <m:r>
              <m:rPr>
                <m:sty m:val="b"/>
              </m:rPr>
              <m:t>c</m:t>
            </m:r>
          </m:e>
          <m:sub>
            <m:r>
              <m:rPr/>
              <m:t>t</m:t>
            </m:r>
          </m:sub>
        </m:sSub>
        <m:sSubSup>
          <m:sSubSupPr/>
          <m:e>
            <m:r>
              <m:rPr>
                <m:sty m:val="b"/>
              </m:rPr>
              <m:t>c</m:t>
            </m:r>
          </m:e>
          <m:sub>
            <m:r>
              <m:rPr/>
              <m:t>t</m:t>
            </m:r>
          </m:sub>
          <m:sup>
            <m:r>
              <m:rPr>
                <m:sty m:val="p"/>
                <m:scr m:val="sans-serif"/>
              </m:rPr>
              <m:t>T</m:t>
            </m:r>
          </m:sup>
        </m:sSubSup>
        <m:r>
          <m:rPr>
            <m:sty m:val="p"/>
          </m:rPr>
          <m:t>,</m:t>
        </m:r>
        <m:r>
          <m:rPr/>
          <m:t>  </m:t>
        </m:r>
        <m:sSub>
          <m:sSubPr/>
          <m:e>
            <m:r>
              <m:rPr>
                <m:sty m:val="b"/>
              </m:rPr>
              <m:t>b</m:t>
            </m:r>
          </m:e>
          <m:sub>
            <m:r>
              <m:rPr/>
              <m:t>k</m:t>
            </m:r>
          </m:sub>
        </m:sSub>
        <m:r>
          <m:rPr>
            <m:sty m:val="p"/>
          </m:rPr>
          <m:t>←</m:t>
        </m:r>
        <m:sSub>
          <m:sSubPr/>
          <m:e>
            <m:r>
              <m:rPr>
                <m:sty m:val="b"/>
              </m:rPr>
              <m:t>b</m:t>
            </m:r>
          </m:e>
          <m:sub>
            <m:r>
              <m:rPr/>
              <m:t>k</m:t>
            </m:r>
          </m:sub>
        </m:sSub>
        <m:r>
          <m:rPr>
            <m:sty m:val="p"/>
          </m:rPr>
          <m:t>+</m:t>
        </m:r>
        <m:sSub>
          <m:sSubPr/>
          <m:e>
            <m:r>
              <m:rPr/>
              <m:t>r</m:t>
            </m:r>
          </m:e>
          <m:sub>
            <m:r>
              <m:rPr/>
              <m:t>t</m:t>
            </m:r>
          </m:sub>
        </m:sSub>
        <m:sSub>
          <m:sSubPr/>
          <m:e>
            <m:r>
              <m:rPr>
                <m:sty m:val="b"/>
              </m:rPr>
              <m:t>c</m:t>
            </m:r>
          </m:e>
          <m:sub>
            <m:r>
              <m:rPr/>
              <m:t>t</m:t>
            </m:r>
          </m:sub>
        </m:sSub>
      </m:oMath>
      <w:r>
        <w:rPr>
          <w:rFonts w:ascii="Times New Roman" w:hAnsi="Times New Roman" w:eastAsia="Times New Roman"/>
        </w:rPr>
        <w:t xml:space="preserve"> for the selected action </w:t>
      </w:r>
      <m:oMath>
        <m:r>
          <m:rPr/>
          <m:t>k</m:t>
        </m:r>
      </m:oMath>
      <w:r>
        <w:rPr>
          <w:rFonts w:ascii="Times New Roman" w:hAnsi="Times New Roman" w:eastAsia="Times New Roman"/>
        </w:rPr>
        <w:t>.</w:t>
      </w:r>
    </w:p>
    <w:p w14:paraId="73ACA8A4">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05" w:leftChars="0"/>
      </w:pPr>
    </w:p>
    <w:p w14:paraId="000000E8">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Reward: </w:t>
      </w:r>
      <m:oMath>
        <m:sSub>
          <m:sSubPr/>
          <m:e>
            <m:acc>
              <m:accPr>
                <m:chr m:val="̃"/>
              </m:accPr>
              <m:e>
                <m:r>
                  <m:rPr/>
                  <m:t>r</m:t>
                </m:r>
              </m:e>
            </m:acc>
          </m:e>
          <m:sub>
            <m:r>
              <m:rPr/>
              <m:t>t</m:t>
            </m:r>
          </m:sub>
        </m:sSub>
        <m:r>
          <m:rPr>
            <m:sty m:val="p"/>
          </m:rPr>
          <m:t>=</m:t>
        </m:r>
        <m:sSub>
          <m:sSubPr/>
          <m:e>
            <m:r>
              <m:rPr/>
              <m:t>s</m:t>
            </m:r>
          </m:e>
          <m:sub>
            <m:r>
              <m:rPr/>
              <m:t>t</m:t>
            </m:r>
          </m:sub>
        </m:sSub>
        <m:sSub>
          <m:sSubPr/>
          <m:e>
            <m:r>
              <m:rPr/>
              <m:t>r</m:t>
            </m:r>
          </m:e>
          <m:sub>
            <m:r>
              <m:rPr/>
              <m:t>t</m:t>
            </m:r>
            <m:r>
              <m:rPr>
                <m:sty m:val="p"/>
              </m:rPr>
              <m:t>+</m:t>
            </m:r>
            <m:r>
              <m:rPr/>
              <m:t>1</m:t>
            </m:r>
          </m:sub>
        </m:sSub>
      </m:oMath>
      <w:r>
        <w:rPr>
          <w:rFonts w:ascii="Times New Roman" w:hAnsi="Times New Roman" w:eastAsia="Times New Roman"/>
        </w:rPr>
        <w:t xml:space="preserve">, where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is the trading signal and </w:t>
      </w:r>
      <m:oMath>
        <m:sSub>
          <m:sSubPr/>
          <m:e>
            <m:r>
              <m:rPr/>
              <m:t>r</m:t>
            </m:r>
          </m:e>
          <m:sub>
            <m:r>
              <m:rPr/>
              <m:t>t</m:t>
            </m:r>
            <m:r>
              <m:rPr>
                <m:sty m:val="p"/>
              </m:rPr>
              <m:t>+</m:t>
            </m:r>
            <m:r>
              <m:rPr/>
              <m:t>1</m:t>
            </m:r>
          </m:sub>
        </m:sSub>
      </m:oMath>
      <w:r>
        <w:rPr>
          <w:rFonts w:ascii="Times New Roman" w:hAnsi="Times New Roman" w:eastAsia="Times New Roman"/>
        </w:rPr>
        <w:t xml:space="preserve"> is the next-day return.</w:t>
      </w:r>
    </w:p>
    <w:p w14:paraId="000000E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6.3.4 Source Policy Training</w:t>
      </w:r>
    </w:p>
    <w:p w14:paraId="000000E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Train LinUCB on source assets using walk-forward windows, collect actions from all test windows, and compute diversity metrics. After training, freeze the entire bandit state </w:t>
      </w:r>
      <m:oMath>
        <m:r>
          <m:rPr>
            <m:sty m:val="p"/>
          </m:rPr>
          <m:t>{</m:t>
        </m:r>
        <m:sSub>
          <m:sSubPr/>
          <m:e>
            <m:r>
              <m:rPr/>
              <m:t>A</m:t>
            </m:r>
          </m:e>
          <m:sub>
            <m:r>
              <m:rPr/>
              <m:t>k</m:t>
            </m:r>
          </m:sub>
        </m:sSub>
        <m:r>
          <m:rPr>
            <m:sty m:val="p"/>
          </m:rPr>
          <m:t>,</m:t>
        </m:r>
        <m:sSub>
          <m:sSubPr/>
          <m:e>
            <m:r>
              <m:rPr>
                <m:sty m:val="b"/>
              </m:rPr>
              <m:t>b</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No further learning is allowed on target assets.</w:t>
      </w:r>
    </w:p>
    <w:p w14:paraId="000000E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6.3.5 Transfer Evaluation</w:t>
      </w:r>
    </w:p>
    <w:p w14:paraId="000000E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Apply the frozen source policy to target assets, generate signals for all target test windows, and compute performance metrics.</w:t>
      </w:r>
    </w:p>
    <w:p w14:paraId="000000E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6.4 Execution &amp; Reproducibility</w:t>
      </w:r>
    </w:p>
    <w:p w14:paraId="28FA00F3">
      <w:pPr>
        <w:keepNext w:val="0"/>
        <w:keepLines w:val="0"/>
        <w:widowControl/>
        <w:suppressLineNumbers w:val="0"/>
        <w:jc w:val="left"/>
      </w:pPr>
      <w:r>
        <w:rPr>
          <w:rFonts w:ascii="Times New Roman" w:hAnsi="Times New Roman" w:eastAsia="Times New Roman" w:cs="Google Sans"/>
          <w:b/>
          <w:bCs/>
          <w:color w:val="1F1F1F"/>
          <w:sz w:val="24"/>
          <w:rtl w:val="0"/>
        </w:rPr>
        <w:t>Hardware:</w:t>
      </w:r>
      <w:r>
        <w:rPr>
          <w:rFonts w:ascii="Times New Roman" w:hAnsi="Times New Roman" w:eastAsia="Times New Roman" w:cs="Google Sans"/>
          <w:color w:val="1F1F1F"/>
          <w:sz w:val="24"/>
          <w:rtl w:val="0"/>
        </w:rPr>
        <w:t xml:space="preserve"> 64 GB RAM, 16 CPU cores. macOS 13.0, Python 3.9.18. Runtime: </w:t>
      </w:r>
      <w:r>
        <w:rPr>
          <w:rFonts w:ascii="宋体" w:hAnsi="宋体" w:eastAsia="宋体" w:cs="宋体"/>
          <w:kern w:val="0"/>
          <w:sz w:val="24"/>
          <w:szCs w:val="24"/>
          <w:lang w:val="en-US" w:eastAsia="zh-CN" w:bidi="ar"/>
        </w:rPr>
        <w:t>approximately 4–6</w:t>
      </w:r>
    </w:p>
    <w:p w14:paraId="000000EE">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120" w:firstLineChars="50"/>
      </w:pPr>
      <w:r>
        <w:rPr>
          <w:rFonts w:ascii="Times New Roman" w:hAnsi="Times New Roman" w:eastAsia="Times New Roman" w:cs="Google Sans"/>
          <w:color w:val="1F1F1F"/>
          <w:sz w:val="24"/>
          <w:rtl w:val="0"/>
        </w:rPr>
        <w:t>hours.</w:t>
      </w:r>
    </w:p>
    <w:p w14:paraId="000000EF">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Random Seed:</w:t>
      </w:r>
      <w:r>
        <w:rPr>
          <w:rFonts w:ascii="Times New Roman" w:hAnsi="Times New Roman" w:eastAsia="Times New Roman" w:cs="Google Sans"/>
          <w:color w:val="1F1F1F"/>
          <w:sz w:val="24"/>
          <w:rtl w:val="0"/>
        </w:rPr>
        <w:t xml:space="preserve"> Set NumPy and XGBoost random_seed = 42.</w:t>
      </w:r>
    </w:p>
    <w:p w14:paraId="000000F0">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Signal Execution:</w:t>
      </w:r>
      <w:r>
        <w:rPr>
          <w:rFonts w:ascii="Times New Roman" w:hAnsi="Times New Roman" w:eastAsia="Times New Roman" w:cs="Google Sans"/>
          <w:color w:val="1F1F1F"/>
          <w:sz w:val="24"/>
          <w:rtl w:val="0"/>
        </w:rPr>
        <w:t xml:space="preserve"> Signals are generated at the close of trading day </w:t>
      </w:r>
      <m:oMath>
        <m:r>
          <m:rPr/>
          <m:t>t</m:t>
        </m:r>
      </m:oMath>
      <w:r>
        <w:rPr>
          <w:rFonts w:ascii="Times New Roman" w:hAnsi="Times New Roman" w:eastAsia="Times New Roman" w:cs="Google Sans"/>
          <w:color w:val="1F1F1F"/>
          <w:sz w:val="24"/>
          <w:rtl w:val="0"/>
        </w:rPr>
        <w:t xml:space="preserve">; position returns are realized from </w:t>
      </w:r>
      <m:oMath>
        <m:r>
          <m:rPr/>
          <m:t>t</m:t>
        </m:r>
      </m:oMath>
      <w:r>
        <w:rPr>
          <w:rFonts w:ascii="Times New Roman" w:hAnsi="Times New Roman" w:eastAsia="Times New Roman" w:cs="Google Sans"/>
          <w:color w:val="1F1F1F"/>
          <w:sz w:val="24"/>
          <w:rtl w:val="0"/>
        </w:rPr>
        <w:t xml:space="preserve"> to </w:t>
      </w:r>
      <m:oMath>
        <m:r>
          <m:rPr/>
          <m:t>t+1</m:t>
        </m:r>
      </m:oMath>
      <w:r>
        <w:rPr>
          <w:rFonts w:ascii="Times New Roman" w:hAnsi="Times New Roman" w:eastAsia="Times New Roman" w:cs="Google Sans"/>
          <w:color w:val="1F1F1F"/>
          <w:sz w:val="24"/>
          <w:rtl w:val="0"/>
        </w:rPr>
        <w:t>. There is no same-day execution.</w:t>
      </w:r>
    </w:p>
    <w:p w14:paraId="000000F1">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 Results</w:t>
      </w:r>
    </w:p>
    <w:p w14:paraId="000000F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7.1 Source Diversity During Training</w:t>
      </w:r>
    </w:p>
    <w:p w14:paraId="000000F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begin by examining the diversity of policies trained on the six source assets: SPY, QQQ, EEM, IWM, TLT, and GLD. Table 1 reports the source policy diversity metrics computed over the walk-forward test periods.</w:t>
      </w:r>
    </w:p>
    <w:p w14:paraId="000000F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 Source Policy Diversity</w:t>
      </w:r>
    </w:p>
    <w:p w14:paraId="000000F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Diversity metrics for policies trained on the six source assets.</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i/>
          <w:iCs/>
          <w:color w:val="1F1F1F"/>
        </w:rPr>
      </w:pPr>
    </w:p>
    <w:tbl>
      <w:tblPr>
        <w:tblStyle w:val="1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47"/>
        <w:gridCol w:w="869"/>
        <w:gridCol w:w="1707"/>
        <w:gridCol w:w="1361"/>
        <w:gridCol w:w="1562"/>
        <w:gridCol w:w="1797"/>
        <w:gridCol w:w="1217"/>
      </w:tblGrid>
      <w:tr w14:paraId="1608943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Nobs​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(τ)</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Norm.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Effective Actions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Status</w:t>
            </w:r>
          </w:p>
        </w:tc>
      </w:tr>
      <w:tr w14:paraId="3A3FB5C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03D04B6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15392E6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26967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6E5CA9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3A7DE3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bl>
    <w:p w14:paraId="0000012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reveal a striking pattern: four of the six source policies (SPY, QQQ, EEM, GLD) completely degenerate during training, selecting a single action on </w:t>
      </w:r>
      <m:oMath>
        <m:r>
          <m:rPr/>
          <m:t>100%</m:t>
        </m:r>
      </m:oMath>
      <w:r>
        <w:rPr>
          <w:rFonts w:ascii="Times New Roman" w:hAnsi="Times New Roman" w:eastAsia="Times New Roman" w:cs="Google Sans"/>
          <w:color w:val="1F1F1F"/>
          <w:sz w:val="24"/>
          <w:rtl w:val="0"/>
        </w:rPr>
        <w:t xml:space="preserve"> of test observations. These policies achieve zero normalized entropy and exactly one effective action, indicating complete loss of contextual adaptation.</w:t>
      </w:r>
    </w:p>
    <w:p w14:paraId="000001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the TLT and IWM source policies maintain meaningful diversity. For example, TLT achieves a modal share of </w:t>
      </w:r>
      <m:oMath>
        <m:r>
          <m:rPr/>
          <m:t>0.73</m:t>
        </m:r>
      </m:oMath>
      <w:r>
        <w:rPr>
          <w:rFonts w:ascii="Times New Roman" w:hAnsi="Times New Roman" w:eastAsia="Times New Roman" w:cs="Google Sans"/>
          <w:color w:val="1F1F1F"/>
          <w:sz w:val="24"/>
          <w:rtl w:val="0"/>
        </w:rPr>
        <w:t xml:space="preserve">, a normalized entropy of </w:t>
      </w:r>
      <m:oMath>
        <m:r>
          <m:rPr/>
          <m:t>0.65</m:t>
        </m:r>
      </m:oMath>
      <w:r>
        <w:rPr>
          <w:rFonts w:ascii="Times New Roman" w:hAnsi="Times New Roman" w:eastAsia="Times New Roman" w:cs="Google Sans"/>
          <w:color w:val="1F1F1F"/>
          <w:sz w:val="24"/>
          <w:rtl w:val="0"/>
        </w:rPr>
        <w:t xml:space="preserve">, and </w:t>
      </w:r>
      <m:oMath>
        <m:r>
          <m:rPr/>
          <m:t>2.85</m:t>
        </m:r>
      </m:oMath>
      <w:r>
        <w:rPr>
          <w:rFonts w:ascii="Times New Roman" w:hAnsi="Times New Roman" w:eastAsia="Times New Roman" w:cs="Google Sans"/>
          <w:color w:val="1F1F1F"/>
          <w:sz w:val="24"/>
          <w:rtl w:val="0"/>
        </w:rPr>
        <w:t xml:space="preserve"> effective actions. This suggests that TLT's market dynamics—characterized by interest rate sensitivity and flight-to-quality behavior—provide a richer context for the bandit policy to learn adaptive thresholds.</w:t>
      </w:r>
    </w:p>
    <w:p w14:paraId="0000012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7.2 Source Diversity Predicts Target Collapse</w:t>
      </w:r>
    </w:p>
    <w:p w14:paraId="000001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2 reports the collapse rate by source, measuring the percentage of target assets on which each source policy exhibits severe collapse (modal share </w:t>
      </w:r>
      <m:oMath>
        <m:r>
          <m:rPr/>
          <m:t>&gt; 90%</m:t>
        </m:r>
      </m:oMath>
      <w:r>
        <w:rPr>
          <w:rFonts w:ascii="Times New Roman" w:hAnsi="Times New Roman" w:eastAsia="Times New Roman" w:cs="Google Sans"/>
          <w:color w:val="1F1F1F"/>
          <w:sz w:val="24"/>
          <w:rtl w:val="0"/>
        </w:rPr>
        <w:t xml:space="preserve"> and normalized entropy </w:t>
      </w:r>
      <m:oMath>
        <m:r>
          <m:rPr/>
          <m:t>&lt; 0.25</m:t>
        </m:r>
      </m:oMath>
      <w:r>
        <w:rPr>
          <w:rFonts w:ascii="Times New Roman" w:hAnsi="Times New Roman" w:eastAsia="Times New Roman" w:cs="Google Sans"/>
          <w:color w:val="1F1F1F"/>
          <w:sz w:val="24"/>
          <w:rtl w:val="0"/>
        </w:rPr>
        <w:t>).</w:t>
      </w:r>
    </w:p>
    <w:p w14:paraId="0000012C">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2: Source Degeneracy and Target Outcome</w:t>
      </w:r>
    </w:p>
    <w:p w14:paraId="0000012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Collapse outcomes across 228 target transfers (38 target assets per source</w:t>
      </w:r>
      <w:r>
        <w:rPr>
          <w:rFonts w:hint="eastAsia" w:eastAsia="宋体" w:cs="Google Sans"/>
          <w:i/>
          <w:iCs/>
          <w:color w:val="1F1F1F"/>
          <w:sz w:val="24"/>
          <w:rtl w:val="0"/>
          <w:lang w:val="en-US" w:eastAsia="zh-CN"/>
        </w:rPr>
        <w:t xml:space="preserve"> </w:t>
      </w:r>
      <w:r>
        <w:rPr>
          <w:rFonts w:hint="eastAsia" w:ascii="Times New Roman" w:hAnsi="Times New Roman" w:eastAsia="Times New Roman" w:cs="Google Sans"/>
          <w:i/>
          <w:iCs/>
          <w:color w:val="1F1F1F"/>
          <w:sz w:val="24"/>
          <w:rtl w:val="0"/>
        </w:rPr>
        <w:t>after excluding self</w:t>
      </w:r>
      <w:r>
        <w:rPr>
          <w:rFonts w:ascii="Times New Roman" w:hAnsi="Times New Roman" w:eastAsia="Times New Roman" w:cs="Google Sans"/>
          <w:i/>
          <w:iCs/>
          <w:color w:val="1F1F1F"/>
          <w:sz w:val="24"/>
          <w:rtl w:val="0"/>
        </w:rPr>
        <w:t>).</w:t>
      </w:r>
    </w:p>
    <w:tbl>
      <w:tblPr>
        <w:tblStyle w:val="1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26"/>
        <w:gridCol w:w="1481"/>
        <w:gridCol w:w="1153"/>
        <w:gridCol w:w="1099"/>
        <w:gridCol w:w="1459"/>
        <w:gridCol w:w="1883"/>
        <w:gridCol w:w="1459"/>
      </w:tblGrid>
      <w:tr w14:paraId="1960A7C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Status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Ntargets​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Entropy</w:t>
            </w:r>
          </w:p>
        </w:tc>
      </w:tr>
      <w:tr w14:paraId="4006098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r w14:paraId="31C02C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r>
      <w:tr w14:paraId="6D539DF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r>
      <w:tr w14:paraId="4574B26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r>
      <w:tr w14:paraId="5493ABD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3667EC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bl>
    <w:p w14:paraId="0000015F">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provide strong support for our theoretical prediction: source diversity is associated with successful transfer in our setting. Degenerate sources (SPY, QQQ, EEM, GLD) lead to universal target collapse, with </w:t>
      </w:r>
      <m:oMath>
        <m:r>
          <m:rPr/>
          <m:t>100%</m:t>
        </m:r>
      </m:oMath>
      <w:r>
        <w:rPr>
          <w:rFonts w:ascii="Times New Roman" w:hAnsi="Times New Roman" w:eastAsia="Times New Roman" w:cs="Google Sans"/>
          <w:color w:val="1F1F1F"/>
          <w:sz w:val="24"/>
          <w:rtl w:val="0"/>
        </w:rPr>
        <w:t xml:space="preserve"> of target assets exhibiting severe collapse. The mean modal share on target assets is </w:t>
      </w:r>
      <m:oMath>
        <m:r>
          <m:rPr/>
          <m:t>0.97−0.99</m:t>
        </m:r>
      </m:oMath>
      <w:r>
        <w:rPr>
          <w:rFonts w:ascii="Times New Roman" w:hAnsi="Times New Roman" w:eastAsia="Times New Roman" w:cs="Google Sans"/>
          <w:color w:val="1F1F1F"/>
          <w:sz w:val="24"/>
          <w:rtl w:val="0"/>
        </w:rPr>
        <w:t>, indicating that the transferred policies select the same action for almost all observations.</w:t>
      </w:r>
    </w:p>
    <w:p w14:paraId="0000016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diverse sources (TLT, IWM) maintain contextual adaptation on all target assets, with a </w:t>
      </w:r>
      <m:oMath>
        <m:r>
          <m:rPr/>
          <m:t>0%</m:t>
        </m:r>
      </m:oMath>
      <w:r>
        <w:rPr>
          <w:rFonts w:ascii="Times New Roman" w:hAnsi="Times New Roman" w:eastAsia="Times New Roman" w:cs="Google Sans"/>
          <w:color w:val="1F1F1F"/>
          <w:sz w:val="24"/>
          <w:rtl w:val="0"/>
        </w:rPr>
        <w:t xml:space="preserve"> collapse rate and a mean modal share of </w:t>
      </w:r>
      <m:oMath>
        <m:r>
          <m:rPr/>
          <m:t>0.71−0.73</m:t>
        </m:r>
      </m:oMath>
      <w:r>
        <w:rPr>
          <w:rFonts w:ascii="Times New Roman" w:hAnsi="Times New Roman" w:eastAsia="Times New Roman" w:cs="Google Sans"/>
          <w:color w:val="1F1F1F"/>
          <w:sz w:val="24"/>
          <w:rtl w:val="0"/>
        </w:rPr>
        <w:t>. These policies continue to select different thresholds based on market conditions, even when deployed on assets with different dynamics.</w:t>
      </w:r>
    </w:p>
    <w:p w14:paraId="0000016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7.3 TLT Source: Partial Concentration Without Collapse</w:t>
      </w:r>
    </w:p>
    <w:p w14:paraId="0000016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provides an interesting case study. While it does not collapse on any target (modal shares range from </w:t>
      </w:r>
      <m:oMath>
        <m:r>
          <m:rPr/>
          <m:t>68%−78%</m:t>
        </m:r>
      </m:oMath>
      <w:r>
        <w:rPr>
          <w:rFonts w:ascii="Times New Roman" w:hAnsi="Times New Roman" w:eastAsia="Times New Roman" w:cs="Google Sans"/>
          <w:color w:val="1F1F1F"/>
          <w:sz w:val="24"/>
          <w:rtl w:val="0"/>
        </w:rPr>
        <w:t xml:space="preserve">, all below the </w:t>
      </w:r>
      <m:oMath>
        <m:r>
          <m:rPr/>
          <m:t>90%</m:t>
        </m:r>
      </m:oMath>
      <w:r>
        <w:rPr>
          <w:rFonts w:ascii="Times New Roman" w:hAnsi="Times New Roman" w:eastAsia="Times New Roman" w:cs="Google Sans"/>
          <w:color w:val="1F1F1F"/>
          <w:sz w:val="24"/>
          <w:rtl w:val="0"/>
        </w:rPr>
        <w:t xml:space="preserve"> threshold), it still concentrates significantly on threshold </w:t>
      </w:r>
      <m:oMath>
        <m:r>
          <m:rPr/>
          <m:t>0.45</m:t>
        </m:r>
      </m:oMath>
      <w:r>
        <w:rPr>
          <w:rFonts w:ascii="Times New Roman" w:hAnsi="Times New Roman" w:eastAsia="Times New Roman" w:cs="Google Sans"/>
          <w:color w:val="1F1F1F"/>
          <w:sz w:val="24"/>
          <w:rtl w:val="0"/>
        </w:rPr>
        <w:t xml:space="preserve">, selecting this action on </w:t>
      </w:r>
      <m:oMath>
        <m:r>
          <m:rPr/>
          <m:t>73%</m:t>
        </m:r>
      </m:oMath>
      <w:r>
        <w:rPr>
          <w:rFonts w:ascii="Times New Roman" w:hAnsi="Times New Roman" w:eastAsia="Times New Roman" w:cs="Google Sans"/>
          <w:color w:val="1F1F1F"/>
          <w:sz w:val="24"/>
          <w:rtl w:val="0"/>
        </w:rPr>
        <w:t xml:space="preserve"> of observations across all targets.</w:t>
      </w:r>
    </w:p>
    <w:p w14:paraId="0000016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3 reports the performance of the TLT source policy on </w:t>
      </w:r>
      <m:oMath>
        <m:r>
          <m:rPr/>
          <m:t>39</m:t>
        </m:r>
      </m:oMath>
      <w:r>
        <w:rPr>
          <w:rFonts w:ascii="Times New Roman" w:hAnsi="Times New Roman" w:eastAsia="Times New Roman" w:cs="Google Sans"/>
          <w:color w:val="1F1F1F"/>
          <w:sz w:val="24"/>
          <w:rtl w:val="0"/>
        </w:rPr>
        <w:t xml:space="preserve"> target assets, comparing against the NoGating baseline (static </w:t>
      </w:r>
      <m:oMath>
        <m:r>
          <m:rPr/>
          <m:t>0.50</m:t>
        </m:r>
      </m:oMath>
      <w:r>
        <w:rPr>
          <w:rFonts w:ascii="Times New Roman" w:hAnsi="Times New Roman" w:eastAsia="Times New Roman" w:cs="Google Sans"/>
          <w:color w:val="1F1F1F"/>
          <w:sz w:val="24"/>
          <w:rtl w:val="0"/>
        </w:rPr>
        <w:t xml:space="preserve"> threshold) and the behavioral-equivalent baseline (static </w:t>
      </w:r>
      <m:oMath>
        <m:r>
          <m:rPr/>
          <m:t>0.45</m:t>
        </m:r>
      </m:oMath>
      <w:r>
        <w:rPr>
          <w:rFonts w:ascii="Times New Roman" w:hAnsi="Times New Roman" w:eastAsia="Times New Roman" w:cs="Google Sans"/>
          <w:color w:val="1F1F1F"/>
          <w:sz w:val="24"/>
          <w:rtl w:val="0"/>
        </w:rPr>
        <w:t xml:space="preserve"> threshold).</w:t>
      </w:r>
    </w:p>
    <w:p w14:paraId="0000016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3: TLT Source Policy Performance</w:t>
      </w:r>
    </w:p>
    <w:p w14:paraId="0000016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hint="eastAsia" w:ascii="Times New Roman" w:hAnsi="Times New Roman" w:eastAsia="Times New Roman"/>
        </w:rPr>
        <w:t>Table 3 reports the performance of the TLT source policy across 38 evaluated target assets.</w:t>
      </w:r>
    </w:p>
    <w:tbl>
      <w:tblPr>
        <w:tblStyle w:val="1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569"/>
        <w:gridCol w:w="2911"/>
        <w:gridCol w:w="2880"/>
      </w:tblGrid>
      <w:tr w14:paraId="4B030A7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Metric</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ZS6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ZS6 vs. Fixed-0.45</w:t>
            </w:r>
          </w:p>
        </w:tc>
      </w:tr>
      <w:tr w14:paraId="1B2F5EF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Sharpe Diff.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-0.004</w:t>
            </w:r>
          </w:p>
        </w:tc>
      </w:tr>
      <w:tr w14:paraId="7C9E97B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Std. Error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0.009</w:t>
            </w:r>
          </w:p>
        </w:tc>
      </w:tr>
      <w:tr w14:paraId="2161310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t</m:t>
              </m:r>
            </m:oMath>
            <w:r>
              <w:rPr>
                <w:rFonts w:ascii="Arial" w:hAnsi="Arial" w:eastAsia="Google Sans" w:cs="Google Sans"/>
                <w:b/>
                <w:bCs/>
                <w:color w:val="1F2D3D"/>
                <w:sz w:val="17"/>
                <w:shd w:val="clear" w:fill="auto"/>
                <w:rtl w:val="0"/>
              </w:rPr>
              <w:t>t-statistic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r>
      <w:tr w14:paraId="2AF54B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0.661</w:t>
            </w:r>
          </w:p>
        </w:tc>
      </w:tr>
      <w:tr w14:paraId="65D4A2D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Significant (5% FDR)</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166095D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CE082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Norm. Entropy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7A5473C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Effective Actions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r>
    </w:tbl>
    <w:p w14:paraId="0000018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modestly improves over the conventional </w:t>
      </w:r>
      <m:oMath>
        <m:r>
          <m:rPr/>
          <m:t>0.50</m:t>
        </m:r>
      </m:oMath>
      <w:r>
        <w:rPr>
          <w:rFonts w:ascii="Times New Roman" w:hAnsi="Times New Roman" w:eastAsia="Times New Roman" w:cs="Google Sans"/>
          <w:color w:val="1F1F1F"/>
          <w:sz w:val="24"/>
          <w:rtl w:val="0"/>
        </w:rPr>
        <w:t xml:space="preserve"> threshold, with a mean Sharpe ratio improvement of </w:t>
      </w:r>
      <m:oMath>
        <m:r>
          <m:rPr/>
          <m:t>+0.021</m:t>
        </m:r>
      </m:oMath>
      <w:r>
        <w:rPr>
          <w:rFonts w:ascii="Times New Roman" w:hAnsi="Times New Roman" w:eastAsia="Times New Roman" w:cs="Google Sans"/>
          <w:color w:val="1F1F1F"/>
          <w:sz w:val="24"/>
          <w:rtl w:val="0"/>
        </w:rPr>
        <w:t xml:space="preserve"> (</w:t>
      </w:r>
      <m:oMath>
        <m:r>
          <m:rPr/>
          <m:t>t = 2.63</m:t>
        </m:r>
      </m:oMath>
      <w:r>
        <w:rPr>
          <w:rFonts w:ascii="Times New Roman" w:hAnsi="Times New Roman" w:eastAsia="Times New Roman" w:cs="Google Sans"/>
          <w:color w:val="1F1F1F"/>
          <w:sz w:val="24"/>
          <w:rtl w:val="0"/>
        </w:rPr>
        <w:t xml:space="preserve">, </w:t>
      </w:r>
      <m:oMath>
        <m:r>
          <m:rPr/>
          <m:t>p = 0.012</m:t>
        </m:r>
      </m:oMath>
      <w:r>
        <w:rPr>
          <w:rFonts w:ascii="Times New Roman" w:hAnsi="Times New Roman" w:eastAsia="Times New Roman" w:cs="Google Sans"/>
          <w:color w:val="1F1F1F"/>
          <w:sz w:val="24"/>
          <w:rtl w:val="0"/>
        </w:rPr>
        <w:t>). This improvement is statistically significant but economically modest.</w:t>
      </w:r>
    </w:p>
    <w:p w14:paraId="0000018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However, when compared against the behavioral-equivalent baseline (static </w:t>
      </w:r>
      <m:oMath>
        <m:r>
          <m:rPr/>
          <m:t>0.45</m:t>
        </m:r>
      </m:oMath>
      <w:r>
        <w:rPr>
          <w:rFonts w:ascii="Times New Roman" w:hAnsi="Times New Roman" w:eastAsia="Times New Roman" w:cs="Google Sans"/>
          <w:color w:val="1F1F1F"/>
          <w:sz w:val="24"/>
          <w:rtl w:val="0"/>
        </w:rPr>
        <w:t xml:space="preserve"> threshold), the TLT source policy shows no significant advantage. The mean Sharpe difference is </w:t>
      </w:r>
      <m:oMath>
        <m:r>
          <m:rPr/>
          <m:t>−0.004</m:t>
        </m:r>
      </m:oMath>
      <w:r>
        <w:rPr>
          <w:rFonts w:ascii="Times New Roman" w:hAnsi="Times New Roman" w:eastAsia="Times New Roman" w:cs="Google Sans"/>
          <w:color w:val="1F1F1F"/>
          <w:sz w:val="24"/>
          <w:rtl w:val="0"/>
        </w:rPr>
        <w:t xml:space="preserve"> (</w:t>
      </w:r>
      <m:oMath>
        <m:r>
          <m:rPr/>
          <m:t>t = −0.44</m:t>
        </m:r>
      </m:oMath>
      <w:r>
        <w:rPr>
          <w:rFonts w:ascii="Times New Roman" w:hAnsi="Times New Roman" w:eastAsia="Times New Roman" w:cs="Google Sans"/>
          <w:color w:val="1F1F1F"/>
          <w:sz w:val="24"/>
          <w:rtl w:val="0"/>
        </w:rPr>
        <w:t xml:space="preserve">, </w:t>
      </w:r>
      <m:oMath>
        <m:r>
          <m:rPr/>
          <m:t>p = 0.661</m:t>
        </m:r>
      </m:oMath>
      <w:r>
        <w:rPr>
          <w:rFonts w:ascii="Times New Roman" w:hAnsi="Times New Roman" w:eastAsia="Times New Roman" w:cs="Google Sans"/>
          <w:color w:val="1F1F1F"/>
          <w:sz w:val="24"/>
          <w:rtl w:val="0"/>
        </w:rPr>
        <w:t xml:space="preserve">), indicating that the contextual policy performs no better than the static threshold it most resembles. Comparing against a naive baseline (e.g., </w:t>
      </w:r>
      <m:oMath>
        <m:r>
          <m:rPr/>
          <m:t>0.50</m:t>
        </m:r>
      </m:oMath>
      <w:r>
        <w:rPr>
          <w:rFonts w:ascii="Times New Roman" w:hAnsi="Times New Roman" w:eastAsia="Times New Roman" w:cs="Google Sans"/>
          <w:color w:val="1F1F1F"/>
          <w:sz w:val="24"/>
          <w:rtl w:val="0"/>
        </w:rPr>
        <w:t>) can be misleading, as the improvement may simply reflect a better choice of fixed threshold rather than genuine contextual adaptation.</w:t>
      </w:r>
    </w:p>
    <w:p w14:paraId="000001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7.4 Collapse Threshold Sensitivity</w:t>
      </w:r>
    </w:p>
    <w:p w14:paraId="0000018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To assess the robustness of our findings, we vary the collapse threshold from </w:t>
      </w:r>
      <m:oMath>
        <m:r>
          <m:rPr/>
          <m:t>70%</m:t>
        </m:r>
      </m:oMath>
      <w:r>
        <w:rPr>
          <w:rFonts w:ascii="Times New Roman" w:hAnsi="Times New Roman" w:eastAsia="Times New Roman" w:cs="Google Sans"/>
          <w:color w:val="1F1F1F"/>
          <w:sz w:val="24"/>
          <w:rtl w:val="0"/>
        </w:rPr>
        <w:t xml:space="preserve"> to </w:t>
      </w:r>
      <m:oMath>
        <m:r>
          <m:rPr/>
          <m:t>95%</m:t>
        </m:r>
      </m:oMath>
      <w:r>
        <w:rPr>
          <w:rFonts w:ascii="Times New Roman" w:hAnsi="Times New Roman" w:eastAsia="Times New Roman" w:cs="Google Sans"/>
          <w:color w:val="1F1F1F"/>
          <w:sz w:val="24"/>
          <w:rtl w:val="0"/>
        </w:rPr>
        <w:t xml:space="preserve"> and recompute the collapse rates.</w:t>
      </w:r>
    </w:p>
    <w:p w14:paraId="0000018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4: Collapse Rate vs. Modal Share Threshold</w:t>
      </w:r>
    </w:p>
    <w:p w14:paraId="0000018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Sensitivity of collapse classification to the modal share threshold.</w:t>
      </w:r>
    </w:p>
    <w:tbl>
      <w:tblPr>
        <w:tblStyle w:val="17"/>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857"/>
        <w:gridCol w:w="1789"/>
        <w:gridCol w:w="1721"/>
        <w:gridCol w:w="2993"/>
      </w:tblGrid>
      <w:tr w14:paraId="40FC45C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Note</w:t>
            </w:r>
          </w:p>
        </w:tc>
      </w:tr>
      <w:tr w14:paraId="4CC71BC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42DAE7C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782F5E6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55660EB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Excludes diverse (0%)</w:t>
            </w:r>
          </w:p>
        </w:tc>
      </w:tr>
      <w:tr w14:paraId="5CD8F88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Main specification (90%)</w:t>
            </w:r>
          </w:p>
        </w:tc>
      </w:tr>
      <w:tr w14:paraId="7C814D3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Conservative (95%)</w:t>
            </w:r>
          </w:p>
        </w:tc>
      </w:tr>
    </w:tbl>
    <w:p w14:paraId="000001A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rPr>
        <w:t xml:space="preserve">The results are highly robust across the </w:t>
      </w:r>
      <m:oMath>
        <m:r>
          <m:rPr/>
          <m:t>70%−</m:t>
        </m:r>
        <m:r>
          <m:rPr>
            <m:sty m:val="p"/>
          </m:rPr>
          <w:rPr>
            <w:rFonts w:hint="default" w:eastAsia="宋体"/>
            <w:lang w:val="en-US" w:eastAsia="zh-CN"/>
          </w:rPr>
          <m:t>95</m:t>
        </m:r>
        <m:r>
          <m:rPr/>
          <m:t>%</m:t>
        </m:r>
      </m:oMath>
      <w:r>
        <w:rPr>
          <w:rFonts w:ascii="Times New Roman" w:hAnsi="Times New Roman" w:eastAsia="Times New Roman" w:cs="Google Sans"/>
          <w:color w:val="1F1F1F"/>
          <w:sz w:val="24"/>
          <w:rtl w:val="0"/>
        </w:rPr>
        <w:t xml:space="preserve"> range. At the </w:t>
      </w:r>
      <m:oMath>
        <m:r>
          <m:rPr/>
          <m:t>90%</m:t>
        </m:r>
      </m:oMath>
      <w:r>
        <w:rPr>
          <w:rFonts w:ascii="Times New Roman" w:hAnsi="Times New Roman" w:eastAsia="Times New Roman" w:cs="Google Sans"/>
          <w:color w:val="1F1F1F"/>
          <w:sz w:val="24"/>
          <w:rtl w:val="0"/>
        </w:rPr>
        <w:t xml:space="preserve"> threshold (our main specification), 67% of pairs collapse, with the remaining </w:t>
      </w:r>
      <m:oMath>
        <m:r>
          <m:rPr>
            <m:sty m:val="p"/>
          </m:rPr>
          <w:rPr>
            <w:rFonts w:hint="default"/>
            <w:lang w:val="en-US"/>
          </w:rPr>
          <m:t>33</m:t>
        </m:r>
        <m:r>
          <m:rPr/>
          <m:t>%</m:t>
        </m:r>
      </m:oMath>
      <w:r>
        <w:rPr>
          <w:rFonts w:ascii="Times New Roman" w:hAnsi="Times New Roman" w:eastAsia="Times New Roman" w:cs="Google Sans"/>
          <w:color w:val="1F1F1F"/>
          <w:sz w:val="24"/>
          <w:rtl w:val="0"/>
        </w:rPr>
        <w:t xml:space="preserve"> consisting of TLT and IWM source targets that have modal shares in the </w:t>
      </w:r>
      <m:oMath>
        <m:r>
          <m:rPr/>
          <m:t>68%−78%</m:t>
        </m:r>
      </m:oMath>
      <w:r>
        <w:rPr>
          <w:rFonts w:ascii="Times New Roman" w:hAnsi="Times New Roman" w:eastAsia="Times New Roman" w:cs="Google Sans"/>
          <w:color w:val="1F1F1F"/>
          <w:sz w:val="24"/>
          <w:rtl w:val="0"/>
        </w:rPr>
        <w:t xml:space="preserve"> range.</w:t>
      </w:r>
    </w:p>
    <w:p w14:paraId="32B36DBC">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lang w:val="en-US" w:eastAsia="zh-CN"/>
        </w:rPr>
        <w:t>The classification remains unchanged because all transfers from degenerate sources have modal shares above 0.95 and normalized entropy below 0.25, whereas transfers from the two diverse sources fail the joint collapse criterion.</w:t>
      </w:r>
    </w:p>
    <w:p w14:paraId="000001A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7.5 Asset-Class Heterogeneity (TLT Source)</w:t>
      </w:r>
    </w:p>
    <w:p w14:paraId="000001A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reports the performance of the TLT source policy across different target asset classes.</w:t>
      </w:r>
    </w:p>
    <w:p w14:paraId="000001A6">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Performance by Asset Class (TLT Source)</w:t>
      </w:r>
    </w:p>
    <w:p w14:paraId="000001A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Performance metrics segmented by target asset classes.</w:t>
      </w:r>
    </w:p>
    <w:tbl>
      <w:tblPr>
        <w:tblStyle w:val="1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6"/>
        <w:gridCol w:w="343"/>
        <w:gridCol w:w="2471"/>
        <w:gridCol w:w="1126"/>
        <w:gridCol w:w="2451"/>
        <w:gridCol w:w="1313"/>
      </w:tblGrid>
      <w:tr w14:paraId="2B8C702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Benefit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Std. Benefit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Benefit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r>
      <w:tr w14:paraId="5F1F620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4216F9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5ADEDA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712AD3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22778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35BDC2F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A16893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bl>
    <w:p w14:paraId="000001D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TLT source policy shows modest improvements over NoGating across all asset classes, with the largest benefits in fixed income ETFs (</w:t>
      </w:r>
      <m:oMath>
        <m:r>
          <m:rPr/>
          <m:t>+0.031</m:t>
        </m:r>
      </m:oMath>
      <w:r>
        <w:rPr>
          <w:rFonts w:ascii="Times New Roman" w:hAnsi="Times New Roman" w:eastAsia="Times New Roman" w:cs="Google Sans"/>
          <w:color w:val="1F1F1F"/>
          <w:sz w:val="24"/>
          <w:rtl w:val="0"/>
        </w:rPr>
        <w:t xml:space="preserve"> Sharpe) and international equity ETFs (</w:t>
      </w:r>
      <m:oMath>
        <m:r>
          <m:rPr/>
          <m:t>+0.025</m:t>
        </m:r>
      </m:oMath>
      <w:r>
        <w:rPr>
          <w:rFonts w:ascii="Times New Roman" w:hAnsi="Times New Roman" w:eastAsia="Times New Roman" w:cs="Google Sans"/>
          <w:color w:val="1F1F1F"/>
          <w:sz w:val="24"/>
          <w:rtl w:val="0"/>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14:paraId="000001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7.6 Economic Significance: Transaction Costs and Turnover</w:t>
      </w:r>
    </w:p>
    <w:p w14:paraId="000001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assess the practical relevance of Source Static Degeneracy, we conduct a comprehensive analysis of transaction costs and portfolio turnover.</w:t>
      </w:r>
    </w:p>
    <w:p w14:paraId="000001D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 Transaction Cost and Turnover Summary</w:t>
      </w:r>
    </w:p>
    <w:p w14:paraId="000001D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Economic implications of policy transfers across different sources.</w:t>
      </w:r>
    </w:p>
    <w:tbl>
      <w:tblPr>
        <w:tblStyle w:val="1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903"/>
        <w:gridCol w:w="1472"/>
        <w:gridCol w:w="2284"/>
        <w:gridCol w:w="2984"/>
      </w:tblGrid>
      <w:tr w14:paraId="21FAECF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Break-Even Cost (bps)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Annual Turnover</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Cost-Adjusted Sharpe vs. Fixed-0.45</w:t>
            </w:r>
          </w:p>
        </w:tc>
      </w:tr>
      <w:tr w14:paraId="341100E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left"/>
              <w:rPr>
                <w:rFonts w:ascii="Google Sans" w:hAnsi="Google Sans" w:eastAsia="Google Sans" w:cs="Google Sans"/>
                <w:color w:val="1F1F1F"/>
                <w:shd w:val="clear" w:fill="auto"/>
              </w:rPr>
            </w:pPr>
            <m:oMathPara>
              <m:oMath>
                <m:r>
                  <m:rPr/>
                  <m:t>0.02</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r>
      <w:tr w14:paraId="18F25FB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0.03</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r>
      <w:tr w14:paraId="393846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0.01</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r>
      <w:tr w14:paraId="16E29F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1.20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1537EE2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1.10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F86115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0.05</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bl>
    <w:p w14:paraId="00000200">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Transaction Cost Sensitivity: For the TLT source policy (one of the two non-degenerate sources, along with IWM), the mean break-even cost is </w:t>
      </w:r>
      <w:r>
        <w:rPr>
          <w:rFonts w:hint="default"/>
          <w:lang w:val="en-US"/>
        </w:rPr>
        <w:t>2.3</w:t>
      </w:r>
      <w:r>
        <w:rPr>
          <w:rFonts w:ascii="Times New Roman" w:hAnsi="Times New Roman" w:eastAsia="Times New Roman"/>
        </w:rPr>
        <w:t xml:space="preserve"> basis points (bps), with a range of </w:t>
      </w:r>
      <w:r>
        <w:rPr>
          <w:rFonts w:hint="default"/>
          <w:lang w:val="en-US"/>
        </w:rPr>
        <w:t>0.8-4.1</w:t>
      </w:r>
      <w:r>
        <w:rPr>
          <w:rFonts w:ascii="Times New Roman" w:hAnsi="Times New Roman" w:eastAsia="Times New Roman"/>
        </w:rPr>
        <w:t xml:space="preserve"> bps across target assets. In contrast, degenerate sources (SPY, QQQ, EEM, GLD) have break-even costs of zero, as their collapsed policies provide no improvement over static thresholds.</w:t>
      </w:r>
    </w:p>
    <w:p w14:paraId="00000201">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Turnover Analysis:</w:t>
      </w:r>
      <w:r>
        <w:rPr>
          <w:rFonts w:ascii="Times New Roman" w:hAnsi="Times New Roman" w:eastAsia="Times New Roman" w:cs="Google Sans"/>
          <w:color w:val="1F1F1F"/>
          <w:sz w:val="24"/>
          <w:rtl w:val="0"/>
        </w:rPr>
        <w:t xml:space="preserve"> Diverse sources (TLT: </w:t>
      </w:r>
      <m:oMath>
        <m:r>
          <m:rPr/>
          <m:t>1.20x</m:t>
        </m:r>
      </m:oMath>
      <w:r>
        <w:rPr>
          <w:rFonts w:ascii="Times New Roman" w:hAnsi="Times New Roman" w:eastAsia="Times New Roman" w:cs="Google Sans"/>
          <w:color w:val="1F1F1F"/>
          <w:sz w:val="24"/>
          <w:rtl w:val="0"/>
        </w:rPr>
        <w:t xml:space="preserve">, IWM: </w:t>
      </w:r>
      <m:oMath>
        <m:r>
          <m:rPr/>
          <m:t>1.10x</m:t>
        </m:r>
      </m:oMath>
      <w:r>
        <w:rPr>
          <w:rFonts w:ascii="Times New Roman" w:hAnsi="Times New Roman" w:eastAsia="Times New Roman" w:cs="Google Sans"/>
          <w:color w:val="1F1F1F"/>
          <w:sz w:val="24"/>
          <w:rtl w:val="0"/>
        </w:rPr>
        <w:t xml:space="preserve">) exhibit moderate turnover, </w:t>
      </w:r>
      <w:r>
        <w:rPr>
          <w:rFonts w:hint="eastAsia" w:ascii="Times New Roman" w:hAnsi="Times New Roman" w:eastAsia="Times New Roman" w:cs="Google Sans"/>
          <w:color w:val="1F1F1F"/>
          <w:sz w:val="24"/>
          <w:rtl w:val="0"/>
        </w:rPr>
        <w:t>consistent with greater action variation than in the degenerate-source policies.</w:t>
      </w:r>
      <w:r>
        <w:rPr>
          <w:rFonts w:ascii="Times New Roman" w:hAnsi="Times New Roman" w:eastAsia="Times New Roman" w:cs="Google Sans"/>
          <w:color w:val="1F1F1F"/>
          <w:sz w:val="24"/>
          <w:rtl w:val="0"/>
        </w:rPr>
        <w:t xml:space="preserve"> Degenerate sources show near-zero turnover (</w:t>
      </w:r>
      <m:oMath>
        <m:sSub>
          <m:sSubPr/>
          <m:e>
            <m:r>
              <m:rPr/>
              <m:t>r</m:t>
            </m:r>
          </m:e>
          <m:sub>
            <m:r>
              <m:rPr/>
              <m:t>t</m:t>
            </m:r>
          </m:sub>
        </m:sSub>
        <m:r>
          <m:rPr>
            <m:sty m:val="p"/>
          </m:rPr>
          <m:t>=</m:t>
        </m:r>
        <m:sSub>
          <m:sSubPr/>
          <m:e>
            <m:r>
              <m:rPr/>
              <m:t>s</m:t>
            </m:r>
          </m:e>
          <m:sub>
            <m:r>
              <m:rPr/>
              <m:t>t</m:t>
            </m:r>
          </m:sub>
        </m:sSub>
        <m:r>
          <m:rPr/>
          <m:t> </m:t>
        </m:r>
        <m:sSub>
          <m:sSubPr/>
          <m:e>
            <m:r>
              <m:rPr/>
              <m:t>r</m:t>
            </m:r>
          </m:e>
          <m:sub>
            <m:r>
              <m:rPr/>
              <m:t>t</m:t>
            </m:r>
            <m:r>
              <m:rPr>
                <m:sty m:val="p"/>
              </m:rPr>
              <m:t>+</m:t>
            </m:r>
            <m:r>
              <m:rPr/>
              <m:t>1</m:t>
            </m:r>
          </m:sub>
        </m:sSub>
      </m:oMath>
      <w:r>
        <w:rPr>
          <w:rFonts w:ascii="Times New Roman" w:hAnsi="Times New Roman" w:eastAsia="Times New Roman" w:cs="Google Sans"/>
          <w:color w:val="1F1F1F"/>
          <w:sz w:val="24"/>
          <w:rtl w:val="0"/>
        </w:rPr>
        <w:t>), confirming that their collapsed policies generate no trading signals beyond the static threshold.</w:t>
      </w:r>
    </w:p>
    <w:p w14:paraId="0000020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7.7 Data Coverage Summary</w:t>
      </w:r>
    </w:p>
    <w:p w14:paraId="000002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ensure transparency and confirm the absence of survivorship or look-ahead biases, we detail the coverage of our asset universe in Table 6a.</w:t>
      </w:r>
    </w:p>
    <w:p w14:paraId="0000020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6a: Data Coverage Summary</w:t>
      </w:r>
    </w:p>
    <w:p w14:paraId="0000020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Coverage statistics for all source and target assets over the 10-year period (2015-2024).</w:t>
      </w:r>
    </w:p>
    <w:tbl>
      <w:tblPr>
        <w:tblStyle w:val="2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953"/>
        <w:gridCol w:w="1608"/>
        <w:gridCol w:w="714"/>
        <w:gridCol w:w="1062"/>
        <w:gridCol w:w="1152"/>
        <w:gridCol w:w="1290"/>
        <w:gridCol w:w="1250"/>
        <w:gridCol w:w="1331"/>
      </w:tblGrid>
      <w:tr w14:paraId="52B64853">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IPO Date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Actual Start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Observations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Missing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Full Coverage</w:t>
            </w:r>
          </w:p>
        </w:tc>
      </w:tr>
      <w:tr w14:paraId="640D7A7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2004-11-18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804A9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20A56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2003-04-07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1.237%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DB080C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1.491%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F9906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1999-03-10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681D25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1993-01-29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0.812%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774C8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2006-02-03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3.077%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A9C738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GSG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2006-07-10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0.936%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433BD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2014-11-07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4D9AE0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074606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2006-04-10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4.750%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355984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2014-09-17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5247B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ETH-USD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62970F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2013-04-28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4.556%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CF81AA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XRP-USD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2013-08-04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1.368%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D67E39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2005-12-09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2.257%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83D406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D1DD9D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UUP</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3.453%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8F65B1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AGG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2003-09-22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37D70A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BND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3.947%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A5C8CA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LQD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0.328%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D1AF1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MUB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7359E9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SCHZ</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2009-07-14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1.078%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64E87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VTEB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765875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5C91B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44363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2012-10-18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1.527%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564D5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IEUR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2014-06-10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19A59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DDC8C4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SPDW</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2007-10-25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90D4BF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VEA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2007-07-20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0.784%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A3502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IYR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2000-06-12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CD91E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SCHH</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2011-01-13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0DF06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VNQ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2004-09-23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4.061%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610B1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ITOT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2004-01-20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4.853%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10401F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IVV</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66F3E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E4DB2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MGC</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0A90B7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3.570%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18084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SCHX</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73A3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SPLG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2005-11-08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A698E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SPTM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2709E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VONE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4.179%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616DA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4.344%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0694B6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VTI</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2001-05-24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37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 Ablation Studies</w:t>
      </w:r>
    </w:p>
    <w:p w14:paraId="0000037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14:paraId="0000037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 Calibrated vs. Uncalibrated Probabilities</w:t>
      </w:r>
    </w:p>
    <w:p w14:paraId="0000037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14:paraId="0000037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apply Platt Scaling and Isotonic Regression to calibrate the GBT predictions and re-run the transfer experiments.</w:t>
      </w:r>
    </w:p>
    <w:p w14:paraId="0000037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7: Calibration Ablation Study</w:t>
      </w:r>
    </w:p>
    <w:p w14:paraId="0000037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Target collapse rates and mean Sharpe differences under different probability calibration methods.</w:t>
      </w:r>
    </w:p>
    <w:tbl>
      <w:tblPr>
        <w:tblStyle w:val="2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49"/>
        <w:gridCol w:w="985"/>
        <w:gridCol w:w="1005"/>
        <w:gridCol w:w="988"/>
        <w:gridCol w:w="995"/>
        <w:gridCol w:w="975"/>
        <w:gridCol w:w="992"/>
        <w:gridCol w:w="1068"/>
        <w:gridCol w:w="1003"/>
      </w:tblGrid>
      <w:tr w14:paraId="7BE9F0D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Calibration Method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Diff</w:t>
            </w:r>
          </w:p>
        </w:tc>
      </w:tr>
      <w:tr w14:paraId="280BDB2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Uncalibrated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520764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Platt Scaling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70EABE0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Isotonic Reg.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bl>
    <w:p w14:paraId="000003A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14:paraId="000003A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7.8.2 Alternative Action Grids</w:t>
      </w:r>
    </w:p>
    <w:p w14:paraId="000003A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default threshold set is </w:t>
      </w:r>
      <m:oMath>
        <m:r>
          <m:rPr>
            <m:sty m:val="p"/>
            <m:scr m:val="script"/>
          </m:rPr>
          <m:t>T</m:t>
        </m:r>
        <m:r>
          <m:rPr>
            <m:sty m:val="p"/>
          </m:rPr>
          <m:t>={</m:t>
        </m:r>
        <m:r>
          <m:rPr/>
          <m:t>0.35</m:t>
        </m:r>
        <m:r>
          <m:rPr>
            <m:sty m:val="p"/>
          </m:rPr>
          <m:t>,</m:t>
        </m:r>
        <m:r>
          <m:rPr/>
          <m:t>0.45</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cs="Google Sans"/>
          <w:color w:val="1F1F1F"/>
          <w:sz w:val="24"/>
          <w:rtl w:val="0"/>
        </w:rPr>
        <w:t>. Collapse might depend on this specific grid discretization.</w:t>
      </w:r>
    </w:p>
    <w:p w14:paraId="000003A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test alternative threshold sets:</w:t>
      </w:r>
    </w:p>
    <w:p w14:paraId="000003A5">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Fine Grid:</w:t>
      </w:r>
      <w:r>
        <w:rPr>
          <w:rFonts w:ascii="Times New Roman" w:hAnsi="Times New Roman" w:eastAsia="Times New Roman" w:cs="Google Sans"/>
          <w:color w:val="1F1F1F"/>
          <w:sz w:val="24"/>
          <w:rtl w:val="0"/>
        </w:rPr>
        <w:t xml:space="preserve"> </w:t>
      </w:r>
      <m:oMath>
        <m:d>
          <m:dPr>
            <m:sepChr m:val=""/>
          </m:dPr>
          <m:e>
            <m:sSub>
              <m:sSubPr/>
              <m:e>
                <m:r>
                  <m:rPr/>
                  <m:t>A</m:t>
                </m:r>
              </m:e>
              <m:sub>
                <m:r>
                  <m:rPr/>
                  <m:t>k</m:t>
                </m:r>
              </m:sub>
            </m:sSub>
            <m:r>
              <m:rPr>
                <m:sty m:val="p"/>
              </m:rPr>
              <m:t>,</m:t>
            </m:r>
            <m:sSub>
              <m:sSubPr/>
              <m:e>
                <m:r>
                  <m:rPr>
                    <m:sty m:val="b"/>
                  </m:rPr>
                  <m:t>b</m:t>
                </m:r>
              </m:e>
              <m:sub>
                <m:r>
                  <m:rPr/>
                  <m:t>k</m:t>
                </m:r>
              </m:sub>
            </m:sSub>
          </m:e>
        </m:d>
      </m:oMath>
    </w:p>
    <w:p w14:paraId="000003A6">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Coarse Grid:</w:t>
      </w:r>
      <w:r>
        <w:rPr>
          <w:rFonts w:ascii="Times New Roman" w:hAnsi="Times New Roman" w:eastAsia="Times New Roman" w:cs="Google Sans"/>
          <w:color w:val="1F1F1F"/>
          <w:sz w:val="24"/>
          <w:rtl w:val="0"/>
        </w:rPr>
        <w:t xml:space="preserve"> </w:t>
      </w:r>
      <m:oMath>
        <m:r>
          <m:rPr/>
          <m:t>{0.40, 0.50, 0.60, 0.70}</m:t>
        </m:r>
      </m:oMath>
    </w:p>
    <w:p w14:paraId="000003A7">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Asymmetric Grid:</w:t>
      </w:r>
      <w:r>
        <w:rPr>
          <w:rFonts w:ascii="Times New Roman" w:hAnsi="Times New Roman" w:eastAsia="Times New Roman" w:cs="Google Sans"/>
          <w:color w:val="1F1F1F"/>
          <w:sz w:val="24"/>
          <w:rtl w:val="0"/>
        </w:rPr>
        <w:t xml:space="preserve"> </w:t>
      </w:r>
      <m:oMath>
        <m:r>
          <m:rPr>
            <m:sty m:val="p"/>
          </m:rPr>
          <m:t>≈</m:t>
        </m:r>
        <m:r>
          <m:rPr/>
          <m:t>4</m:t>
        </m:r>
        <m:r>
          <m:rPr>
            <m:nor/>
            <m:sty m:val="p"/>
          </m:rPr>
          <w:rPr>
            <w:b w:val="0"/>
            <w:i w:val="0"/>
          </w:rPr>
          <m:t>–</m:t>
        </m:r>
        <m:r>
          <m:rPr/>
          <m:t>6</m:t>
        </m:r>
      </m:oMath>
    </w:p>
    <w:p w14:paraId="000003A8">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Wide Grid:</w:t>
      </w:r>
      <w:r>
        <w:rPr>
          <w:rFonts w:ascii="Times New Roman" w:hAnsi="Times New Roman" w:eastAsia="Times New Roman" w:cs="Google Sans"/>
          <w:color w:val="1F1F1F"/>
          <w:sz w:val="24"/>
          <w:rtl w:val="0"/>
        </w:rPr>
        <w:t xml:space="preserve"> </w:t>
      </w:r>
      <m:oMath>
        <m:r>
          <m:rPr/>
          <m:t>0.01</m:t>
        </m:r>
        <m:r>
          <m:rPr>
            <m:nor/>
            <m:sty m:val="p"/>
          </m:rPr>
          <w:rPr>
            <w:b w:val="0"/>
            <w:i w:val="0"/>
          </w:rPr>
          <m:t>–</m:t>
        </m:r>
        <m:r>
          <m:rPr/>
          <m:t>0.05</m:t>
        </m:r>
        <m:r>
          <m:rPr>
            <m:sty m:val="p"/>
          </m:rPr>
          <m:t>×</m:t>
        </m:r>
      </m:oMath>
    </w:p>
    <w:p w14:paraId="000003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8: Alternative Action Grids</w:t>
      </w:r>
    </w:p>
    <w:p w14:paraId="000003A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Policy behavior under different action space discretizations.</w:t>
      </w:r>
    </w:p>
    <w:tbl>
      <w:tblPr>
        <w:tblStyle w:val="22"/>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141"/>
        <w:gridCol w:w="4070"/>
        <w:gridCol w:w="890"/>
        <w:gridCol w:w="887"/>
        <w:gridCol w:w="916"/>
        <w:gridCol w:w="729"/>
        <w:gridCol w:w="727"/>
      </w:tblGrid>
      <w:tr w14:paraId="034CBBBE">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Grid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Thresholds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r>
      <w:tr w14:paraId="4D6D7A6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Default (6)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m:t>
                </m:r>
                <m:r>
                  <m:rPr>
                    <m:sty m:val="p"/>
                  </m:rPr>
                  <w:rPr>
                    <w:rFonts w:hint="default" w:eastAsia="宋体"/>
                    <w:lang w:val="en-US" w:eastAsia="zh-CN"/>
                  </w:rPr>
                  <m:t>0</m:t>
                </m:r>
                <m:r>
                  <m:rPr>
                    <m:sty m:val="p"/>
                  </m:rPr>
                  <m:t>,</m:t>
                </m:r>
                <m:r>
                  <m:rPr/>
                  <m:t>0.55,0.</m:t>
                </m:r>
                <m:r>
                  <m:rPr/>
                  <w:rPr>
                    <w:rFonts w:hint="default"/>
                    <w:lang w:val="en-US"/>
                  </w:rPr>
                  <m:t>6</m:t>
                </m:r>
                <m:r>
                  <m:rPr/>
                  <m:t>5,0.</m:t>
                </m:r>
                <m:r>
                  <m:rPr/>
                  <w:rPr>
                    <w:rFonts w:hint="default"/>
                    <w:lang w:val="en-US"/>
                  </w:rPr>
                  <m:t>7</m:t>
                </m:r>
                <m:r>
                  <m:rPr/>
                  <m:t>5,</m:t>
                </m:r>
                <m:r>
                  <m:rPr/>
                  <w:rPr>
                    <w:rFonts w:hint="default"/>
                    <w:lang w:val="en-US"/>
                  </w:rPr>
                  <m:t>1</m:t>
                </m:r>
                <m:r>
                  <m:rPr/>
                  <m:t>.</m:t>
                </m:r>
                <m:r>
                  <m:rPr/>
                  <w:rPr>
                    <w:rFonts w:hint="default"/>
                    <w:lang w:val="en-US"/>
                  </w:rPr>
                  <m:t>0</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582A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Fine (9)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020B9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b w:val="0"/>
                <w:i w:val="0"/>
              </w:rPr>
            </w:pPr>
            <m:oMathPara>
              <m:oMath>
                <m:r>
                  <m:rPr>
                    <m:sty m:val="p"/>
                  </m:rPr>
                  <m:t>{</m:t>
                </m:r>
                <m:r>
                  <m:rPr/>
                  <m:t>0.30</m:t>
                </m:r>
                <m:r>
                  <m:rPr>
                    <m:sty m:val="p"/>
                  </m:rPr>
                  <m:t>,</m:t>
                </m:r>
                <m:r>
                  <m:rPr/>
                  <m:t>0.35</m:t>
                </m:r>
                <m:r>
                  <m:rPr>
                    <m:sty m:val="p"/>
                  </m:rPr>
                  <m:t>,</m:t>
                </m:r>
                <m:r>
                  <m:rPr/>
                  <m:t>0.40</m:t>
                </m:r>
                <m:r>
                  <m:rPr>
                    <m:sty m:val="p"/>
                  </m:rPr>
                  <m:t>,</m:t>
                </m:r>
                <m:r>
                  <m:rPr/>
                  <m:t>0.45</m:t>
                </m:r>
                <m:r>
                  <m:rPr>
                    <m:sty m:val="p"/>
                  </m:rPr>
                  <m:t>,</m:t>
                </m:r>
                <m:r>
                  <m:rPr/>
                  <m:t>0.50</m:t>
                </m:r>
                <m:r>
                  <m:rPr>
                    <m:sty m:val="p"/>
                  </m:rPr>
                  <m:t>,</m:t>
                </m:r>
                <m:r>
                  <m:rPr/>
                  <m:t>0.55</m:t>
                </m:r>
                <m:r>
                  <m:rPr>
                    <m:sty m:val="p"/>
                  </m:rPr>
                  <m:t>,</m:t>
                </m:r>
                <m:r>
                  <m:rPr/>
                  <m:t>0.60</m:t>
                </m:r>
                <m:r>
                  <m:rPr>
                    <m:sty m:val="p"/>
                  </m:rPr>
                  <m:t>,</m:t>
                </m:r>
                <m:r>
                  <m:rPr/>
                  <m:t>0.65</m:t>
                </m:r>
                <m:r>
                  <m:rPr>
                    <m:sty m:val="p"/>
                  </m:rPr>
                  <m:t>,</m:t>
                </m:r>
                <m:r>
                  <m:rPr/>
                  <m:t>0.70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r>
      <w:tr w14:paraId="662E188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Coarse (4)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40</m:t>
                </m:r>
                <m:r>
                  <m:rPr/>
                  <m:t>,0.</m:t>
                </m:r>
                <m:r>
                  <m:rPr/>
                  <w:rPr>
                    <w:rFonts w:hint="default"/>
                    <w:lang w:val="en-US"/>
                  </w:rPr>
                  <m:t>50</m:t>
                </m:r>
                <m:r>
                  <m:rPr/>
                  <m:t>,0.</m:t>
                </m:r>
                <m:r>
                  <m:rPr/>
                  <w:rPr>
                    <w:rFonts w:hint="default"/>
                    <w:lang w:val="en-US"/>
                  </w:rPr>
                  <m:t>60</m:t>
                </m:r>
                <m:r>
                  <m:rPr/>
                  <m:t>,0.</m:t>
                </m:r>
                <m:r>
                  <m:rPr/>
                  <w:rPr>
                    <w:rFonts w:hint="default"/>
                    <w:lang w:val="en-US"/>
                  </w:rPr>
                  <m:t>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r>
      <w:tr w14:paraId="734C654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Asymmetric (5)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0.55</m:t>
                </m:r>
                <m:r>
                  <m:rPr>
                    <m:sty m:val="p"/>
                  </m:rPr>
                  <m:t>,</m:t>
                </m:r>
                <m:r>
                  <m:rPr/>
                  <m:t>0.75,</m:t>
                </m:r>
                <m:r>
                  <m:rPr/>
                  <w:rPr>
                    <w:rFonts w:hint="default"/>
                    <w:lang w:val="en-US"/>
                  </w:rPr>
                  <m:t>0</m:t>
                </m:r>
                <m:r>
                  <m:rPr/>
                  <m:t>.</m:t>
                </m:r>
                <m:r>
                  <m:rPr/>
                  <w:rPr>
                    <w:rFonts w:hint="default"/>
                    <w:lang w:val="en-US"/>
                  </w:rPr>
                  <m:t>9</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r>
      <w:tr w14:paraId="4D8D8F4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Wide (8)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.25,0.35,0</m:t>
                </m:r>
                <m:r>
                  <m:rPr/>
                  <m:t>.45,0.5</m:t>
                </m:r>
                <m:r>
                  <m:rPr/>
                  <w:rPr>
                    <w:rFonts w:hint="default"/>
                    <w:lang w:val="en-US"/>
                  </w:rPr>
                  <m:t>5</m:t>
                </m:r>
                <m:r>
                  <m:rPr/>
                  <m:t>,0.</m:t>
                </m:r>
                <m:r>
                  <m:rPr/>
                  <w:rPr>
                    <w:rFonts w:hint="default"/>
                    <w:lang w:val="en-US"/>
                  </w:rPr>
                  <m:t>6</m:t>
                </m:r>
                <m:r>
                  <m:rPr/>
                  <m:t>5,0.</m:t>
                </m:r>
                <m:r>
                  <m:rPr/>
                  <w:rPr>
                    <w:rFonts w:hint="default"/>
                    <w:lang w:val="en-US"/>
                  </w:rPr>
                  <m:t>75</m:t>
                </m:r>
                <m:r>
                  <m:rPr/>
                  <m:t>,0.</m:t>
                </m:r>
                <m:r>
                  <m:rPr/>
                  <w:rPr>
                    <w:rFonts w:hint="default"/>
                    <w:lang w:val="en-US"/>
                  </w:rPr>
                  <m:t>8</m:t>
                </m:r>
                <m:r>
                  <m:rPr/>
                  <m:t>5,0.</m:t>
                </m:r>
                <m:r>
                  <m:rPr/>
                  <w:rPr>
                    <w:rFonts w:hint="default"/>
                    <w:lang w:val="en-US"/>
                  </w:rPr>
                  <m:t>95</m:t>
                </m:r>
                <m:r>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r>
    </w:tbl>
    <w:p w14:paraId="000003D5">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Collapse rates are robust across the threshold grid range tested. The phenomenon is driven by source-side degeneracy, not the specific discretization of the action space.</w:t>
      </w:r>
    </w:p>
    <w:p w14:paraId="000003D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7.8.3 Alternative Exploration Parameters (</w:t>
      </w:r>
      <m:oMath>
        <m:r>
          <m:rPr/>
          <m:t>O</m:t>
        </m:r>
      </m:oMath>
      <w:r>
        <w:rPr>
          <w:rFonts w:ascii="Times New Roman" w:hAnsi="Times New Roman" w:eastAsia="Times New Roman" w:cs="Google Sans"/>
          <w:color w:val="1F1F1F"/>
          <w:sz w:val="24"/>
          <w:rtl w:val="0"/>
        </w:rPr>
        <w:t>)</w:t>
      </w:r>
    </w:p>
    <w:p w14:paraId="000003D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exploration parameter </w:t>
      </w:r>
      <m:oMath>
        <m:r>
          <m:rPr/>
          <m:t>O</m:t>
        </m:r>
      </m:oMath>
      <w:r>
        <w:rPr>
          <w:rFonts w:ascii="Times New Roman" w:hAnsi="Times New Roman" w:eastAsia="Times New Roman" w:cs="Google Sans"/>
          <w:color w:val="1F1F1F"/>
          <w:sz w:val="24"/>
          <w:rtl w:val="0"/>
        </w:rPr>
        <w:t xml:space="preserve"> controls the trade-off between exploration and exploitation in LinUCB. Higher </w:t>
      </w:r>
      <m:oMath>
        <m:r>
          <m:rPr/>
          <m:t>O</m:t>
        </m:r>
      </m:oMath>
      <w:r>
        <w:rPr>
          <w:rFonts w:ascii="Times New Roman" w:hAnsi="Times New Roman" w:eastAsia="Times New Roman" w:cs="Google Sans"/>
          <w:color w:val="1F1F1F"/>
          <w:sz w:val="24"/>
          <w:rtl w:val="0"/>
        </w:rPr>
        <w:t xml:space="preserve"> values encourage more exploration, which might break the collapse.</w:t>
      </w:r>
    </w:p>
    <w:p w14:paraId="000003D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vary </w:t>
      </w:r>
      <m:oMath>
        <m:r>
          <m:rPr/>
          <m:t>O</m:t>
        </m:r>
      </m:oMath>
      <w:r>
        <w:rPr>
          <w:rFonts w:ascii="Times New Roman" w:hAnsi="Times New Roman" w:eastAsia="Times New Roman" w:cs="Google Sans"/>
          <w:color w:val="1F1F1F"/>
          <w:sz w:val="24"/>
          <w:rtl w:val="0"/>
        </w:rPr>
        <w:t xml:space="preserve"> over </w:t>
      </w:r>
      <m:oMath>
        <m:r>
          <m:rPr/>
          <m:t>{0.1, 0.2, 0.3, 0.5, 0.7, 1.0}</m:t>
        </m:r>
      </m:oMath>
      <w:r>
        <w:rPr>
          <w:rFonts w:ascii="Times New Roman" w:hAnsi="Times New Roman" w:eastAsia="Times New Roman" w:cs="Google Sans"/>
          <w:color w:val="1F1F1F"/>
          <w:sz w:val="24"/>
          <w:rtl w:val="0"/>
        </w:rPr>
        <w:t>.</w:t>
      </w:r>
    </w:p>
    <w:p w14:paraId="000003D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9: Exploration Parameter (</w:t>
      </w:r>
      <m:oMath>
        <m:r>
          <m:rPr/>
          <m:t>O</m:t>
        </m:r>
      </m:oMath>
      <w:r>
        <w:rPr>
          <w:rFonts w:ascii="Times New Roman" w:hAnsi="Times New Roman" w:eastAsia="Times New Roman" w:cs="Google Sans"/>
          <w:color w:val="1F1F1F"/>
          <w:sz w:val="24"/>
          <w:rtl w:val="0"/>
        </w:rPr>
        <w:t>) Sensitivity</w:t>
      </w:r>
    </w:p>
    <w:p w14:paraId="000003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Source diversity and target collapse rates as a function of the LinUCB exploration parameter.</w:t>
      </w:r>
    </w:p>
    <w:tbl>
      <w:tblPr>
        <w:tblStyle w:val="23"/>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77"/>
        <w:gridCol w:w="1470"/>
        <w:gridCol w:w="1141"/>
        <w:gridCol w:w="1444"/>
        <w:gridCol w:w="1114"/>
        <w:gridCol w:w="1207"/>
        <w:gridCol w:w="1181"/>
        <w:gridCol w:w="1426"/>
      </w:tblGrid>
      <w:tr w14:paraId="1BA4816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α</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r>
      <w:tr w14:paraId="4691CCEE">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49CD1D6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B62D45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5B91F74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0EE9491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F65CFD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bl>
    <w:p w14:paraId="0000041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 xml:space="preserve">Finding: Collapse persists across the exploration parameter values tested. For degenerate sources, the modal share remains at </w:t>
      </w:r>
      <w:r>
        <w:rPr>
          <w:rFonts w:hint="eastAsia" w:eastAsia="宋体"/>
          <w:lang w:val="en-US" w:eastAsia="zh-CN"/>
        </w:rPr>
        <w:t>1.00</w:t>
      </w:r>
      <w:r>
        <w:t xml:space="preserve"> regardless of </w:t>
      </w:r>
      <w:r>
        <w:rPr>
          <w:rFonts w:hint="eastAsia"/>
        </w:rPr>
        <w:t>α</w:t>
      </w:r>
      <w:r>
        <w:t>. For diverse sources, higher  values modestly improve entropy but do not alter the fundamental transfer outcomes.</w:t>
      </w:r>
    </w:p>
    <w:p w14:paraId="000004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7.8.4 Nonlinear Contextual Policies</w:t>
      </w:r>
    </w:p>
    <w:p w14:paraId="0000041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LinUCB assumes linear reward functions. A nonlinear policy class might maintain diversity even when transferring from degenerate sources.</w:t>
      </w:r>
    </w:p>
    <w:p w14:paraId="0000041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LinUCB with KernelUCB (RBF kernel), NeuralUCB (2-layer neural network), and a Random Forest UCB bandit.</w:t>
      </w:r>
    </w:p>
    <w:p w14:paraId="000004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10: Nonlinear Contextual Policies</w:t>
      </w:r>
    </w:p>
    <w:p w14:paraId="000004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outcomes using alternative contextual bandit architectures.</w:t>
      </w:r>
    </w:p>
    <w:tbl>
      <w:tblPr>
        <w:tblStyle w:val="2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509"/>
        <w:gridCol w:w="1087"/>
        <w:gridCol w:w="1070"/>
        <w:gridCol w:w="1233"/>
        <w:gridCol w:w="1191"/>
        <w:gridCol w:w="1173"/>
        <w:gridCol w:w="1014"/>
        <w:gridCol w:w="1083"/>
      </w:tblGrid>
      <w:tr w14:paraId="363E710B">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Policy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Runtime (hrs)</w:t>
            </w:r>
          </w:p>
        </w:tc>
      </w:tr>
      <w:tr w14:paraId="3A8A69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LinUCB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2.1</w:t>
            </w:r>
          </w:p>
        </w:tc>
      </w:tr>
      <w:tr w14:paraId="369A9072">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KernelUCB (RBF)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8.4</w:t>
            </w:r>
          </w:p>
        </w:tc>
      </w:tr>
      <w:tr w14:paraId="4D8F79A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NeuralUCB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12.6</w:t>
            </w:r>
          </w:p>
        </w:tc>
      </w:tr>
      <w:tr w14:paraId="14C605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Forest UCB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5.3</w:t>
            </w:r>
          </w:p>
        </w:tc>
      </w:tr>
    </w:tbl>
    <w:p w14:paraId="0000044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rPr>
        <w:t>Finding: Nonlinear policies do not prevent collapse. The failure mode persists across the four policy classes examined—it arises from source-side training dynamics rather than the specific linear assumptions of LinUCB.</w:t>
      </w:r>
    </w:p>
    <w:p w14:paraId="0000044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7.8.5 Randomized-Context Placebo Test</w:t>
      </w:r>
    </w:p>
    <w:p w14:paraId="0000044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occur because the context features themselves are uninformative, forcing the bandit to converge to a static rule.</w:t>
      </w:r>
    </w:p>
    <w:p w14:paraId="0000044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the context features with random noise, shuffled features, or constant zeros.</w:t>
      </w:r>
    </w:p>
    <w:p w14:paraId="0000044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11: Randomized-Context Placebo Test</w:t>
      </w:r>
    </w:p>
    <w:p w14:paraId="0000044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performance using real versus randomized/placebo context features.</w:t>
      </w:r>
    </w:p>
    <w:tbl>
      <w:tblPr>
        <w:tblStyle w:val="2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78"/>
        <w:gridCol w:w="1126"/>
        <w:gridCol w:w="1106"/>
        <w:gridCol w:w="1296"/>
        <w:gridCol w:w="1282"/>
        <w:gridCol w:w="1262"/>
        <w:gridCol w:w="1910"/>
      </w:tblGrid>
      <w:tr w14:paraId="33AC5887">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Context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Sharpe vs. Static-0.50</w:t>
            </w:r>
          </w:p>
        </w:tc>
      </w:tr>
      <w:tr w14:paraId="676E03B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072838E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Noise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3EB96B1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Features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79A0A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Constant (Zero)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bl>
    <w:p w14:paraId="0000046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persists even with random context features. This confirms that the transfer failure is driven by the structural parameters of the frozen source policy, rather than the informational content of target context features.</w:t>
      </w:r>
    </w:p>
    <w:p w14:paraId="000004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7.8.6 Shuffled-Action Placebo Test</w:t>
      </w:r>
    </w:p>
    <w:p w14:paraId="000004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be an artifact of the specific mapping from actions to thresholds.</w:t>
      </w:r>
    </w:p>
    <w:p w14:paraId="0000046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randomly shuffle the mapping from actions to thresholds.</w:t>
      </w:r>
    </w:p>
    <w:p w14:paraId="0000046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12: Shuffled-Action Placebo Test</w:t>
      </w:r>
    </w:p>
    <w:p w14:paraId="0000046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Effect of shuffling the action-to-threshold mapping on transfer outcomes.</w:t>
      </w:r>
    </w:p>
    <w:tbl>
      <w:tblPr>
        <w:tblStyle w:val="2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93"/>
        <w:gridCol w:w="1147"/>
        <w:gridCol w:w="1125"/>
        <w:gridCol w:w="1330"/>
        <w:gridCol w:w="1330"/>
        <w:gridCol w:w="1308"/>
        <w:gridCol w:w="1727"/>
      </w:tblGrid>
      <w:tr w14:paraId="0E04E818">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Mapping Scheme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Changed</w:t>
            </w:r>
          </w:p>
        </w:tc>
      </w:tr>
      <w:tr w14:paraId="32EB57F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Original</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w:t>
            </w:r>
          </w:p>
        </w:tc>
      </w:tr>
      <w:tr w14:paraId="4F84A61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CB63D4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3B5F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25CD5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Reversed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49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Action concentration persists across different mapping schemes. The collapse is driven by the policy's structural convergence to a single action, independent of the physical threshold value.</w:t>
      </w:r>
    </w:p>
    <w:p w14:paraId="0000049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7.8.7 Temporal Subsample Analysis</w:t>
      </w:r>
    </w:p>
    <w:p w14:paraId="0000049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Policy collapse might be specific to certain market regimes (e.g., low-volatility regimes or persistent bull markets).</w:t>
      </w:r>
    </w:p>
    <w:p w14:paraId="0000049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split the sample into pre-2018 and post-2018 windows, crisis vs. normal periods, and high-volatility vs. low-volatility periods.</w:t>
      </w:r>
    </w:p>
    <w:p w14:paraId="0000049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13: Temporal Subsample Analysis</w:t>
      </w:r>
    </w:p>
    <w:p w14:paraId="0000049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stability across different temporal and volatility regimes.</w:t>
      </w:r>
    </w:p>
    <w:tbl>
      <w:tblPr>
        <w:tblStyle w:val="27"/>
        <w:tblW w:w="10129"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813"/>
        <w:gridCol w:w="1085"/>
        <w:gridCol w:w="1269"/>
        <w:gridCol w:w="1244"/>
        <w:gridCol w:w="560"/>
        <w:gridCol w:w="680"/>
        <w:gridCol w:w="452"/>
        <w:gridCol w:w="1483"/>
        <w:gridCol w:w="1543"/>
      </w:tblGrid>
      <w:tr w14:paraId="539B604D">
        <w:trPr>
          <w:tblHeade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Subsample</w:t>
            </w:r>
          </w:p>
        </w:tc>
        <w:tc>
          <w:tcPr>
            <w:tcW w:w="1085"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N</w:t>
            </w:r>
          </w:p>
        </w:tc>
        <w:tc>
          <w:tcPr>
            <w:tcW w:w="1269"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SPY</w:t>
            </w:r>
          </w:p>
        </w:tc>
        <w:tc>
          <w:tcPr>
            <w:tcW w:w="1244"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QQQ</w:t>
            </w:r>
          </w:p>
        </w:tc>
        <w:tc>
          <w:tcPr>
            <w:tcW w:w="56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C35A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IWM</w:t>
            </w:r>
          </w:p>
        </w:tc>
        <w:tc>
          <w:tcPr>
            <w:tcW w:w="68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90EF5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EEM</w:t>
            </w:r>
          </w:p>
        </w:tc>
        <w:tc>
          <w:tcPr>
            <w:tcW w:w="452"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77F1DD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TLT</w:t>
            </w:r>
          </w:p>
        </w:tc>
        <w:tc>
          <w:tcPr>
            <w:tcW w:w="148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GLD</w:t>
            </w:r>
          </w:p>
        </w:tc>
        <w:tc>
          <w:tcPr>
            <w:tcW w:w="154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Overall</w:t>
            </w:r>
          </w:p>
        </w:tc>
      </w:tr>
      <w:tr w14:paraId="42AB2FD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rPr>
            </w:pPr>
            <w:r>
              <w:rPr>
                <w:rFonts w:ascii="Arial" w:hAnsi="Arial" w:eastAsia="Google Sans" w:cs="Google Sans"/>
                <w:b/>
                <w:bCs/>
                <w:color w:val="1F2D3D"/>
                <w:sz w:val="17"/>
                <w:shd w:val="clear" w:fill="auto"/>
                <w:rtl w:val="0"/>
                <w:lang w:val="en-US" w:eastAsia="zh-CN"/>
              </w:rPr>
              <w:t>Full Sample</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3780</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11CA6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18BEF7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24AA5A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67%</w:t>
            </w:r>
          </w:p>
        </w:tc>
      </w:tr>
      <w:tr w14:paraId="7651A6A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Pre-2018</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2016</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EFF5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4CE7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D42F1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69%</w:t>
            </w:r>
          </w:p>
        </w:tc>
      </w:tr>
      <w:tr w14:paraId="418E785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Post-2018</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1764</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61952D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E997D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A6825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70%</w:t>
            </w:r>
          </w:p>
        </w:tc>
      </w:tr>
      <w:tr w14:paraId="162744B2">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Crisis Periods</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504</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A29A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523C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439F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4A1ADC41">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Normal Periods</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3276</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2D19B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72494E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36C926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r w14:paraId="60099A04">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High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01FBA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F4A2D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C9BA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6818FE2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EFADA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Low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8A08D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5872C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6D7CA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1EDC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A0BF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8353E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692559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52B38C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bl>
    <w:p w14:paraId="000004D0">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is highly stable over time. The failure mode persists in both high and low volatility regimes, suggesting it is a structural characteristics of the transfer rather than a temporal anomaly.</w:t>
      </w:r>
    </w:p>
    <w:p w14:paraId="000004D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7.8.8 Source-Only Degeneracy vs. Transfer-Induced Collapse</w:t>
      </w:r>
    </w:p>
    <w:p w14:paraId="000004D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key question is whether collapse occurs on the source itself during training, or if it is triggered during the transfer phase.</w:t>
      </w:r>
    </w:p>
    <w:p w14:paraId="000004D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source-side modal share with target-side modal share for each source.</w:t>
      </w:r>
    </w:p>
    <w:p w14:paraId="000004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14: Source-Target Outcome Classification</w:t>
      </w:r>
    </w:p>
    <w:p w14:paraId="000004D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Comparison of source-side policy concentration and target-side transfer outcomes.</w:t>
      </w:r>
    </w:p>
    <w:tbl>
      <w:tblPr>
        <w:tblStyle w:val="2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243"/>
        <w:gridCol w:w="1093"/>
        <w:gridCol w:w="1376"/>
        <w:gridCol w:w="1167"/>
        <w:gridCol w:w="1304"/>
        <w:gridCol w:w="1338"/>
        <w:gridCol w:w="1122"/>
      </w:tblGrid>
      <w:tr w14:paraId="714BC5E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Degenerate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Modal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Target 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Origin</w:t>
            </w:r>
          </w:p>
        </w:tc>
      </w:tr>
      <w:tr w14:paraId="070EA8A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6A0D023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B6E0E4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2BFC89A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7EF5EA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1EB4236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bl>
    <w:p w14:paraId="0000050E">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originates entirely on the source. Sources that are degenerate on their own training data produce degenerate transfers with </w:t>
      </w:r>
      <m:oMath>
        <m:r>
          <m:rPr/>
          <m:t>100%</m:t>
        </m:r>
      </m:oMath>
      <w:r>
        <w:rPr>
          <w:rFonts w:ascii="Times New Roman" w:hAnsi="Times New Roman" w:eastAsia="Times New Roman" w:cs="Google Sans"/>
          <w:color w:val="1F1F1F"/>
          <w:sz w:val="24"/>
          <w:rtl w:val="0"/>
        </w:rPr>
        <w:t xml:space="preserve"> probability. Sources that maintain diversity on their own data maintain diversity upon transfer.</w:t>
      </w:r>
    </w:p>
    <w:p w14:paraId="0000050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7.8.9 Incremental Value of Context</w:t>
      </w:r>
    </w:p>
    <w:p w14:paraId="0000051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Motivation: A key question is whether the contextual bandit policy provides any value over simpler non-contextual approaches. If a single static threshold is optimal, then action concentration may represent successful learning rather than policy failure.</w:t>
      </w:r>
    </w:p>
    <w:p w14:paraId="00000511">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five approaches:</w:t>
      </w:r>
    </w:p>
    <w:p w14:paraId="00000512">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Global Best Static:</w:t>
      </w:r>
      <w:r>
        <w:rPr>
          <w:rFonts w:ascii="Times New Roman" w:hAnsi="Times New Roman" w:eastAsia="Times New Roman" w:cs="Google Sans"/>
          <w:color w:val="1F1F1F"/>
          <w:sz w:val="24"/>
          <w:rtl w:val="0"/>
        </w:rPr>
        <w:t xml:space="preserve"> The single threshold that maximizes Sharpe across the entire sample.</w:t>
      </w:r>
    </w:p>
    <w:p w14:paraId="00000513">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Context-Free Bandit:</w:t>
      </w:r>
      <w:r>
        <w:rPr>
          <w:rFonts w:ascii="Times New Roman" w:hAnsi="Times New Roman" w:eastAsia="Times New Roman" w:cs="Google Sans"/>
          <w:color w:val="1F1F1F"/>
          <w:sz w:val="24"/>
          <w:rtl w:val="0"/>
        </w:rPr>
        <w:t xml:space="preserve"> LinUCB with constant context (no contextual information).</w:t>
      </w:r>
    </w:p>
    <w:p w14:paraId="00000514">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Contextual Bandit:</w:t>
      </w:r>
      <w:r>
        <w:rPr>
          <w:rFonts w:ascii="Times New Roman" w:hAnsi="Times New Roman" w:eastAsia="Times New Roman" w:cs="Google Sans"/>
          <w:color w:val="1F1F1F"/>
          <w:sz w:val="24"/>
          <w:rtl w:val="0"/>
        </w:rPr>
        <w:t xml:space="preserve"> Standard LinUCB with context features.</w:t>
      </w:r>
    </w:p>
    <w:p w14:paraId="00000515">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Oracle Contextual:</w:t>
      </w:r>
      <w:r>
        <w:rPr>
          <w:rFonts w:ascii="Times New Roman" w:hAnsi="Times New Roman" w:eastAsia="Times New Roman" w:cs="Google Sans"/>
          <w:color w:val="1F1F1F"/>
          <w:sz w:val="24"/>
          <w:rtl w:val="0"/>
        </w:rPr>
        <w:t xml:space="preserve"> Post-hoc regime-specific optimal thresholds.</w:t>
      </w:r>
    </w:p>
    <w:p w14:paraId="00000516">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Rolling Regime-Specific:</w:t>
      </w:r>
      <w:r>
        <w:rPr>
          <w:rFonts w:ascii="Times New Roman" w:hAnsi="Times New Roman" w:eastAsia="Times New Roman" w:cs="Google Sans"/>
          <w:color w:val="1F1F1F"/>
          <w:sz w:val="24"/>
          <w:rtl w:val="0"/>
        </w:rPr>
        <w:t xml:space="preserve"> Thresholds selected adaptively by rolling regime.</w:t>
      </w:r>
    </w:p>
    <w:p w14:paraId="000005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16: Incremental Value of Context</w:t>
      </w:r>
    </w:p>
    <w:p w14:paraId="000005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Sharpe ratio comparison across contextual and non-contextual architectures.</w:t>
      </w:r>
    </w:p>
    <w:tbl>
      <w:tblPr>
        <w:tblStyle w:val="2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572"/>
        <w:gridCol w:w="969"/>
        <w:gridCol w:w="969"/>
        <w:gridCol w:w="970"/>
        <w:gridCol w:w="970"/>
        <w:gridCol w:w="970"/>
        <w:gridCol w:w="970"/>
        <w:gridCol w:w="970"/>
      </w:tblGrid>
      <w:tr w14:paraId="349F6282">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Benchmark</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w:t>
            </w:r>
          </w:p>
        </w:tc>
      </w:tr>
      <w:tr w14:paraId="0E7FF79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Global Best Static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0.027</w:t>
            </w:r>
          </w:p>
        </w:tc>
      </w:tr>
      <w:tr w14:paraId="310530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Context-Free Bandit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r>
      <w:tr w14:paraId="7D0B74D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Contextual Bandit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r>
      <w:tr w14:paraId="31CDAD9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Oracle Contextual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r>
      <w:tr w14:paraId="52E4C5A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Incremental Value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42F3E03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r>
    </w:tbl>
    <w:p w14:paraId="0000055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52">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 Has Theoretical Value:</w:t>
      </w:r>
      <w:r>
        <w:rPr>
          <w:rFonts w:ascii="Times New Roman" w:hAnsi="Times New Roman" w:eastAsia="Times New Roman" w:cs="Google Sans"/>
          <w:color w:val="1F1F1F"/>
          <w:sz w:val="24"/>
          <w:rtl w:val="0"/>
        </w:rPr>
        <w:t xml:space="preserve"> The Oracle Contextual benchmark significantly outperforms the global best static threshold (</w:t>
      </w:r>
      <m:oMath>
        <m:r>
          <m:rPr/>
          <m:t>+0.008</m:t>
        </m:r>
      </m:oMath>
      <w:r>
        <w:rPr>
          <w:rFonts w:ascii="Times New Roman" w:hAnsi="Times New Roman" w:eastAsia="Times New Roman" w:cs="Google Sans"/>
          <w:color w:val="1F1F1F"/>
          <w:sz w:val="24"/>
          <w:rtl w:val="0"/>
        </w:rPr>
        <w:t xml:space="preserve"> Sharpe, </w:t>
      </w:r>
      <m:oMath>
        <m:r>
          <m:rPr/>
          <m:t>p&lt; 0.01</m:t>
        </m:r>
      </m:oMath>
      <w:r>
        <w:rPr>
          <w:rFonts w:ascii="Times New Roman" w:hAnsi="Times New Roman" w:eastAsia="Times New Roman" w:cs="Google Sans"/>
          <w:color w:val="1F1F1F"/>
          <w:sz w:val="24"/>
          <w:rtl w:val="0"/>
        </w:rPr>
        <w:t>). This confirms that regime-specific adaptation is valuable.</w:t>
      </w:r>
    </w:p>
    <w:p w14:paraId="00000553">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Bandit Fails to Utilize Context:</w:t>
      </w:r>
      <w:r>
        <w:rPr>
          <w:rFonts w:ascii="Times New Roman" w:hAnsi="Times New Roman" w:eastAsia="Times New Roman" w:cs="Google Sans"/>
          <w:color w:val="1F1F1F"/>
          <w:sz w:val="24"/>
          <w:rtl w:val="0"/>
        </w:rPr>
        <w:t xml:space="preserve"> The contextual bandit does not significantly outperform the context-free bandit (</w:t>
      </w:r>
      <m:oMath>
        <m:r>
          <m:rPr/>
          <m:t>+0.001</m:t>
        </m:r>
      </m:oMath>
      <w:r>
        <w:rPr>
          <w:rFonts w:ascii="Times New Roman" w:hAnsi="Times New Roman" w:eastAsia="Times New Roman" w:cs="Google Sans"/>
          <w:color w:val="1F1F1F"/>
          <w:sz w:val="24"/>
          <w:rtl w:val="0"/>
        </w:rPr>
        <w:t xml:space="preserve"> Sharpe, </w:t>
      </w:r>
      <m:oMath>
        <m:r>
          <m:rPr/>
          <m:t>p = 0.42</m:t>
        </m:r>
      </m:oMath>
      <w:r>
        <w:rPr>
          <w:rFonts w:ascii="Times New Roman" w:hAnsi="Times New Roman" w:eastAsia="Times New Roman" w:cs="Google Sans"/>
          <w:color w:val="1F1F1F"/>
          <w:sz w:val="24"/>
          <w:rtl w:val="0"/>
        </w:rPr>
        <w:t>). This suggests the bandit fails to learn context-dependent policies out-of-sample.</w:t>
      </w:r>
    </w:p>
    <w:p w14:paraId="00000554">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 xml:space="preserve">Action Concentration </w:t>
      </w:r>
      <m:oMath>
        <m:r>
          <m:rPr/>
          <m:t>a</m:t>
        </m:r>
      </m:oMath>
      <w:r>
        <w:rPr>
          <w:rFonts w:ascii="Times New Roman" w:hAnsi="Times New Roman" w:eastAsia="Times New Roman" w:cs="Google Sans"/>
          <w:b/>
          <w:bCs/>
          <w:color w:val="1F1F1F"/>
          <w:sz w:val="24"/>
          <w:rtl w:val="0"/>
        </w:rPr>
        <w:t xml:space="preserve"> Success:</w:t>
      </w:r>
      <w:r>
        <w:rPr>
          <w:rFonts w:ascii="Times New Roman" w:hAnsi="Times New Roman" w:eastAsia="Times New Roman" w:cs="Google Sans"/>
          <w:color w:val="1F1F1F"/>
          <w:sz w:val="24"/>
          <w:rtl w:val="0"/>
        </w:rPr>
        <w:t xml:space="preserve"> The observed action concentration represents a "failure to adapt" rather than "success in learning a static optimum."</w:t>
      </w:r>
    </w:p>
    <w:p w14:paraId="0000055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7.8.10 Regime-Specific Analysis</w:t>
      </w:r>
    </w:p>
    <w:p w14:paraId="000005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Motivation: Understanding when context has theoretical value based on Oracle analysis helps explain why the bandit fails.</w:t>
      </w:r>
    </w:p>
    <w:p w14:paraId="000005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analyze Oracle performance across different market regimes.</w:t>
      </w:r>
    </w:p>
    <w:p w14:paraId="00000558">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17: Regime-Specific Analysis</w:t>
      </w:r>
    </w:p>
    <w:p w14:paraId="000005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Oracle performance and optimal thresholds across different market regimes.</w:t>
      </w:r>
    </w:p>
    <w:tbl>
      <w:tblPr>
        <w:tblStyle w:val="3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8"/>
        <w:gridCol w:w="1093"/>
        <w:gridCol w:w="1802"/>
        <w:gridCol w:w="1514"/>
        <w:gridCol w:w="1436"/>
        <w:gridCol w:w="1857"/>
      </w:tblGrid>
      <w:tr w14:paraId="1773545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Regime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 Periods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Static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Advantage</w:t>
            </w:r>
          </w:p>
        </w:tc>
      </w:tr>
      <w:tr w14:paraId="04A8053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High Volatility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+0.013</w:t>
            </w:r>
          </w:p>
        </w:tc>
      </w:tr>
      <w:tr w14:paraId="389F806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Low Volatility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+0.007</w:t>
            </w:r>
          </w:p>
        </w:tc>
      </w:tr>
      <w:tr w14:paraId="35A51F2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Trending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r w14:paraId="16E9C4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Mean-Reverting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11D209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Crisis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r w14:paraId="1ECC95B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Normal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r>
    </w:tbl>
    <w:p w14:paraId="00000584">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85">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Context has the highest value during trending markets (</w:t>
      </w:r>
      <m:oMath>
        <m:r>
          <m:rPr/>
          <m:t>+0.017</m:t>
        </m:r>
      </m:oMath>
      <w:r>
        <w:rPr>
          <w:rFonts w:ascii="Times New Roman" w:hAnsi="Times New Roman" w:eastAsia="Times New Roman" w:cs="Google Sans"/>
          <w:color w:val="1F1F1F"/>
          <w:sz w:val="24"/>
          <w:rtl w:val="0"/>
        </w:rPr>
        <w:t>).</w:t>
      </w:r>
    </w:p>
    <w:p w14:paraId="00000586">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Context has no measurable value during crisis periods (</w:t>
      </w:r>
      <m:oMath>
        <m:r>
          <m:rPr/>
          <m:t>+0.000</m:t>
        </m:r>
      </m:oMath>
      <w:r>
        <w:rPr>
          <w:rFonts w:ascii="Times New Roman" w:hAnsi="Times New Roman" w:eastAsia="Times New Roman" w:cs="Google Sans"/>
          <w:color w:val="1F1F1F"/>
          <w:sz w:val="24"/>
          <w:rtl w:val="0"/>
        </w:rPr>
        <w:t>).</w:t>
      </w:r>
    </w:p>
    <w:p w14:paraId="00000587">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 xml:space="preserve">The optimal threshold varies significantly by regime (spanning </w:t>
      </w:r>
      <m:oMath>
        <m:r>
          <m:rPr/>
          <m:t>0.35</m:t>
        </m:r>
      </m:oMath>
      <w:r>
        <w:rPr>
          <w:rFonts w:ascii="Times New Roman" w:hAnsi="Times New Roman" w:eastAsia="Times New Roman" w:cs="Google Sans"/>
          <w:color w:val="1F1F1F"/>
          <w:sz w:val="24"/>
          <w:rtl w:val="0"/>
        </w:rPr>
        <w:t xml:space="preserve"> to </w:t>
      </w:r>
      <m:oMath>
        <m:r>
          <m:rPr/>
          <m:t>0.60</m:t>
        </m:r>
      </m:oMath>
      <w:r>
        <w:rPr>
          <w:rFonts w:ascii="Times New Roman" w:hAnsi="Times New Roman" w:eastAsia="Times New Roman" w:cs="Google Sans"/>
          <w:color w:val="1F1F1F"/>
          <w:sz w:val="24"/>
          <w:rtl w:val="0"/>
        </w:rPr>
        <w:t>).</w:t>
      </w:r>
    </w:p>
    <w:p w14:paraId="00000588">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The bandit's failure to adapt is particularly costly during trending markets, where regime-specific thresholds could provide significant benefits.</w:t>
      </w:r>
    </w:p>
    <w:p w14:paraId="0000058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7.9 Robustness Summary</w:t>
      </w:r>
    </w:p>
    <w:p w14:paraId="0000058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15: Robustness Summary</w:t>
      </w:r>
    </w:p>
    <w:p w14:paraId="0000058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Summary of the experimental outcomes across all ablation trials.</w:t>
      </w:r>
    </w:p>
    <w:tbl>
      <w:tblPr>
        <w:tblStyle w:val="3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997"/>
        <w:gridCol w:w="1263"/>
        <w:gridCol w:w="1235"/>
        <w:gridCol w:w="3775"/>
        <w:gridCol w:w="1090"/>
      </w:tblGrid>
      <w:tr w14:paraId="017ACEAA">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Ablation Trial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Key Finding</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Conclusion</w:t>
            </w:r>
          </w:p>
        </w:tc>
      </w:tr>
      <w:tr w14:paraId="39F91B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probability 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0AD73E8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Action Grids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 space discretization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80AD83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 xml:space="preserve">Exploration </w:t>
            </w:r>
            <m:oMath>
              <m:r>
                <m:rPr/>
                <m:t>O</m:t>
              </m:r>
            </m:oMath>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Exploration cannot fix degenerate convergence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3048AF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Nonlinear Policies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Algorithmic-agnostic failure mode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C41F4B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Driven by source frozen weights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94E8A1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Action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action-threshold mapping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A96EF4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Temporal Subsamples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Temporally stable across regimes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92D4DA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Source Origin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Collapse originates during training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bl>
    <w:p w14:paraId="000005B9">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results in Table 15 establish the following:</w:t>
      </w:r>
    </w:p>
    <w:p w14:paraId="000005BA">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Source static degeneracy is structural, not parameterized:</w:t>
      </w:r>
      <w:r>
        <w:rPr>
          <w:rFonts w:ascii="Times New Roman" w:hAnsi="Times New Roman" w:eastAsia="Times New Roman" w:cs="Google Sans"/>
          <w:color w:val="1F1F1F"/>
          <w:sz w:val="24"/>
          <w:rtl w:val="0"/>
        </w:rPr>
        <w:t xml:space="preserve"> It is not an artifact of model miscalibration or chosen thresholds.</w:t>
      </w:r>
    </w:p>
    <w:p w14:paraId="000005BB">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FCTT-DA is highly reliable:</w:t>
      </w:r>
      <w:r>
        <w:rPr>
          <w:rFonts w:ascii="Times New Roman" w:hAnsi="Times New Roman" w:eastAsia="Times New Roman" w:cs="Google Sans"/>
          <w:color w:val="1F1F1F"/>
          <w:sz w:val="24"/>
          <w:rtl w:val="0"/>
        </w:rPr>
        <w:t xml:space="preserve"> The rejection rule (source modal share </w:t>
      </w:r>
      <m:oMath>
        <m:r>
          <m:rPr/>
          <m:t>&gt; 90%</m:t>
        </m:r>
      </m:oMath>
      <w:r>
        <w:rPr>
          <w:rFonts w:ascii="Times New Roman" w:hAnsi="Times New Roman" w:eastAsia="Times New Roman" w:cs="Google Sans"/>
          <w:color w:val="1F1F1F"/>
          <w:sz w:val="24"/>
          <w:rtl w:val="0"/>
        </w:rPr>
        <w:t>) correctly handles degenerate transfers across all tested environments.</w:t>
      </w:r>
    </w:p>
    <w:p w14:paraId="000005B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 Discussion</w:t>
      </w:r>
    </w:p>
    <w:p w14:paraId="000005B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8.1 Source Diversity as a Practical Screening Criterion</w:t>
      </w:r>
    </w:p>
    <w:p w14:paraId="000005B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central finding of this paper is that source policy diversity during training is a useful indicator for transfer success. When the source policy degenerates during training (selecting a single action on </w:t>
      </w:r>
      <m:oMath>
        <m:r>
          <m:rPr/>
          <m:t>100%</m:t>
        </m:r>
      </m:oMath>
      <w:r>
        <w:rPr>
          <w:rFonts w:ascii="Times New Roman" w:hAnsi="Times New Roman" w:eastAsia="Times New Roman" w:cs="Google Sans"/>
          <w:color w:val="1F1F1F"/>
          <w:sz w:val="24"/>
          <w:rtl w:val="0"/>
        </w:rPr>
        <w:t xml:space="preserve"> of observations), the transferred policy inherits this degeneracy on all targets. When the source maintains diversity, the transferred policy maintains some context sensitivity—though it still concentrates on a single threshold (</w:t>
      </w:r>
      <m:oMath>
        <m:r>
          <m:rPr/>
          <m:t>0.45</m:t>
        </m:r>
      </m:oMath>
      <w:r>
        <w:rPr>
          <w:rFonts w:ascii="Times New Roman" w:hAnsi="Times New Roman" w:eastAsia="Times New Roman" w:cs="Google Sans"/>
          <w:color w:val="1F1F1F"/>
          <w:sz w:val="24"/>
          <w:rtl w:val="0"/>
        </w:rPr>
        <w:t xml:space="preserve">) on </w:t>
      </w:r>
      <m:oMath>
        <m:r>
          <m:rPr/>
          <m:t>73%</m:t>
        </m:r>
      </m:oMath>
      <w:r>
        <w:rPr>
          <w:rFonts w:ascii="Times New Roman" w:hAnsi="Times New Roman" w:eastAsia="Times New Roman" w:cs="Google Sans"/>
          <w:color w:val="1F1F1F"/>
          <w:sz w:val="24"/>
          <w:rtl w:val="0"/>
        </w:rPr>
        <w:t xml:space="preserve"> of observations. This finding has immediate practical implications: audit the source policy before transfer. If the source policy has low action entropy during training, the transfer will fail.</w:t>
      </w:r>
    </w:p>
    <w:p w14:paraId="000005B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8.2 Why Do Some Sources Degenerate?</w:t>
      </w:r>
    </w:p>
    <w:p w14:paraId="000005C0">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Four of six sources (SPY, QQQ, EEM, GLD) degenerate during training, while TLT and IWM do not. We hypothesize three contributing factors:</w:t>
      </w:r>
    </w:p>
    <w:p w14:paraId="000005C1">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14:paraId="000005C2">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Mean-Reverting vs. Trending Behavior:</w:t>
      </w:r>
      <w:r>
        <w:rPr>
          <w:rFonts w:ascii="Times New Roman" w:hAnsi="Times New Roman" w:eastAsia="Times New Roman" w:cs="Google Sans"/>
          <w:color w:val="1F1F1F"/>
          <w:sz w:val="24"/>
          <w:rtl w:val="0"/>
        </w:rPr>
        <w:t xml:space="preserve"> Bond markets exhibit stronger mean-reversion properties than equity markets. This means the optimal threshold may shift more frequently across regimes, preventing the policy from locking onto a single action.</w:t>
      </w:r>
    </w:p>
    <w:p w14:paraId="000005C3">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14:paraId="000005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8.3 The Behavioral-Equivalence Insight</w:t>
      </w:r>
    </w:p>
    <w:p w14:paraId="000005C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Even when the TLT source policy does not collapse, it provides no significant improvement over a static </w:t>
      </w:r>
      <m:oMath>
        <m:r>
          <m:rPr/>
          <m:t>0.45</m:t>
        </m:r>
      </m:oMath>
      <w:r>
        <w:rPr>
          <w:rFonts w:ascii="Times New Roman" w:hAnsi="Times New Roman" w:eastAsia="Times New Roman" w:cs="Google Sans"/>
          <w:color w:val="1F1F1F"/>
          <w:sz w:val="24"/>
          <w:rtl w:val="0"/>
        </w:rPr>
        <w:t xml:space="preserve"> threshold (mean Sharpe difference: </w:t>
      </w:r>
      <m:oMath>
        <m:r>
          <m:rPr/>
          <m:t>−0.004</m:t>
        </m:r>
      </m:oMath>
      <w:r>
        <w:rPr>
          <w:rFonts w:ascii="Times New Roman" w:hAnsi="Times New Roman" w:eastAsia="Times New Roman" w:cs="Google Sans"/>
          <w:color w:val="1F1F1F"/>
          <w:sz w:val="24"/>
          <w:rtl w:val="0"/>
        </w:rPr>
        <w:t>). This suggests that contextual information has limited incremental value for threshold selection in this setting.</w:t>
      </w:r>
    </w:p>
    <w:p w14:paraId="000005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finding reveals a two-level diagnostic that practitioners should apply:</w:t>
      </w:r>
    </w:p>
    <w:p w14:paraId="000005C7">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Level 1 (Formal Collapse):</w:t>
      </w:r>
      <w:r>
        <w:rPr>
          <w:rFonts w:ascii="Times New Roman" w:hAnsi="Times New Roman" w:eastAsia="Times New Roman" w:cs="Google Sans"/>
          <w:color w:val="1F1F1F"/>
          <w:sz w:val="24"/>
          <w:rtl w:val="0"/>
        </w:rPr>
        <w:t xml:space="preserve"> Does the policy select a single action on </w:t>
      </w:r>
      <m:oMath>
        <m:r>
          <m:rPr/>
          <m:t>&gt; 90%</m:t>
        </m:r>
      </m:oMath>
      <w:r>
        <w:rPr>
          <w:rFonts w:ascii="Times New Roman" w:hAnsi="Times New Roman" w:eastAsia="Times New Roman" w:cs="Google Sans"/>
          <w:color w:val="1F1F1F"/>
          <w:sz w:val="24"/>
          <w:rtl w:val="0"/>
        </w:rPr>
        <w:t xml:space="preserve"> of observations?</w:t>
      </w:r>
    </w:p>
    <w:p w14:paraId="000005C8">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Level 2 (Behavioral Equivalence):</w:t>
      </w:r>
      <w:r>
        <w:rPr>
          <w:rFonts w:ascii="Times New Roman" w:hAnsi="Times New Roman" w:eastAsia="Times New Roman" w:cs="Google Sans"/>
          <w:color w:val="1F1F1F"/>
          <w:sz w:val="24"/>
          <w:rtl w:val="0"/>
        </w:rPr>
        <w:t xml:space="preserve"> Does the policy's performance differ significantly from the closest static threshold?</w:t>
      </w:r>
    </w:p>
    <w:p w14:paraId="000005C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14:paraId="2E30E0DD">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This second failure mode is economically important. Avoiding formal collapse is a necessary but not sufficient condition for useful contextual transfer. In low-signal financial environments, a policy may continue to vary its actions across contexts yet fail to generate incremental out-of-sample value relative to the static threshold that best approximates its behavior. The TLT results illustrate precisely this distinction: behavioral diversity survives, but contextual alpha does not emerge.</w:t>
      </w:r>
    </w:p>
    <w:p w14:paraId="3934839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We therefore interpret the absence of significant gains over the behavioral-equivalent baseline not as a failure of the audit framework, but as a central negative result. This pattern is consistent with the low signal-to-noise environment typically encountered in financial prediction, where adaptive gating can be difficult to monetize out of sample. A complex contextual policy can consume additional computation, increase turnover, reduce interpretability, and enlarge the model-risk surface without delivering economically meaningful adaptation. The appropriate conclusion is not that contextual bandits are inherently useless, but that contextual complexity must earn its place through incremental out-of-sample value. FCTT-DA makes this requirement explicit by separating three questions: whether a policy remains behaviorally diverse, whether that diversity differs meaningfully from a static rule, and whether the resulting adaptation survives transaction costs.</w:t>
      </w:r>
    </w:p>
    <w:p w14:paraId="000005CA">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i/>
          <w:iCs/>
          <w:color w:val="1F1F1F"/>
          <w:sz w:val="24"/>
          <w:rtl w:val="0"/>
        </w:rPr>
        <w:t>Practical recommendation:</w:t>
      </w:r>
      <w:r>
        <w:rPr>
          <w:rFonts w:ascii="Times New Roman" w:hAnsi="Times New Roman" w:eastAsia="Times New Roman" w:cs="Google Sans"/>
          <w:color w:val="1F1F1F"/>
          <w:sz w:val="24"/>
          <w:rtl w:val="0"/>
        </w:rPr>
        <w:t xml:space="preserve"> Before deploying any transferred policy, compare it against:</w:t>
      </w:r>
    </w:p>
    <w:p w14:paraId="000005CB">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 xml:space="preserve">The conventional </w:t>
      </w:r>
      <m:oMath>
        <m:r>
          <m:rPr/>
          <m:t>0.50</m:t>
        </m:r>
      </m:oMath>
      <w:r>
        <w:rPr>
          <w:rFonts w:ascii="Times New Roman" w:hAnsi="Times New Roman" w:eastAsia="Times New Roman" w:cs="Google Sans"/>
          <w:color w:val="1F1F1F"/>
          <w:sz w:val="24"/>
          <w:rtl w:val="0"/>
        </w:rPr>
        <w:t xml:space="preserve"> cutoff.</w:t>
      </w:r>
    </w:p>
    <w:p w14:paraId="000005CC">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The behavioral-equivalent static threshold.</w:t>
      </w:r>
    </w:p>
    <w:p w14:paraId="000005CD">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The exposure-matched static threshold.</w:t>
      </w:r>
    </w:p>
    <w:p w14:paraId="000005C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Only if the learned policy significantly outperforms all three should it be deployed in production.</w:t>
      </w:r>
    </w:p>
    <w:p w14:paraId="000005C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8.4 Implications for Practitioners and Researchers</w:t>
      </w:r>
    </w:p>
    <w:p w14:paraId="000005D0">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Practitioners:</w:t>
      </w:r>
    </w:p>
    <w:p w14:paraId="000005D1">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Audit before deployment:</w:t>
      </w:r>
      <w:r>
        <w:rPr>
          <w:rFonts w:ascii="Times New Roman" w:hAnsi="Times New Roman" w:eastAsia="Times New Roman" w:cs="Google Sans"/>
          <w:color w:val="1F1F1F"/>
          <w:sz w:val="24"/>
          <w:rtl w:val="0"/>
        </w:rPr>
        <w:t xml:space="preserve"> Check source policy diversity. If modal share </w:t>
      </w:r>
      <m:oMath>
        <m:r>
          <m:rPr/>
          <m:t>&gt; 90%</m:t>
        </m:r>
      </m:oMath>
      <w:r>
        <w:rPr>
          <w:rFonts w:ascii="Times New Roman" w:hAnsi="Times New Roman" w:eastAsia="Times New Roman" w:cs="Google Sans"/>
          <w:color w:val="1F1F1F"/>
          <w:sz w:val="24"/>
          <w:rtl w:val="0"/>
        </w:rPr>
        <w:t>, reject the transfer.</w:t>
      </w:r>
    </w:p>
    <w:p w14:paraId="000005D2">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Compare against behavioral-equivalent baselines:</w:t>
      </w:r>
      <w:r>
        <w:rPr>
          <w:rFonts w:ascii="Times New Roman" w:hAnsi="Times New Roman" w:eastAsia="Times New Roman" w:cs="Google Sans"/>
          <w:color w:val="1F1F1F"/>
          <w:sz w:val="24"/>
          <w:rtl w:val="0"/>
        </w:rPr>
        <w:t xml:space="preserve"> Do not just compare against </w:t>
      </w:r>
      <m:oMath>
        <m:r>
          <m:rPr/>
          <m:t>0.50</m:t>
        </m:r>
      </m:oMath>
      <w:r>
        <w:rPr>
          <w:rFonts w:ascii="Times New Roman" w:hAnsi="Times New Roman" w:eastAsia="Times New Roman" w:cs="Google Sans"/>
          <w:color w:val="1F1F1F"/>
          <w:sz w:val="24"/>
          <w:rtl w:val="0"/>
        </w:rPr>
        <w:t>.</w:t>
      </w:r>
    </w:p>
    <w:p w14:paraId="000005D3">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Report action distributions:</w:t>
      </w:r>
      <w:r>
        <w:rPr>
          <w:rFonts w:ascii="Times New Roman" w:hAnsi="Times New Roman" w:eastAsia="Times New Roman" w:cs="Google Sans"/>
          <w:color w:val="1F1F1F"/>
          <w:sz w:val="24"/>
          <w:rtl w:val="0"/>
        </w:rPr>
        <w:t xml:space="preserve"> Aggregate Sharpe ratios mask behavioral degeneracy.</w:t>
      </w:r>
    </w:p>
    <w:p w14:paraId="000005D4">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Researchers:</w:t>
      </w:r>
    </w:p>
    <w:p w14:paraId="000005D5">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Negative results are valuable:</w:t>
      </w:r>
      <w:r>
        <w:rPr>
          <w:rFonts w:ascii="Times New Roman" w:hAnsi="Times New Roman" w:eastAsia="Times New Roman" w:cs="Google Sans"/>
          <w:color w:val="1F1F1F"/>
          <w:sz w:val="24"/>
          <w:rtl w:val="0"/>
        </w:rPr>
        <w:t xml:space="preserve"> Establishing that a common practice fails is as important as proposing new methods.</w:t>
      </w:r>
    </w:p>
    <w:p w14:paraId="000005D6">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b/>
          <w:bCs/>
          <w:color w:val="1F1F1F"/>
          <w:sz w:val="24"/>
          <w:rtl w:val="0"/>
        </w:rPr>
        <w:t>The audit framework is general:</w:t>
      </w:r>
      <w:r>
        <w:rPr>
          <w:rFonts w:ascii="Times New Roman" w:hAnsi="Times New Roman" w:eastAsia="Times New Roman" w:cs="Google Sans"/>
          <w:color w:val="1F1F1F"/>
          <w:sz w:val="24"/>
          <w:rtl w:val="0"/>
        </w:rPr>
        <w:t xml:space="preserve"> FCTT-DA applies to any domain where learned policies are transferred.</w:t>
      </w:r>
    </w:p>
    <w:p w14:paraId="000005D7">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8.5 Limitations and Future Directions</w:t>
      </w:r>
    </w:p>
    <w:p w14:paraId="000005D8">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Linear Bandit Assumption:</w:t>
      </w:r>
      <w:r>
        <w:rPr>
          <w:rFonts w:ascii="Times New Roman" w:hAnsi="Times New Roman" w:eastAsia="Times New Roman" w:cs="Google Sans"/>
          <w:color w:val="1F1F1F"/>
          <w:sz w:val="24"/>
          <w:rtl w:val="0"/>
        </w:rPr>
        <w:t xml:space="preserve"> LinUCB's linear assumption may be too restrictive. Future work should explore kernelized bandits (e.g., GP-UCB) or deep contextual bandits.</w:t>
      </w:r>
    </w:p>
    <w:p w14:paraId="000005D9">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No Target Adaptation:</w:t>
      </w:r>
      <w:r>
        <w:rPr>
          <w:rFonts w:ascii="Times New Roman" w:hAnsi="Times New Roman" w:eastAsia="Times New Roman" w:cs="Google Sans"/>
          <w:color w:val="1F1F1F"/>
          <w:sz w:val="24"/>
          <w:rtl w:val="0"/>
        </w:rPr>
        <w:t xml:space="preserve"> Our protocol forbids any target-side learning. A promising direction is semi-frozen fine-tuning (parameter-efficient adaptation).</w:t>
      </w:r>
    </w:p>
    <w:p w14:paraId="000005DA">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Threshold Grid Sensitivity:</w:t>
      </w:r>
      <w:r>
        <w:rPr>
          <w:rFonts w:ascii="Times New Roman" w:hAnsi="Times New Roman" w:eastAsia="Times New Roman" w:cs="Google Sans"/>
          <w:color w:val="1F1F1F"/>
          <w:sz w:val="24"/>
          <w:rtl w:val="0"/>
        </w:rPr>
        <w:t xml:space="preserve"> The threshold grid is a critical design choice. Future work should explore continuous threshold selection (e.g., Beta distribution over thresholds).</w:t>
      </w:r>
    </w:p>
    <w:p w14:paraId="000005DB">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Single Source per Transfer:</w:t>
      </w:r>
      <w:r>
        <w:rPr>
          <w:rFonts w:ascii="Times New Roman" w:hAnsi="Times New Roman" w:eastAsia="Times New Roman" w:cs="Google Sans"/>
          <w:color w:val="1F1F1F"/>
          <w:sz w:val="24"/>
          <w:rtl w:val="0"/>
        </w:rPr>
        <w:t xml:space="preserve"> Each transfer uses one source asset. Multi-source aggregation may produce more robust policies.</w:t>
      </w:r>
    </w:p>
    <w:p w14:paraId="000005DC">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Probability Calibration:</w:t>
      </w:r>
      <w:r>
        <w:rPr>
          <w:rFonts w:ascii="Times New Roman" w:hAnsi="Times New Roman" w:eastAsia="Times New Roman" w:cs="Google Sans"/>
          <w:color w:val="1F1F1F"/>
          <w:sz w:val="24"/>
          <w:rtl w:val="0"/>
        </w:rPr>
        <w:t xml:space="preserve"> While we show calibration does not affect collapse rates, explicit calibration could potentially improve absolute performance for non-degenerate sources.</w:t>
      </w:r>
    </w:p>
    <w:p w14:paraId="000005DD">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9. Conclusion</w:t>
      </w:r>
    </w:p>
    <w:p w14:paraId="000005D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14:paraId="000005D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propose three key takeaways for the field:</w:t>
      </w:r>
    </w:p>
    <w:p w14:paraId="000005E0">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Practitioners:</w:t>
      </w:r>
      <w:r>
        <w:rPr>
          <w:rFonts w:ascii="Times New Roman" w:hAnsi="Times New Roman" w:eastAsia="Times New Roman" w:cs="Google Sans"/>
          <w:color w:val="1F1F1F"/>
          <w:sz w:val="24"/>
          <w:rtl w:val="0"/>
        </w:rPr>
        <w:t xml:space="preserve"> Audit source policy diversity before transfer. </w:t>
      </w:r>
      <w:r>
        <w:rPr>
          <w:rFonts w:hint="eastAsia" w:ascii="Times New Roman" w:hAnsi="Times New Roman" w:eastAsia="Times New Roman" w:cs="Google Sans"/>
          <w:color w:val="1F1F1F"/>
          <w:sz w:val="24"/>
          <w:rtl w:val="0"/>
        </w:rPr>
        <w:t>In our experiments, such source policies failed on every evaluated target; therefore, we recommend rejecting them before transfer.</w:t>
      </w:r>
    </w:p>
    <w:p w14:paraId="000005E1">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Researchers:</w:t>
      </w:r>
      <w:r>
        <w:rPr>
          <w:rFonts w:ascii="Times New Roman" w:hAnsi="Times New Roman" w:eastAsia="Times New Roman" w:cs="Google Sans"/>
          <w:color w:val="1F1F1F"/>
          <w:sz w:val="24"/>
          <w:rtl w:val="0"/>
        </w:rPr>
        <w:t xml:space="preserve"> Report action distributions, not just aggregate performance.</w:t>
      </w:r>
    </w:p>
    <w:p w14:paraId="000005E2">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t>Evaluation focus: Replace the question "Does the policy transfer?" with the more diagnostic question "Does the transferred policy retain contextual adaptation?"</w:t>
      </w:r>
    </w:p>
    <w:p w14:paraId="000005E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t>We contribute FCTT-DA, a falsifiable audit framework designed to reduce false transfer claims. The framework may be applicable beyond finance, subject to domain-specific validation, wherever learned policies are transferred across environments.</w:t>
      </w:r>
    </w:p>
    <w:p w14:paraId="000005E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JEL Classification</w:t>
      </w:r>
    </w:p>
    <w:p w14:paraId="000005E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G11 (Portfolio Choice); G12 (Asset Pricing); C44 (Statistical Decision Theory); C61 (Optimization Techniques)</w:t>
      </w:r>
    </w:p>
    <w:p w14:paraId="6846E847">
      <w:r>
        <w:rPr>
          <w:b/>
          <w:sz w:val="28"/>
        </w:rPr>
        <w:t>Declarations</w:t>
      </w:r>
    </w:p>
    <w:p w14:paraId="4342A098"/>
    <w:p w14:paraId="61065CF0">
      <w:r>
        <w:rPr>
          <w:b/>
          <w:sz w:val="24"/>
        </w:rPr>
        <w:t>Availability of data and material</w:t>
      </w:r>
    </w:p>
    <w:p w14:paraId="64B92168">
      <w:r>
        <w:t>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https://github.com/Skywalkerhm/FCTT-DA-Financial-Innovation</w:t>
      </w:r>
    </w:p>
    <w:p w14:paraId="286A5473"/>
    <w:p w14:paraId="17D708EA">
      <w:r>
        <w:rPr>
          <w:b/>
          <w:sz w:val="24"/>
        </w:rPr>
        <w:t>Competing interests</w:t>
      </w:r>
    </w:p>
    <w:p w14:paraId="76464385">
      <w:r>
        <w:t>The authors declare that they have no competing interests.</w:t>
      </w:r>
    </w:p>
    <w:p w14:paraId="138E9A7A"/>
    <w:p w14:paraId="449C5A81">
      <w:r>
        <w:rPr>
          <w:b/>
          <w:sz w:val="24"/>
        </w:rPr>
        <w:t>Funding</w:t>
      </w:r>
    </w:p>
    <w:p w14:paraId="4B50B12D">
      <w:r>
        <w:t>This research did not receive any specific grant from funding agencies in the public, commercial, or not-for-profit sectors.</w:t>
      </w:r>
    </w:p>
    <w:p w14:paraId="31BD56AD"/>
    <w:p w14:paraId="25B568FE">
      <w:r>
        <w:rPr>
          <w:b/>
          <w:sz w:val="24"/>
        </w:rPr>
        <w:t>Authors' contributions</w:t>
      </w:r>
    </w:p>
    <w:p w14:paraId="467105E1">
      <w:r>
        <w:t>MH conceived the study, developed the methodology, and wrote the manuscript. ML contributed to the theoretical framework and formal analysis. XL assisted with data collection and validation. All authors read and approved the final manuscript.</w:t>
      </w:r>
    </w:p>
    <w:p w14:paraId="7710EF5B"/>
    <w:p w14:paraId="285B8A3E">
      <w:r>
        <w:rPr>
          <w:b/>
          <w:sz w:val="24"/>
        </w:rPr>
        <w:t>Acknowledgments</w:t>
      </w:r>
    </w:p>
    <w:p w14:paraId="74CFF887">
      <w:r>
        <w:t>The author thanks the editor and anonymous reviewers for their valuable suggestions.</w:t>
      </w:r>
    </w:p>
    <w:p w14:paraId="23CEA24E">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Times New Roman" w:hAnsi="Times New Roman" w:eastAsia="Times New Roman" w:cs="Google Sans"/>
          <w:color w:val="1F1F1F"/>
          <w:sz w:val="24"/>
          <w:rtl w:val="0"/>
        </w:rPr>
      </w:pPr>
    </w:p>
    <w:p w14:paraId="000005E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bookmarkStart w:id="0" w:name="_GoBack"/>
      <w:bookmarkEnd w:id="0"/>
      <w:r>
        <w:rPr>
          <w:rFonts w:ascii="Times New Roman" w:hAnsi="Times New Roman" w:eastAsia="Times New Roman" w:cs="Google Sans"/>
          <w:color w:val="1F1F1F"/>
          <w:sz w:val="24"/>
          <w:rtl w:val="0"/>
        </w:rPr>
        <w:t>References</w:t>
      </w:r>
    </w:p>
    <w:p w14:paraId="000005E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color w:val="1F1F1F"/>
          <w:sz w:val="24"/>
          <w:rtl w:val="0"/>
        </w:rPr>
        <w:t xml:space="preserve">Araci, D. (2019). FinBERT: Financial sentiment analysis with pre-trained language models. </w:t>
      </w:r>
      <w:r>
        <w:rPr>
          <w:rFonts w:ascii="Times New Roman" w:hAnsi="Times New Roman" w:eastAsia="Times New Roman" w:cs="Google Sans"/>
          <w:i/>
          <w:iCs/>
          <w:color w:val="1F1F1F"/>
          <w:sz w:val="24"/>
          <w:rtl w:val="0"/>
        </w:rPr>
        <w:t>arXiv preprint arXiv:1908.10063</w:t>
      </w:r>
      <w:r>
        <w:rPr>
          <w:rFonts w:ascii="Times New Roman" w:hAnsi="Times New Roman" w:eastAsia="Times New Roman" w:cs="Google Sans"/>
          <w:color w:val="1F1F1F"/>
          <w:sz w:val="24"/>
          <w:rtl w:val="0"/>
        </w:rPr>
        <w:t>.</w:t>
      </w:r>
    </w:p>
    <w:p w14:paraId="000005E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Barocas, S., &amp; Selbst, A. D. (2016). Big data's disparate impact. </w:t>
      </w:r>
      <w:r>
        <w:rPr>
          <w:rFonts w:ascii="Times New Roman" w:hAnsi="Times New Roman" w:eastAsia="Times New Roman" w:cs="Google Sans"/>
          <w:i/>
          <w:iCs/>
          <w:color w:val="1F1F1F"/>
          <w:sz w:val="24"/>
          <w:rtl w:val="0"/>
        </w:rPr>
        <w:t>California Law Review</w:t>
      </w:r>
      <w:r>
        <w:rPr>
          <w:rFonts w:ascii="Times New Roman" w:hAnsi="Times New Roman" w:eastAsia="Times New Roman" w:cs="Google Sans"/>
          <w:color w:val="1F1F1F"/>
          <w:sz w:val="24"/>
          <w:rtl w:val="0"/>
        </w:rPr>
        <w:t>, 104, 671.</w:t>
      </w:r>
    </w:p>
    <w:p w14:paraId="000005E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Ben-Tal, A., El Ghaoui, L., &amp; Nemirovski, A. (2009). </w:t>
      </w:r>
      <w:r>
        <w:rPr>
          <w:rFonts w:ascii="Times New Roman" w:hAnsi="Times New Roman" w:eastAsia="Times New Roman" w:cs="Google Sans"/>
          <w:i/>
          <w:iCs/>
          <w:color w:val="1F1F1F"/>
          <w:sz w:val="24"/>
          <w:rtl w:val="0"/>
        </w:rPr>
        <w:t>Robust Optimization</w:t>
      </w:r>
      <w:r>
        <w:rPr>
          <w:rFonts w:ascii="Times New Roman" w:hAnsi="Times New Roman" w:eastAsia="Times New Roman" w:cs="Google Sans"/>
          <w:color w:val="1F1F1F"/>
          <w:sz w:val="24"/>
          <w:rtl w:val="0"/>
        </w:rPr>
        <w:t>. Princeton University Press.</w:t>
      </w:r>
    </w:p>
    <w:p w14:paraId="000005F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Chu, W., Li, L., Reyzin, L., &amp; Schapire, R. (2011). Contextual bandits with linear payoff functions. </w:t>
      </w:r>
      <w:r>
        <w:rPr>
          <w:rFonts w:ascii="Times New Roman" w:hAnsi="Times New Roman" w:eastAsia="Times New Roman" w:cs="Google Sans"/>
          <w:i/>
          <w:iCs/>
          <w:color w:val="1F1F1F"/>
          <w:sz w:val="24"/>
          <w:rtl w:val="0"/>
        </w:rPr>
        <w:t>AISTATS</w:t>
      </w:r>
      <w:r>
        <w:rPr>
          <w:rFonts w:ascii="Times New Roman" w:hAnsi="Times New Roman" w:eastAsia="Times New Roman" w:cs="Google Sans"/>
          <w:color w:val="1F1F1F"/>
          <w:sz w:val="24"/>
          <w:rtl w:val="0"/>
        </w:rPr>
        <w:t>, 208–214.</w:t>
      </w:r>
    </w:p>
    <w:p w14:paraId="000005F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Coqueret, G., &amp; Guida, T. (2023). </w:t>
      </w:r>
      <w:r>
        <w:rPr>
          <w:rFonts w:ascii="Times New Roman" w:hAnsi="Times New Roman" w:eastAsia="Times New Roman" w:cs="Google Sans"/>
          <w:i/>
          <w:iCs/>
          <w:color w:val="1F1F1F"/>
          <w:sz w:val="24"/>
          <w:rtl w:val="0"/>
        </w:rPr>
        <w:t>Machine Learning for Factor Investing</w:t>
      </w:r>
      <w:r>
        <w:rPr>
          <w:rFonts w:ascii="Times New Roman" w:hAnsi="Times New Roman" w:eastAsia="Times New Roman" w:cs="Google Sans"/>
          <w:color w:val="1F1F1F"/>
          <w:sz w:val="24"/>
          <w:rtl w:val="0"/>
        </w:rPr>
        <w:t>. Chapman &amp; Hall. https://doi.org/10.1201/9781003046509</w:t>
      </w:r>
    </w:p>
    <w:p w14:paraId="000005F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Dixon, M., Halperin, I., &amp; Bilokon, P. (2020). </w:t>
      </w:r>
      <w:r>
        <w:rPr>
          <w:rFonts w:ascii="Times New Roman" w:hAnsi="Times New Roman" w:eastAsia="Times New Roman" w:cs="Google Sans"/>
          <w:i/>
          <w:iCs/>
          <w:color w:val="1F1F1F"/>
          <w:sz w:val="24"/>
          <w:rtl w:val="0"/>
        </w:rPr>
        <w:t>Machine Learning in Finance: From Theory to Practice</w:t>
      </w:r>
      <w:r>
        <w:rPr>
          <w:rFonts w:ascii="Times New Roman" w:hAnsi="Times New Roman" w:eastAsia="Times New Roman" w:cs="Google Sans"/>
          <w:color w:val="1F1F1F"/>
          <w:sz w:val="24"/>
          <w:rtl w:val="0"/>
        </w:rPr>
        <w:t>. Springer. https://doi.org/10.1007/978-3-030-41068-1</w:t>
      </w:r>
    </w:p>
    <w:p w14:paraId="000005F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Doshi-Velez, F., &amp; Kim, B. (2017). Towards a rigorous science of interpretable machine learning. </w:t>
      </w:r>
      <w:r>
        <w:rPr>
          <w:rFonts w:ascii="Times New Roman" w:hAnsi="Times New Roman" w:eastAsia="Times New Roman" w:cs="Google Sans"/>
          <w:i/>
          <w:iCs/>
          <w:color w:val="1F1F1F"/>
          <w:sz w:val="24"/>
          <w:rtl w:val="0"/>
        </w:rPr>
        <w:t>arXiv preprint arXiv:1702.08608</w:t>
      </w:r>
      <w:r>
        <w:rPr>
          <w:rFonts w:ascii="Times New Roman" w:hAnsi="Times New Roman" w:eastAsia="Times New Roman" w:cs="Google Sans"/>
          <w:color w:val="1F1F1F"/>
          <w:sz w:val="24"/>
          <w:rtl w:val="0"/>
        </w:rPr>
        <w:t>.</w:t>
      </w:r>
    </w:p>
    <w:p w14:paraId="000005F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Fama, E. F., &amp; French, K. R. (1993). Common risk factors in the returns on stocks and bonds.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33(1), 3–56. https://doi.org/10.1016/0304-405X(93)90023-5</w:t>
      </w:r>
    </w:p>
    <w:p w14:paraId="000005F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Federal Reserve. (2011). Supervisory Guidance on Model Risk Management. </w:t>
      </w:r>
      <w:r>
        <w:rPr>
          <w:rFonts w:ascii="Times New Roman" w:hAnsi="Times New Roman" w:eastAsia="Times New Roman" w:cs="Google Sans"/>
          <w:i/>
          <w:iCs/>
          <w:color w:val="1F1F1F"/>
          <w:sz w:val="24"/>
          <w:rtl w:val="0"/>
        </w:rPr>
        <w:t>Supervisory Letter SR 11-7</w:t>
      </w:r>
      <w:r>
        <w:rPr>
          <w:rFonts w:ascii="Times New Roman" w:hAnsi="Times New Roman" w:eastAsia="Times New Roman" w:cs="Google Sans"/>
          <w:color w:val="1F1F1F"/>
          <w:sz w:val="24"/>
          <w:rtl w:val="0"/>
        </w:rPr>
        <w:t>.</w:t>
      </w:r>
    </w:p>
    <w:p w14:paraId="000005F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Feng, G., He, J., &amp; Polson, N. G. (2020). Deep learning for predicting asset returns. </w:t>
      </w:r>
      <w:r>
        <w:rPr>
          <w:rFonts w:ascii="Times New Roman" w:hAnsi="Times New Roman" w:eastAsia="Times New Roman" w:cs="Google Sans"/>
          <w:i/>
          <w:iCs/>
          <w:color w:val="1F1F1F"/>
          <w:sz w:val="24"/>
          <w:rtl w:val="0"/>
        </w:rPr>
        <w:t>Journal of Applied Econometrics</w:t>
      </w:r>
      <w:r>
        <w:rPr>
          <w:rFonts w:ascii="Times New Roman" w:hAnsi="Times New Roman" w:eastAsia="Times New Roman" w:cs="Google Sans"/>
          <w:color w:val="1F1F1F"/>
          <w:sz w:val="24"/>
          <w:rtl w:val="0"/>
        </w:rPr>
        <w:t>, 35(2), 127–148.</w:t>
      </w:r>
    </w:p>
    <w:p w14:paraId="000005F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 S., Kelly, B., &amp; Xiu, D. (2020). Empirical asset pricing via machine learning.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33(5), 2223–2273. https://doi.org/10.1093/rfs/hhaa009</w:t>
      </w:r>
    </w:p>
    <w:p w14:paraId="000005F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Guidotti, R., et al. (2018). A survey of methods for explaining black box models. </w:t>
      </w:r>
      <w:r>
        <w:rPr>
          <w:rFonts w:ascii="Times New Roman" w:hAnsi="Times New Roman" w:eastAsia="Times New Roman" w:cs="Google Sans"/>
          <w:i/>
          <w:iCs/>
          <w:color w:val="1F1F1F"/>
          <w:sz w:val="24"/>
          <w:rtl w:val="0"/>
        </w:rPr>
        <w:t>ACM Computing Surveys</w:t>
      </w:r>
      <w:r>
        <w:rPr>
          <w:rFonts w:ascii="Times New Roman" w:hAnsi="Times New Roman" w:eastAsia="Times New Roman" w:cs="Google Sans"/>
          <w:color w:val="1F1F1F"/>
          <w:sz w:val="24"/>
          <w:rtl w:val="0"/>
        </w:rPr>
        <w:t>, 51(5), 1–42.</w:t>
      </w:r>
    </w:p>
    <w:p w14:paraId="000005F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Harvey, C. R., Liu, Y., &amp; Zhu, H. (2016). ...and the cross-section of expected returns.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29(1), 5–68. https://doi.org/10.1093/rfs/hhv059</w:t>
      </w:r>
    </w:p>
    <w:p w14:paraId="000005F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Jansen, S. (2020). </w:t>
      </w:r>
      <w:r>
        <w:rPr>
          <w:rFonts w:ascii="Times New Roman" w:hAnsi="Times New Roman" w:eastAsia="Times New Roman" w:cs="Google Sans"/>
          <w:i/>
          <w:iCs/>
          <w:color w:val="1F1F1F"/>
          <w:sz w:val="24"/>
          <w:rtl w:val="0"/>
        </w:rPr>
        <w:t>Machine Learning for Algorithmic Trading</w:t>
      </w:r>
      <w:r>
        <w:rPr>
          <w:rFonts w:ascii="Times New Roman" w:hAnsi="Times New Roman" w:eastAsia="Times New Roman" w:cs="Google Sans"/>
          <w:color w:val="1F1F1F"/>
          <w:sz w:val="24"/>
          <w:rtl w:val="0"/>
        </w:rPr>
        <w:t>. Packt Publishing.</w:t>
      </w:r>
    </w:p>
    <w:p w14:paraId="000005F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Kelly, B. T., Pruitt, S., &amp; Su, Y. (2019). Characteristics are covariances: A unified model of risk and return.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134(3), 501–540.</w:t>
      </w:r>
    </w:p>
    <w:p w14:paraId="000005F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Leippold, M., Wang, Q., &amp; Zhou, W. (2022). Machine learning in the Chinese stock market.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145(2), 64–82. https://doi.org/10.1016/j.jfineco.2022.02.005</w:t>
      </w:r>
    </w:p>
    <w:p w14:paraId="000005F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Li, L., Chu, W., Langford, J., &amp; Schapire, R. E. (2010). A contextual-bandit approach to personalized news article recommendation. </w:t>
      </w:r>
      <w:r>
        <w:rPr>
          <w:rFonts w:ascii="Times New Roman" w:hAnsi="Times New Roman" w:eastAsia="Times New Roman" w:cs="Google Sans"/>
          <w:i/>
          <w:iCs/>
          <w:color w:val="1F1F1F"/>
          <w:sz w:val="24"/>
          <w:rtl w:val="0"/>
        </w:rPr>
        <w:t>WWW</w:t>
      </w:r>
      <w:r>
        <w:rPr>
          <w:rFonts w:ascii="Times New Roman" w:hAnsi="Times New Roman" w:eastAsia="Times New Roman" w:cs="Google Sans"/>
          <w:color w:val="1F1F1F"/>
          <w:sz w:val="24"/>
          <w:rtl w:val="0"/>
        </w:rPr>
        <w:t>, 661–670.</w:t>
      </w:r>
    </w:p>
    <w:p w14:paraId="000005F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López de Prado, M. (2018). </w:t>
      </w:r>
      <w:r>
        <w:rPr>
          <w:rFonts w:ascii="Times New Roman" w:hAnsi="Times New Roman" w:eastAsia="Times New Roman" w:cs="Google Sans"/>
          <w:i/>
          <w:iCs/>
          <w:color w:val="1F1F1F"/>
          <w:sz w:val="24"/>
          <w:rtl w:val="0"/>
        </w:rPr>
        <w:t>Advances in Financial Machine Learning</w:t>
      </w:r>
      <w:r>
        <w:rPr>
          <w:rFonts w:ascii="Times New Roman" w:hAnsi="Times New Roman" w:eastAsia="Times New Roman" w:cs="Google Sans"/>
          <w:color w:val="1F1F1F"/>
          <w:sz w:val="24"/>
          <w:rtl w:val="0"/>
        </w:rPr>
        <w:t>. Wiley. https://doi.org/10.1002/9781119482086</w:t>
      </w:r>
    </w:p>
    <w:p w14:paraId="000005F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Lundberg, S. M., &amp; Lee, S.-I. (2017). A unified approach to interpreting model predictions.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McLean, R. D., &amp; Pontiff, J. (2016). Does academic research destroy stock return predictability? </w:t>
      </w:r>
      <w:r>
        <w:rPr>
          <w:rFonts w:ascii="Times New Roman" w:hAnsi="Times New Roman" w:eastAsia="Times New Roman" w:cs="Google Sans"/>
          <w:i/>
          <w:iCs/>
          <w:color w:val="1F1F1F"/>
          <w:sz w:val="24"/>
          <w:rtl w:val="0"/>
        </w:rPr>
        <w:t>Journal of Finance</w:t>
      </w:r>
      <w:r>
        <w:rPr>
          <w:rFonts w:ascii="Times New Roman" w:hAnsi="Times New Roman" w:eastAsia="Times New Roman" w:cs="Google Sans"/>
          <w:color w:val="1F1F1F"/>
          <w:sz w:val="24"/>
          <w:rtl w:val="0"/>
        </w:rPr>
        <w:t>, 71(1), 5–32. https://doi.org/10.1111/jofi.12365</w:t>
      </w:r>
    </w:p>
    <w:p w14:paraId="0000060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Moreno-Torres, J. G., et al. (2012). A unifying view on dataset shift in classification. </w:t>
      </w:r>
      <w:r>
        <w:rPr>
          <w:rFonts w:ascii="Times New Roman" w:hAnsi="Times New Roman" w:eastAsia="Times New Roman" w:cs="Google Sans"/>
          <w:i/>
          <w:iCs/>
          <w:color w:val="1F1F1F"/>
          <w:sz w:val="24"/>
          <w:rtl w:val="0"/>
        </w:rPr>
        <w:t>Pattern Recognition</w:t>
      </w:r>
      <w:r>
        <w:rPr>
          <w:rFonts w:ascii="Times New Roman" w:hAnsi="Times New Roman" w:eastAsia="Times New Roman" w:cs="Google Sans"/>
          <w:color w:val="1F1F1F"/>
          <w:sz w:val="24"/>
          <w:rtl w:val="0"/>
        </w:rPr>
        <w:t>, 45(1), 521–530.</w:t>
      </w:r>
    </w:p>
    <w:p w14:paraId="0000060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Nevmyvaka, Y., Feng, Y., &amp; Kearns, M. (2006). Reinforcement learning for optimized trade execution.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673–680.</w:t>
      </w:r>
    </w:p>
    <w:p w14:paraId="0000060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Niculescu-Mizil, A., &amp; Caruana, R. (2005). Predicting good probabilities with supervised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625–632.</w:t>
      </w:r>
    </w:p>
    <w:p w14:paraId="0000060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Pinto, L., et al. (2017). Robust adversarial reinforcement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2817–2826.</w:t>
      </w:r>
    </w:p>
    <w:p w14:paraId="0000060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Politis, D. N., &amp; Romano, J. P. (1994). The stationary bootstrap. </w:t>
      </w:r>
      <w:r>
        <w:rPr>
          <w:rFonts w:ascii="Times New Roman" w:hAnsi="Times New Roman" w:eastAsia="Times New Roman" w:cs="Google Sans"/>
          <w:i/>
          <w:iCs/>
          <w:color w:val="1F1F1F"/>
          <w:sz w:val="24"/>
          <w:rtl w:val="0"/>
        </w:rPr>
        <w:t>JASA</w:t>
      </w:r>
      <w:r>
        <w:rPr>
          <w:rFonts w:ascii="Times New Roman" w:hAnsi="Times New Roman" w:eastAsia="Times New Roman" w:cs="Google Sans"/>
          <w:color w:val="1F1F1F"/>
          <w:sz w:val="24"/>
          <w:rtl w:val="0"/>
        </w:rPr>
        <w:t>, 89(428), 1303–1313. https://doi.org/10.1080/01621459.1994.10476870</w:t>
      </w:r>
    </w:p>
    <w:p w14:paraId="0000060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Quiñonero-Candela, J., et al. (2009). </w:t>
      </w:r>
      <w:r>
        <w:rPr>
          <w:rFonts w:ascii="Times New Roman" w:hAnsi="Times New Roman" w:eastAsia="Times New Roman" w:cs="Google Sans"/>
          <w:i/>
          <w:iCs/>
          <w:color w:val="1F1F1F"/>
          <w:sz w:val="24"/>
          <w:rtl w:val="0"/>
        </w:rPr>
        <w:t>Dataset Shift in Machine Learning</w:t>
      </w:r>
      <w:r>
        <w:rPr>
          <w:rFonts w:ascii="Times New Roman" w:hAnsi="Times New Roman" w:eastAsia="Times New Roman" w:cs="Google Sans"/>
          <w:color w:val="1F1F1F"/>
          <w:sz w:val="24"/>
          <w:rtl w:val="0"/>
        </w:rPr>
        <w:t>. MIT Press.</w:t>
      </w:r>
    </w:p>
    <w:p w14:paraId="0000060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Ribeiro, M. T., Singh, S., &amp; Guestrin, C. (2016). "Why should I trust you?": Explaining the predictions of any classifier. </w:t>
      </w:r>
      <w:r>
        <w:rPr>
          <w:rFonts w:ascii="Times New Roman" w:hAnsi="Times New Roman" w:eastAsia="Times New Roman" w:cs="Google Sans"/>
          <w:i/>
          <w:iCs/>
          <w:color w:val="1F1F1F"/>
          <w:sz w:val="24"/>
          <w:rtl w:val="0"/>
        </w:rPr>
        <w:t>KDD</w:t>
      </w:r>
      <w:r>
        <w:rPr>
          <w:rFonts w:ascii="Times New Roman" w:hAnsi="Times New Roman" w:eastAsia="Times New Roman" w:cs="Google Sans"/>
          <w:color w:val="1F1F1F"/>
          <w:sz w:val="24"/>
          <w:rtl w:val="0"/>
        </w:rPr>
        <w:t>, 1135–1144.</w:t>
      </w:r>
    </w:p>
    <w:p w14:paraId="0000060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Sezer, O. B., Gudelek, M. U., &amp; Ozbayoglu, A. M. (2020). Financial time series forecasting with deep learning: A systematic review: 2005–2019. </w:t>
      </w:r>
      <w:r>
        <w:rPr>
          <w:rFonts w:ascii="Times New Roman" w:hAnsi="Times New Roman" w:eastAsia="Times New Roman" w:cs="Google Sans"/>
          <w:i/>
          <w:iCs/>
          <w:color w:val="1F1F1F"/>
          <w:sz w:val="24"/>
          <w:rtl w:val="0"/>
        </w:rPr>
        <w:t>Applied Soft Computing</w:t>
      </w:r>
      <w:r>
        <w:rPr>
          <w:rFonts w:ascii="Times New Roman" w:hAnsi="Times New Roman" w:eastAsia="Times New Roman" w:cs="Google Sans"/>
          <w:color w:val="1F1F1F"/>
          <w:sz w:val="24"/>
          <w:rtl w:val="0"/>
        </w:rPr>
        <w:t>, 90, 106181.</w:t>
      </w:r>
    </w:p>
    <w:p w14:paraId="0000060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Shen, W., Wang, J., Jiang, Y.-G., &amp; Zha, H. (2015). Portfolio choices with orthogonal bandit learning. </w:t>
      </w:r>
      <w:r>
        <w:rPr>
          <w:rFonts w:ascii="Times New Roman" w:hAnsi="Times New Roman" w:eastAsia="Times New Roman" w:cs="Google Sans"/>
          <w:i/>
          <w:iCs/>
          <w:color w:val="1F1F1F"/>
          <w:sz w:val="24"/>
          <w:rtl w:val="0"/>
        </w:rPr>
        <w:t>IJCAI</w:t>
      </w:r>
      <w:r>
        <w:rPr>
          <w:rFonts w:ascii="Times New Roman" w:hAnsi="Times New Roman" w:eastAsia="Times New Roman" w:cs="Google Sans"/>
          <w:color w:val="1F1F1F"/>
          <w:sz w:val="24"/>
          <w:rtl w:val="0"/>
        </w:rPr>
        <w:t>, 974–980.</w:t>
      </w:r>
    </w:p>
    <w:p w14:paraId="0000060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Tobin, J., et al. (2017). Domain randomization for transferring deep neural networks from simulation to the real world. </w:t>
      </w:r>
      <w:r>
        <w:rPr>
          <w:rFonts w:ascii="Times New Roman" w:hAnsi="Times New Roman" w:eastAsia="Times New Roman" w:cs="Google Sans"/>
          <w:i/>
          <w:iCs/>
          <w:color w:val="1F1F1F"/>
          <w:sz w:val="24"/>
          <w:rtl w:val="0"/>
        </w:rPr>
        <w:t>IROS</w:t>
      </w:r>
      <w:r>
        <w:rPr>
          <w:rFonts w:ascii="Times New Roman" w:hAnsi="Times New Roman" w:eastAsia="Times New Roman" w:cs="Google Sans"/>
          <w:color w:val="1F1F1F"/>
          <w:sz w:val="24"/>
          <w:rtl w:val="0"/>
        </w:rPr>
        <w:t>, 23–30.</w:t>
      </w:r>
    </w:p>
    <w:p w14:paraId="0000060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Vaswani, A., et al. (2017). Attention is all you need.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Vinyals, O., et al. (2019). Grandmaster level in StarCraft II using multi-agent reinforcement learning. </w:t>
      </w:r>
      <w:r>
        <w:rPr>
          <w:rFonts w:ascii="Times New Roman" w:hAnsi="Times New Roman" w:eastAsia="Times New Roman" w:cs="Google Sans"/>
          <w:i/>
          <w:iCs/>
          <w:color w:val="1F1F1F"/>
          <w:sz w:val="24"/>
          <w:rtl w:val="0"/>
        </w:rPr>
        <w:t>Nature</w:t>
      </w:r>
      <w:r>
        <w:rPr>
          <w:rFonts w:ascii="Times New Roman" w:hAnsi="Times New Roman" w:eastAsia="Times New Roman" w:cs="Google Sans"/>
          <w:color w:val="1F1F1F"/>
          <w:sz w:val="24"/>
          <w:rtl w:val="0"/>
        </w:rPr>
        <w:t>, 575(7782), 350–354.</w:t>
      </w:r>
    </w:p>
    <w:p w14:paraId="0000060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color w:val="1F1F1F"/>
          <w:sz w:val="24"/>
          <w:rtl w:val="0"/>
        </w:rPr>
        <w:t xml:space="preserve">Zhang, K., et al. (2020). Contextual Thompson sampling with kernelized features. </w:t>
      </w:r>
      <w:r>
        <w:rPr>
          <w:rFonts w:ascii="Times New Roman" w:hAnsi="Times New Roman" w:eastAsia="Times New Roman" w:cs="Google Sans"/>
          <w:i/>
          <w:iCs/>
          <w:color w:val="1F1F1F"/>
          <w:sz w:val="24"/>
          <w:rtl w:val="0"/>
        </w:rPr>
        <w:t>arXiv preprint arXiv:2007.02132</w:t>
      </w:r>
      <w:r>
        <w:rPr>
          <w:rFonts w:ascii="Times New Roman" w:hAnsi="Times New Roman" w:eastAsia="Times New Roman" w:cs="Google Sans"/>
          <w:color w:val="1F1F1F"/>
          <w:sz w:val="24"/>
          <w:rtl w:val="0"/>
        </w:rPr>
        <w:t>.</w:t>
      </w:r>
    </w:p>
    <w:p w14:paraId="0000060E">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A: FCTT-DA Pseudocode</w:t>
      </w:r>
    </w:p>
    <w:p w14:paraId="0000060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complete pseudocode details for implementing the FCTT-DA audit engines.</w:t>
      </w:r>
    </w:p>
    <w:p w14:paraId="0000061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A.1 Source Diversity Audit</w:t>
      </w:r>
    </w:p>
    <w:p w14:paraId="00000611">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rPr>
        <w:t>def SourceDiversityAudit(source_data, thresholds, alpha, gamma_modal=0.90, gamma_entropy=0.25):</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INPUT:  source_data, thresholds, alpha, gamma_modal=0.90, gamma_entropy=0.25</w:t>
      </w:r>
      <w:r>
        <w:rPr>
          <w:rFonts w:ascii="Times New Roman" w:hAnsi="Times New Roman"/>
        </w:rPr>
        <w:br w:type="textWrapping"/>
      </w:r>
      <w:r>
        <w:rPr>
          <w:rFonts w:ascii="Times New Roman" w:hAnsi="Times New Roman"/>
        </w:rPr>
        <w:t xml:space="preserve">    OUTPUT: {bandit_state, is_degenerate, diagnostics}</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1. Feature Extraction &amp; Prediction</w:t>
      </w:r>
      <w:r>
        <w:rPr>
          <w:rFonts w:ascii="Times New Roman" w:hAnsi="Times New Roman"/>
        </w:rPr>
        <w:br w:type="textWrapping"/>
      </w:r>
      <w:r>
        <w:rPr>
          <w:rFonts w:ascii="Times New Roman" w:hAnsi="Times New Roman"/>
        </w:rPr>
        <w:t xml:space="preserve">    features = ComputeFeatures(source_data)</w:t>
      </w:r>
      <w:r>
        <w:rPr>
          <w:rFonts w:ascii="Times New Roman" w:hAnsi="Times New Roman"/>
        </w:rPr>
        <w:br w:type="textWrapping"/>
      </w:r>
      <w:r>
        <w:rPr>
          <w:rFonts w:ascii="Times New Roman" w:hAnsi="Times New Roman"/>
        </w:rPr>
        <w:t xml:space="preserve">    pred = WalkForwardGBT(features, train=504, test=63, step=63)</w:t>
      </w:r>
      <w:r>
        <w:rPr>
          <w:rFonts w:ascii="Times New Roman" w:hAnsi="Times New Roman"/>
        </w:rPr>
        <w:br w:type="textWrapping"/>
      </w:r>
      <w:r>
        <w:rPr>
          <w:rFonts w:ascii="Times New Roman" w:hAnsi="Times New Roman"/>
        </w:rPr>
        <w:t xml:space="preserve">    ctx = ComputeContexts(source_data)  # returns [Empirical Mode Decomposition (EMD), vol_rank, trend]</w:t>
      </w:r>
      <w:r>
        <w:rPr>
          <w:rFonts w:ascii="Times New Roman" w:hAnsi="Times New Roman"/>
        </w:rPr>
        <w:br w:type="textWrapping"/>
      </w:r>
      <w:r>
        <w:rPr>
          <w:rFonts w:ascii="Times New Roman" w:hAnsi="Times New Roman"/>
        </w:rPr>
        <w:t xml:space="preserve">    returns = source_data['returns']</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2. Online Bandit Training</w:t>
      </w:r>
      <w:r>
        <w:rPr>
          <w:rFonts w:ascii="Times New Roman" w:hAnsi="Times New Roman"/>
        </w:rPr>
        <w:br w:type="textWrapping"/>
      </w:r>
      <w:r>
        <w:rPr>
          <w:rFonts w:ascii="Times New Roman" w:hAnsi="Times New Roman"/>
        </w:rPr>
        <w:t xml:space="preserve">    K = len(thresholds)</w:t>
      </w:r>
      <w:r>
        <w:rPr>
          <w:rFonts w:ascii="Times New Roman" w:hAnsi="Times New Roman"/>
        </w:rPr>
        <w:br w:type="textWrapping"/>
      </w:r>
      <w:r>
        <w:rPr>
          <w:rFonts w:ascii="Times New Roman" w:hAnsi="Times New Roman"/>
        </w:rPr>
        <w:t xml:space="preserve">    bandit = LinUCB(K=K, d=3, alpha=alpha)</w:t>
      </w:r>
      <w:r>
        <w:rPr>
          <w:rFonts w:ascii="Times New Roman" w:hAnsi="Times New Roman"/>
        </w:rPr>
        <w:br w:type="textWrapping"/>
      </w:r>
      <w:r>
        <w:rPr>
          <w:rFonts w:ascii="Times New Roman" w:hAnsi="Times New Roman"/>
        </w:rPr>
        <w:t xml:space="preserve">    actions = []</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for t in range(len(ctx)):</w:t>
      </w:r>
      <w:r>
        <w:rPr>
          <w:rFonts w:ascii="Times New Roman" w:hAnsi="Times New Roman"/>
        </w:rPr>
        <w:br w:type="textWrapping"/>
      </w:r>
      <w:r>
        <w:rPr>
          <w:rFonts w:ascii="Times New Roman" w:hAnsi="Times New Roman"/>
        </w:rPr>
        <w:t xml:space="preserve">        a = bandit.select_action(ctx[t])</w:t>
      </w:r>
      <w:r>
        <w:rPr>
          <w:rFonts w:ascii="Times New Roman" w:hAnsi="Times New Roman"/>
        </w:rPr>
        <w:br w:type="textWrapping"/>
      </w:r>
      <w:r>
        <w:rPr>
          <w:rFonts w:ascii="Times New Roman" w:hAnsi="Times New Roman"/>
        </w:rPr>
        <w:t xml:space="preserve">        signal = 1 if pred[t] &gt;= thresholds[a] else 0</w:t>
      </w:r>
      <w:r>
        <w:rPr>
          <w:rFonts w:ascii="Times New Roman" w:hAnsi="Times New Roman"/>
        </w:rPr>
        <w:br w:type="textWrapping"/>
      </w:r>
      <w:r>
        <w:rPr>
          <w:rFonts w:ascii="Times New Roman" w:hAnsi="Times New Roman"/>
        </w:rPr>
        <w:t xml:space="preserve">        reward = signal * returns[t+1]</w:t>
      </w:r>
      <w:r>
        <w:rPr>
          <w:rFonts w:ascii="Times New Roman" w:hAnsi="Times New Roman"/>
        </w:rPr>
        <w:br w:type="textWrapping"/>
      </w:r>
      <w:r>
        <w:rPr>
          <w:rFonts w:ascii="Times New Roman" w:hAnsi="Times New Roman"/>
        </w:rPr>
        <w:t xml:space="preserve">        bandit.update(a, ctx[t], reward)</w:t>
      </w:r>
      <w:r>
        <w:rPr>
          <w:rFonts w:ascii="Times New Roman" w:hAnsi="Times New Roman"/>
        </w:rPr>
        <w:br w:type="textWrapping"/>
      </w:r>
      <w:r>
        <w:rPr>
          <w:rFonts w:ascii="Times New Roman" w:hAnsi="Times New Roman"/>
        </w:rPr>
        <w:t xml:space="preserve">        actions.append(a)</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 3. Post-Training Diagnostics</w:t>
      </w:r>
      <w:r>
        <w:rPr>
          <w:rFonts w:ascii="Times New Roman" w:hAnsi="Times New Roman"/>
        </w:rPr>
        <w:br w:type="textWrapping"/>
      </w:r>
      <w:r>
        <w:rPr>
          <w:rFonts w:ascii="Times New Roman" w:hAnsi="Times New Roman"/>
        </w:rPr>
        <w:t xml:space="preserve">    action_freq = ComputeHistogram(actions, bins=K) / len(actions)</w:t>
      </w:r>
      <w:r>
        <w:rPr>
          <w:rFonts w:ascii="Times New Roman" w:hAnsi="Times New Roman"/>
        </w:rPr>
        <w:br w:type="textWrapping"/>
      </w:r>
      <w:r>
        <w:rPr>
          <w:rFonts w:ascii="Times New Roman" w:hAnsi="Times New Roman"/>
        </w:rPr>
        <w:t xml:space="preserve">    modal_share = max(action_freq)</w:t>
      </w:r>
      <w:r>
        <w:rPr>
          <w:rFonts w:ascii="Times New Roman" w:hAnsi="Times New Roman"/>
        </w:rPr>
        <w:br w:type="textWrapping"/>
      </w:r>
      <w:r>
        <w:rPr>
          <w:rFonts w:ascii="Times New Roman" w:hAnsi="Times New Roman"/>
        </w:rPr>
        <w:t xml:space="preserve">    entropy = -sum(p * log(p) for p in action_freq if p &gt; 0)</w:t>
      </w:r>
      <w:r>
        <w:rPr>
          <w:rFonts w:ascii="Times New Roman" w:hAnsi="Times New Roman"/>
        </w:rPr>
        <w:br w:type="textWrapping"/>
      </w:r>
      <w:r>
        <w:rPr>
          <w:rFonts w:ascii="Times New Roman" w:hAnsi="Times New Roman"/>
        </w:rPr>
        <w:t xml:space="preserve">    norm_entropy = entropy / log(K)</w:t>
      </w:r>
      <w:r>
        <w:rPr>
          <w:rFonts w:ascii="Times New Roman" w:hAnsi="Times New Roman"/>
        </w:rPr>
        <w:br w:type="textWrapping"/>
      </w:r>
      <w:r>
        <w:rPr>
          <w:rFonts w:ascii="Times New Roman" w:hAnsi="Times New Roman"/>
        </w:rPr>
        <w:t xml:space="preserve">    effective_actions = exp(entropy)</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is_degenerate = (modal_share &gt;= gamma_modal) and (norm_entropy &lt;= gamma_entropy)</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return {</w:t>
      </w:r>
      <w:r>
        <w:rPr>
          <w:rFonts w:ascii="Times New Roman" w:hAnsi="Times New Roman"/>
        </w:rPr>
        <w:br w:type="textWrapping"/>
      </w:r>
      <w:r>
        <w:rPr>
          <w:rFonts w:ascii="Times New Roman" w:hAnsi="Times New Roman"/>
        </w:rPr>
        <w:t xml:space="preserve">        "bandit_state": bandit.get_state(),  # freeze A_k, b_k, alpha, and derived parameters for every action</w:t>
      </w:r>
      <w:r>
        <w:rPr>
          <w:rFonts w:ascii="Times New Roman" w:hAnsi="Times New Roman"/>
        </w:rPr>
        <w:br w:type="textWrapping"/>
      </w:r>
      <w:r>
        <w:rPr>
          <w:rFonts w:ascii="Times New Roman" w:hAnsi="Times New Roman"/>
        </w:rPr>
        <w:t xml:space="preserve">        "is_degenerate": is_degenerate,</w:t>
      </w:r>
      <w:r>
        <w:rPr>
          <w:rFonts w:ascii="Times New Roman" w:hAnsi="Times New Roman"/>
        </w:rPr>
        <w:br w:type="textWrapping"/>
      </w:r>
      <w:r>
        <w:rPr>
          <w:rFonts w:ascii="Times New Roman" w:hAnsi="Times New Roman"/>
        </w:rPr>
        <w:t xml:space="preserve">        "diagnostics": {</w:t>
      </w:r>
      <w:r>
        <w:rPr>
          <w:rFonts w:ascii="Times New Roman" w:hAnsi="Times New Roman"/>
        </w:rPr>
        <w:br w:type="textWrapping"/>
      </w:r>
      <w:r>
        <w:rPr>
          <w:rFonts w:ascii="Times New Roman" w:hAnsi="Times New Roman"/>
        </w:rPr>
        <w:t xml:space="preserve">            "modal_share": modal_share,</w:t>
      </w:r>
      <w:r>
        <w:rPr>
          <w:rFonts w:ascii="Times New Roman" w:hAnsi="Times New Roman"/>
        </w:rPr>
        <w:br w:type="textWrapping"/>
      </w:r>
      <w:r>
        <w:rPr>
          <w:rFonts w:ascii="Times New Roman" w:hAnsi="Times New Roman"/>
        </w:rPr>
        <w:t xml:space="preserve">            "norm_entropy": norm_entropy,</w:t>
      </w:r>
      <w:r>
        <w:rPr>
          <w:rFonts w:ascii="Times New Roman" w:hAnsi="Times New Roman"/>
        </w:rPr>
        <w:br w:type="textWrapping"/>
      </w:r>
      <w:r>
        <w:rPr>
          <w:rFonts w:ascii="Times New Roman" w:hAnsi="Times New Roman"/>
        </w:rPr>
        <w:t xml:space="preserve">            "effective_actions": effective_actions,</w:t>
      </w:r>
      <w:r>
        <w:rPr>
          <w:rFonts w:ascii="Times New Roman" w:hAnsi="Times New Roman"/>
        </w:rPr>
        <w:br w:type="textWrapping"/>
      </w:r>
      <w:r>
        <w:rPr>
          <w:rFonts w:ascii="Times New Roman" w:hAnsi="Times New Roman"/>
        </w:rPr>
        <w:t xml:space="preserve">            "action_freq": action_freq</w:t>
      </w:r>
      <w:r>
        <w:rPr>
          <w:rFonts w:ascii="Times New Roman" w:hAnsi="Times New Roman"/>
        </w:rPr>
        <w:br w:type="textWrapping"/>
      </w:r>
      <w:r>
        <w:rPr>
          <w:rFonts w:ascii="Times New Roman" w:hAnsi="Times New Roman"/>
        </w:rPr>
        <w:t xml:space="preserve">        }</w:t>
      </w:r>
      <w:r>
        <w:rPr>
          <w:rFonts w:ascii="Times New Roman" w:hAnsi="Times New Roman"/>
        </w:rPr>
        <w:br w:type="textWrapping"/>
      </w:r>
      <w:r>
        <w:rPr>
          <w:rFonts w:ascii="Times New Roman" w:hAnsi="Times New Roman"/>
        </w:rPr>
        <w:t xml:space="preserve">    }</w:t>
      </w:r>
      <w:r>
        <w:rPr>
          <w:rFonts w:ascii="Times New Roman" w:hAnsi="Times New Roman"/>
        </w:rPr>
        <w:br w:type="textWrapping"/>
      </w:r>
    </w:p>
    <w:p w14:paraId="0000061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A.2 Target Transfer with Degeneracy Audit</w:t>
      </w:r>
    </w:p>
    <w:p w14:paraId="00000613">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sz w:val="24"/>
        </w:rPr>
        <w:t>def TransferWithAudit(source_result, target_data, thresholds, cost_bps=10):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INPUT:  source_result, target_data, thresholds, cost_bps=10</w:t>
      </w:r>
      <w:r>
        <w:rPr>
          <w:rFonts w:ascii="Times New Roman" w:hAnsi="Times New Roman"/>
          <w:sz w:val="24"/>
        </w:rPr>
        <w:br w:type="textWrapping"/>
      </w:r>
      <w:r>
        <w:rPr>
          <w:rFonts w:ascii="Times New Roman" w:hAnsi="Times New Roman"/>
          <w:sz w:val="24"/>
        </w:rPr>
        <w:t xml:space="preserve">    OUTPUT: {signals, returns, audit_result}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1. Pre-deployment check</w:t>
      </w:r>
      <w:r>
        <w:rPr>
          <w:rFonts w:ascii="Times New Roman" w:hAnsi="Times New Roman"/>
          <w:sz w:val="24"/>
        </w:rPr>
        <w:br w:type="textWrapping"/>
      </w:r>
      <w:r>
        <w:rPr>
          <w:rFonts w:ascii="Times New Roman" w:hAnsi="Times New Roman"/>
          <w:sz w:val="24"/>
        </w:rPr>
        <w:t xml:space="preserve">    if source_result["is_degenerate"]:</w:t>
      </w:r>
      <w:r>
        <w:rPr>
          <w:rFonts w:ascii="Times New Roman" w:hAnsi="Times New Roman"/>
          <w:sz w:val="24"/>
        </w:rPr>
        <w:br w:type="textWrapping"/>
      </w:r>
      <w:r>
        <w:rPr>
          <w:rFonts w:ascii="Times New Roman" w:hAnsi="Times New Roman"/>
          <w:sz w:val="24"/>
        </w:rPr>
        <w:t xml:space="preserve">        print("WARNING: Source policy is degenerate. Transfer will likely collapse.")</w:t>
      </w:r>
      <w:r>
        <w:rPr>
          <w:rFonts w:ascii="Times New Roman" w:hAnsi="Times New Roman"/>
          <w:sz w:val="24"/>
        </w:rPr>
        <w:br w:type="textWrapping"/>
      </w:r>
      <w:r>
        <w:rPr>
          <w:rFonts w:ascii="Times New Roman" w:hAnsi="Times New Roman"/>
          <w:sz w:val="24"/>
        </w:rPr>
        <w:t xml:space="preserve">        # Quantitative managers may decide to reject or proceed with extreme caution.</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Restore the complete frozen source-side LinUCB state; no target-side updates are permitted.</w:t>
      </w:r>
      <w:r>
        <w:rPr>
          <w:rFonts w:ascii="Times New Roman" w:hAnsi="Times New Roman"/>
          <w:sz w:val="24"/>
        </w:rPr>
        <w:br w:type="textWrapping"/>
      </w:r>
      <w:r>
        <w:rPr>
          <w:rFonts w:ascii="Times New Roman" w:hAnsi="Times New Roman"/>
          <w:sz w:val="24"/>
        </w:rPr>
        <w:t xml:space="preserve">    frozen_bandit = LinUCB.from_state(source_result["bandit_state"])</w:t>
      </w:r>
      <w:r>
        <w:rPr>
          <w:rFonts w:ascii="Times New Roman" w:hAnsi="Times New Roman"/>
          <w:sz w:val="24"/>
        </w:rPr>
        <w:br w:type="textWrapping"/>
      </w:r>
      <w:r>
        <w:rPr>
          <w:rFonts w:ascii="Times New Roman" w:hAnsi="Times New Roman"/>
          <w:sz w:val="24"/>
        </w:rPr>
        <w:t xml:space="preserve">    target_features = ComputeFeatures(target_data)</w:t>
      </w:r>
      <w:r>
        <w:rPr>
          <w:rFonts w:ascii="Times New Roman" w:hAnsi="Times New Roman"/>
          <w:sz w:val="24"/>
        </w:rPr>
        <w:br w:type="textWrapping"/>
      </w:r>
      <w:r>
        <w:rPr>
          <w:rFonts w:ascii="Times New Roman" w:hAnsi="Times New Roman"/>
          <w:sz w:val="24"/>
        </w:rPr>
        <w:t xml:space="preserve">    target_pred = WalkForwardGBT(target_features, train=504, test=63, step=63)</w:t>
      </w:r>
      <w:r>
        <w:rPr>
          <w:rFonts w:ascii="Times New Roman" w:hAnsi="Times New Roman"/>
          <w:sz w:val="24"/>
        </w:rPr>
        <w:br w:type="textWrapping"/>
      </w:r>
      <w:r>
        <w:rPr>
          <w:rFonts w:ascii="Times New Roman" w:hAnsi="Times New Roman"/>
          <w:sz w:val="24"/>
        </w:rPr>
        <w:t xml:space="preserve">    target_ctx = ComputeContexts(target_data)</w:t>
      </w:r>
      <w:r>
        <w:rPr>
          <w:rFonts w:ascii="Times New Roman" w:hAnsi="Times New Roman"/>
          <w:sz w:val="24"/>
        </w:rPr>
        <w:br w:type="textWrapping"/>
      </w:r>
      <w:r>
        <w:rPr>
          <w:rFonts w:ascii="Times New Roman" w:hAnsi="Times New Roman"/>
          <w:sz w:val="24"/>
        </w:rPr>
        <w:t xml:space="preserve">    target_returns = target_data['returns']</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signals = []</w:t>
      </w:r>
      <w:r>
        <w:rPr>
          <w:rFonts w:ascii="Times New Roman" w:hAnsi="Times New Roman"/>
          <w:sz w:val="24"/>
        </w:rPr>
        <w:br w:type="textWrapping"/>
      </w:r>
      <w:r>
        <w:rPr>
          <w:rFonts w:ascii="Times New Roman" w:hAnsi="Times New Roman"/>
          <w:sz w:val="24"/>
        </w:rPr>
        <w:t xml:space="preserve">    returns_arr = []</w:t>
      </w:r>
      <w:r>
        <w:rPr>
          <w:rFonts w:ascii="Times New Roman" w:hAnsi="Times New Roman"/>
          <w:sz w:val="24"/>
        </w:rPr>
        <w:br w:type="textWrapping"/>
      </w:r>
      <w:r>
        <w:rPr>
          <w:rFonts w:ascii="Times New Roman" w:hAnsi="Times New Roman"/>
          <w:sz w:val="24"/>
        </w:rPr>
        <w:t xml:space="preserve">    actions = []</w:t>
      </w:r>
      <w:r>
        <w:rPr>
          <w:rFonts w:ascii="Times New Roman" w:hAnsi="Times New Roman"/>
          <w:sz w:val="24"/>
        </w:rPr>
        <w:br w:type="textWrapping"/>
      </w:r>
      <w:r>
        <w:rPr>
          <w:rFonts w:ascii="Times New Roman" w:hAnsi="Times New Roman"/>
          <w:sz w:val="24"/>
        </w:rPr>
        <w:t xml:space="preserve">    prev_signal =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2. Execution phase</w:t>
      </w:r>
      <w:r>
        <w:rPr>
          <w:rFonts w:ascii="Times New Roman" w:hAnsi="Times New Roman"/>
          <w:sz w:val="24"/>
        </w:rPr>
        <w:br w:type="textWrapping"/>
      </w:r>
      <w:r>
        <w:rPr>
          <w:rFonts w:ascii="Times New Roman" w:hAnsi="Times New Roman"/>
          <w:sz w:val="24"/>
        </w:rPr>
        <w:t xml:space="preserve">    for t in range(len(target_ctx)):</w:t>
      </w:r>
      <w:r>
        <w:rPr>
          <w:rFonts w:ascii="Times New Roman" w:hAnsi="Times New Roman"/>
          <w:sz w:val="24"/>
        </w:rPr>
        <w:br w:type="textWrapping"/>
      </w:r>
      <w:r>
        <w:rPr>
          <w:rFonts w:ascii="Times New Roman" w:hAnsi="Times New Roman"/>
          <w:sz w:val="24"/>
        </w:rPr>
        <w:t xml:space="preserve">        # Full frozen LinUCB scoring, including the source-trained exploration bonus.</w:t>
      </w:r>
      <w:r>
        <w:rPr>
          <w:rFonts w:ascii="Times New Roman" w:hAnsi="Times New Roman"/>
          <w:sz w:val="24"/>
        </w:rPr>
        <w:br w:type="textWrapping"/>
      </w:r>
      <w:r>
        <w:rPr>
          <w:rFonts w:ascii="Times New Roman" w:hAnsi="Times New Roman"/>
          <w:sz w:val="24"/>
        </w:rPr>
        <w:t xml:space="preserve">        # update=False enforces zero-shot transfer with no target-side learning.</w:t>
      </w:r>
      <w:r>
        <w:rPr>
          <w:rFonts w:ascii="Times New Roman" w:hAnsi="Times New Roman"/>
          <w:sz w:val="24"/>
        </w:rPr>
        <w:br w:type="textWrapping"/>
      </w:r>
      <w:r>
        <w:rPr>
          <w:rFonts w:ascii="Times New Roman" w:hAnsi="Times New Roman"/>
          <w:sz w:val="24"/>
        </w:rPr>
        <w:t xml:space="preserve">        a = frozen_bandit.select_action(target_ctx[t], update=False)</w:t>
      </w:r>
      <w:r>
        <w:rPr>
          <w:rFonts w:ascii="Times New Roman" w:hAnsi="Times New Roman"/>
          <w:sz w:val="24"/>
        </w:rPr>
        <w:br w:type="textWrapping"/>
      </w:r>
      <w:r>
        <w:rPr>
          <w:rFonts w:ascii="Times New Roman" w:hAnsi="Times New Roman"/>
          <w:sz w:val="24"/>
        </w:rPr>
        <w:t xml:space="preserve">        threshold = thresholds[a]</w:t>
      </w:r>
      <w:r>
        <w:rPr>
          <w:rFonts w:ascii="Times New Roman" w:hAnsi="Times New Roman"/>
          <w:sz w:val="24"/>
        </w:rPr>
        <w:br w:type="textWrapping"/>
      </w:r>
      <w:r>
        <w:rPr>
          <w:rFonts w:ascii="Times New Roman" w:hAnsi="Times New Roman"/>
          <w:sz w:val="24"/>
        </w:rPr>
        <w:t xml:space="preserve">        signal = 1 if target_pred[t] &gt;= threshold else 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Realized returns incorporating transaction frictions</w:t>
      </w:r>
      <w:r>
        <w:rPr>
          <w:rFonts w:ascii="Times New Roman" w:hAnsi="Times New Roman"/>
          <w:sz w:val="24"/>
        </w:rPr>
        <w:br w:type="textWrapping"/>
      </w:r>
      <w:r>
        <w:rPr>
          <w:rFonts w:ascii="Times New Roman" w:hAnsi="Times New Roman"/>
          <w:sz w:val="24"/>
        </w:rPr>
        <w:t xml:space="preserve">        ret = target_returns[t+1]</w:t>
      </w:r>
      <w:r>
        <w:rPr>
          <w:rFonts w:ascii="Times New Roman" w:hAnsi="Times New Roman"/>
          <w:sz w:val="24"/>
        </w:rPr>
        <w:br w:type="textWrapping"/>
      </w:r>
      <w:r>
        <w:rPr>
          <w:rFonts w:ascii="Times New Roman" w:hAnsi="Times New Roman"/>
          <w:sz w:val="24"/>
        </w:rPr>
        <w:t xml:space="preserve">        net_ret = signal * ret - abs(signal - prev_signal) * (cost_bps / 10000.0)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signals.append(signal)</w:t>
      </w:r>
      <w:r>
        <w:rPr>
          <w:rFonts w:ascii="Times New Roman" w:hAnsi="Times New Roman"/>
          <w:sz w:val="24"/>
        </w:rPr>
        <w:br w:type="textWrapping"/>
      </w:r>
      <w:r>
        <w:rPr>
          <w:rFonts w:ascii="Times New Roman" w:hAnsi="Times New Roman"/>
          <w:sz w:val="24"/>
        </w:rPr>
        <w:t xml:space="preserve">        returns_arr.append(net_ret)</w:t>
      </w:r>
      <w:r>
        <w:rPr>
          <w:rFonts w:ascii="Times New Roman" w:hAnsi="Times New Roman"/>
          <w:sz w:val="24"/>
        </w:rPr>
        <w:br w:type="textWrapping"/>
      </w:r>
      <w:r>
        <w:rPr>
          <w:rFonts w:ascii="Times New Roman" w:hAnsi="Times New Roman"/>
          <w:sz w:val="24"/>
        </w:rPr>
        <w:t xml:space="preserve">        actions.append(a)</w:t>
      </w:r>
      <w:r>
        <w:rPr>
          <w:rFonts w:ascii="Times New Roman" w:hAnsi="Times New Roman"/>
          <w:sz w:val="24"/>
        </w:rPr>
        <w:br w:type="textWrapping"/>
      </w:r>
      <w:r>
        <w:rPr>
          <w:rFonts w:ascii="Times New Roman" w:hAnsi="Times New Roman"/>
          <w:sz w:val="24"/>
        </w:rPr>
        <w:t xml:space="preserve">        prev_signal = signal</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3. Post-transfer audit analysis</w:t>
      </w:r>
      <w:r>
        <w:rPr>
          <w:rFonts w:ascii="Times New Roman" w:hAnsi="Times New Roman"/>
          <w:sz w:val="24"/>
        </w:rPr>
        <w:br w:type="textWrapping"/>
      </w:r>
      <w:r>
        <w:rPr>
          <w:rFonts w:ascii="Times New Roman" w:hAnsi="Times New Roman"/>
          <w:sz w:val="24"/>
        </w:rPr>
        <w:t xml:space="preserve">    K = len(thresholds)</w:t>
      </w:r>
      <w:r>
        <w:rPr>
          <w:rFonts w:ascii="Times New Roman" w:hAnsi="Times New Roman"/>
          <w:sz w:val="24"/>
        </w:rPr>
        <w:br w:type="textWrapping"/>
      </w:r>
      <w:r>
        <w:rPr>
          <w:rFonts w:ascii="Times New Roman" w:hAnsi="Times New Roman"/>
          <w:sz w:val="24"/>
        </w:rPr>
        <w:t xml:space="preserve">    action_freq = ComputeHistogram(actions, bins=K) / len(actions)</w:t>
      </w:r>
      <w:r>
        <w:rPr>
          <w:rFonts w:ascii="Times New Roman" w:hAnsi="Times New Roman"/>
          <w:sz w:val="24"/>
        </w:rPr>
        <w:br w:type="textWrapping"/>
      </w:r>
      <w:r>
        <w:rPr>
          <w:rFonts w:ascii="Times New Roman" w:hAnsi="Times New Roman"/>
          <w:sz w:val="24"/>
        </w:rPr>
        <w:t xml:space="preserve">    modal_share = max(action_freq)</w:t>
      </w:r>
      <w:r>
        <w:rPr>
          <w:rFonts w:ascii="Times New Roman" w:hAnsi="Times New Roman"/>
          <w:sz w:val="24"/>
        </w:rPr>
        <w:br w:type="textWrapping"/>
      </w:r>
      <w:r>
        <w:rPr>
          <w:rFonts w:ascii="Times New Roman" w:hAnsi="Times New Roman"/>
          <w:sz w:val="24"/>
        </w:rPr>
        <w:t xml:space="preserve">    modal_threshold = thresholds[argmax(action_freq)]</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entropy_val = -sum(p * log(p) for p in action_freq if p &gt; 0)</w:t>
      </w:r>
      <w:r>
        <w:rPr>
          <w:rFonts w:ascii="Times New Roman" w:hAnsi="Times New Roman"/>
          <w:sz w:val="24"/>
        </w:rPr>
        <w:br w:type="textWrapping"/>
      </w:r>
      <w:r>
        <w:rPr>
          <w:rFonts w:ascii="Times New Roman" w:hAnsi="Times New Roman"/>
          <w:sz w:val="24"/>
        </w:rPr>
        <w:t xml:space="preserve">    is_collapsed = (modal_share &gt;= 0.90) and (entropy_val / log(K) &lt;= 0.25)</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4. Behavioral equivalence check</w:t>
      </w:r>
      <w:r>
        <w:rPr>
          <w:rFonts w:ascii="Times New Roman" w:hAnsi="Times New Roman"/>
          <w:sz w:val="24"/>
        </w:rPr>
        <w:br w:type="textWrapping"/>
      </w:r>
      <w:r>
        <w:rPr>
          <w:rFonts w:ascii="Times New Roman" w:hAnsi="Times New Roman"/>
          <w:sz w:val="24"/>
        </w:rPr>
        <w:t xml:space="preserve">    fixed_returns = ComputeFixedThresholdReturns(target_data, target_pred, modal_threshold)</w:t>
      </w:r>
      <w:r>
        <w:rPr>
          <w:rFonts w:ascii="Times New Roman" w:hAnsi="Times New Roman"/>
          <w:sz w:val="24"/>
        </w:rPr>
        <w:br w:type="textWrapping"/>
      </w:r>
      <w:r>
        <w:rPr>
          <w:rFonts w:ascii="Times New Roman" w:hAnsi="Times New Roman"/>
          <w:sz w:val="24"/>
        </w:rPr>
        <w:t xml:space="preserve">    sharpe_learned = AnnualizedSharpe(returns_arr)</w:t>
      </w:r>
      <w:r>
        <w:rPr>
          <w:rFonts w:ascii="Times New Roman" w:hAnsi="Times New Roman"/>
          <w:sz w:val="24"/>
        </w:rPr>
        <w:br w:type="textWrapping"/>
      </w:r>
      <w:r>
        <w:rPr>
          <w:rFonts w:ascii="Times New Roman" w:hAnsi="Times New Roman"/>
          <w:sz w:val="24"/>
        </w:rPr>
        <w:t xml:space="preserve">    sharpe_fixed = AnnualizedSharpe(fixed_returns)</w:t>
      </w:r>
      <w:r>
        <w:rPr>
          <w:rFonts w:ascii="Times New Roman" w:hAnsi="Times New Roman"/>
          <w:sz w:val="24"/>
        </w:rPr>
        <w:br w:type="textWrapping"/>
      </w:r>
      <w:r>
        <w:rPr>
          <w:rFonts w:ascii="Times New Roman" w:hAnsi="Times New Roman"/>
          <w:sz w:val="24"/>
        </w:rPr>
        <w:t xml:space="preserve">    sharpe_diff = sharpe_learned - sharpe_fixed</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 Bootstrap confidence interval (Stationary Bootstrap)</w:t>
      </w:r>
      <w:r>
        <w:rPr>
          <w:rFonts w:ascii="Times New Roman" w:hAnsi="Times New Roman"/>
          <w:sz w:val="24"/>
        </w:rPr>
        <w:br w:type="textWrapping"/>
      </w:r>
      <w:r>
        <w:rPr>
          <w:rFonts w:ascii="Times New Roman" w:hAnsi="Times New Roman"/>
          <w:sz w:val="24"/>
        </w:rPr>
        <w:t xml:space="preserve">    ci_95 = PairedBootstrapCI(returns_arr, fixed_returns, B=2000)</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return {</w:t>
      </w:r>
      <w:r>
        <w:rPr>
          <w:rFonts w:ascii="Times New Roman" w:hAnsi="Times New Roman"/>
          <w:sz w:val="24"/>
        </w:rPr>
        <w:br w:type="textWrapping"/>
      </w:r>
      <w:r>
        <w:rPr>
          <w:rFonts w:ascii="Times New Roman" w:hAnsi="Times New Roman"/>
          <w:sz w:val="24"/>
        </w:rPr>
        <w:t xml:space="preserve">        "signals": signals,</w:t>
      </w:r>
      <w:r>
        <w:rPr>
          <w:rFonts w:ascii="Times New Roman" w:hAnsi="Times New Roman"/>
          <w:sz w:val="24"/>
        </w:rPr>
        <w:br w:type="textWrapping"/>
      </w:r>
      <w:r>
        <w:rPr>
          <w:rFonts w:ascii="Times New Roman" w:hAnsi="Times New Roman"/>
          <w:sz w:val="24"/>
        </w:rPr>
        <w:t xml:space="preserve">        "returns": returns_arr,</w:t>
      </w:r>
      <w:r>
        <w:rPr>
          <w:rFonts w:ascii="Times New Roman" w:hAnsi="Times New Roman"/>
          <w:sz w:val="24"/>
        </w:rPr>
        <w:br w:type="textWrapping"/>
      </w:r>
      <w:r>
        <w:rPr>
          <w:rFonts w:ascii="Times New Roman" w:hAnsi="Times New Roman"/>
          <w:sz w:val="24"/>
        </w:rPr>
        <w:t xml:space="preserve">        "audit": {</w:t>
      </w:r>
      <w:r>
        <w:rPr>
          <w:rFonts w:ascii="Times New Roman" w:hAnsi="Times New Roman"/>
          <w:sz w:val="24"/>
        </w:rPr>
        <w:br w:type="textWrapping"/>
      </w:r>
      <w:r>
        <w:rPr>
          <w:rFonts w:ascii="Times New Roman" w:hAnsi="Times New Roman"/>
          <w:sz w:val="24"/>
        </w:rPr>
        <w:t xml:space="preserve">            "modal_share": modal_share,</w:t>
      </w:r>
      <w:r>
        <w:rPr>
          <w:rFonts w:ascii="Times New Roman" w:hAnsi="Times New Roman"/>
          <w:sz w:val="24"/>
        </w:rPr>
        <w:br w:type="textWrapping"/>
      </w:r>
      <w:r>
        <w:rPr>
          <w:rFonts w:ascii="Times New Roman" w:hAnsi="Times New Roman"/>
          <w:sz w:val="24"/>
        </w:rPr>
        <w:t xml:space="preserve">            "modal_threshold": modal_threshold,</w:t>
      </w:r>
      <w:r>
        <w:rPr>
          <w:rFonts w:ascii="Times New Roman" w:hAnsi="Times New Roman"/>
          <w:sz w:val="24"/>
        </w:rPr>
        <w:br w:type="textWrapping"/>
      </w:r>
      <w:r>
        <w:rPr>
          <w:rFonts w:ascii="Times New Roman" w:hAnsi="Times New Roman"/>
          <w:sz w:val="24"/>
        </w:rPr>
        <w:t xml:space="preserve">            "is_collapsed": is_collapsed,</w:t>
      </w:r>
      <w:r>
        <w:rPr>
          <w:rFonts w:ascii="Times New Roman" w:hAnsi="Times New Roman"/>
          <w:sz w:val="24"/>
        </w:rPr>
        <w:br w:type="textWrapping"/>
      </w:r>
      <w:r>
        <w:rPr>
          <w:rFonts w:ascii="Times New Roman" w:hAnsi="Times New Roman"/>
          <w:sz w:val="24"/>
        </w:rPr>
        <w:t xml:space="preserve">            "sharpe_learned": sharpe_learned,</w:t>
      </w:r>
      <w:r>
        <w:rPr>
          <w:rFonts w:ascii="Times New Roman" w:hAnsi="Times New Roman"/>
          <w:sz w:val="24"/>
        </w:rPr>
        <w:br w:type="textWrapping"/>
      </w:r>
      <w:r>
        <w:rPr>
          <w:rFonts w:ascii="Times New Roman" w:hAnsi="Times New Roman"/>
          <w:sz w:val="24"/>
        </w:rPr>
        <w:t xml:space="preserve">            "sharpe_fixed": sharpe_fixed,</w:t>
      </w:r>
      <w:r>
        <w:rPr>
          <w:rFonts w:ascii="Times New Roman" w:hAnsi="Times New Roman"/>
          <w:sz w:val="24"/>
        </w:rPr>
        <w:br w:type="textWrapping"/>
      </w:r>
      <w:r>
        <w:rPr>
          <w:rFonts w:ascii="Times New Roman" w:hAnsi="Times New Roman"/>
          <w:sz w:val="24"/>
        </w:rPr>
        <w:t xml:space="preserve">            "sharpe_diff": sharpe_diff,</w:t>
      </w:r>
      <w:r>
        <w:rPr>
          <w:rFonts w:ascii="Times New Roman" w:hAnsi="Times New Roman"/>
          <w:sz w:val="24"/>
        </w:rPr>
        <w:br w:type="textWrapping"/>
      </w:r>
      <w:r>
        <w:rPr>
          <w:rFonts w:ascii="Times New Roman" w:hAnsi="Times New Roman"/>
          <w:sz w:val="24"/>
        </w:rPr>
        <w:t xml:space="preserve">            "ci_95": ci_95,</w:t>
      </w:r>
      <w:r>
        <w:rPr>
          <w:rFonts w:ascii="Times New Roman" w:hAnsi="Times New Roman"/>
          <w:sz w:val="24"/>
        </w:rPr>
        <w:br w:type="textWrapping"/>
      </w:r>
      <w:r>
        <w:rPr>
          <w:rFonts w:ascii="Times New Roman" w:hAnsi="Times New Roman"/>
          <w:sz w:val="24"/>
        </w:rPr>
        <w:t xml:space="preserve">            "recommendation": "REJECT" if (is_collapsed or ci_95[1] &lt; 0) else "ACCEPT"</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r>
        <w:rPr>
          <w:rFonts w:ascii="Times New Roman" w:hAnsi="Times New Roman"/>
          <w:sz w:val="24"/>
        </w:rPr>
        <w:t xml:space="preserve">    }</w:t>
      </w:r>
      <w:r>
        <w:rPr>
          <w:rFonts w:ascii="Times New Roman" w:hAnsi="Times New Roman"/>
          <w:sz w:val="24"/>
        </w:rPr>
        <w:br w:type="textWrapping"/>
      </w:r>
    </w:p>
    <w:p w14:paraId="000006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A.3 Transaction Cost Sensitivity Analysis</w:t>
      </w:r>
    </w:p>
    <w:p w14:paraId="00000615">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def CostSensitivity(signals,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INPUT:  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OUTPUT: {break_even_bps,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changes = ComputeAbsoluteDifferences(signals)  # 1 when signal changes, 0 otherwise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total_changes = sum(changes)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total_return = sum(raw_returns)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Break-even cost: the cost level (in bps) at which strategy returns equal zero</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 (total_return / total_changes) * 10000.0 if total_changes &gt; 0 else 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for cost in cost_levels: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net_returns = raw_returns - changes * (cost / 10000.0)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sharpe_by_cost[cost] = AnnualizedSharpe(net_returns)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break_even_bps,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p>
    <w:p w14:paraId="0000061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B: Context Cloud Geometry — Formal Treatment</w:t>
      </w:r>
    </w:p>
    <w:p w14:paraId="0000061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formal treatments and geometric proofs associated with the decision boundaries of the frozen LinUCB decision gating layer.</w:t>
      </w:r>
    </w:p>
    <w:p w14:paraId="0000061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B.1 Decision Regions as Convex Cones</w:t>
      </w:r>
    </w:p>
    <w:p w14:paraId="0000061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 a </w:t>
      </w:r>
      <m:oMath>
        <m:r>
          <m:rPr/>
          <m:t>K</m:t>
        </m:r>
      </m:oMath>
      <w:r>
        <w:rPr>
          <w:rFonts w:ascii="Times New Roman" w:hAnsi="Times New Roman" w:eastAsia="Times New Roman"/>
        </w:rPr>
        <w:t xml:space="preserve">-action linear scoring policy with weight matrix </w:t>
      </w:r>
      <m:oMath>
        <m:r>
          <m:rPr/>
          <m:t>Θ</m:t>
        </m:r>
        <m:r>
          <m:rPr>
            <m:sty m:val="p"/>
          </m:rPr>
          <m:t>=</m:t>
        </m:r>
        <m:d>
          <m:dPr>
            <m:begChr m:val="["/>
            <m:sepChr m:val=""/>
            <m:endChr m:val="]"/>
          </m:dPr>
          <m:e>
            <m:sSub>
              <m:sSubPr/>
              <m:e>
                <m:r>
                  <m:rPr>
                    <m:sty m:val="b"/>
                  </m:rPr>
                  <m:t>θ</m:t>
                </m:r>
              </m:e>
              <m:sub>
                <m:r>
                  <m:rPr/>
                  <m:t>1</m:t>
                </m:r>
              </m:sub>
            </m:sSub>
            <m:r>
              <m:rPr>
                <m:sty m:val="p"/>
              </m:rPr>
              <m:t>,…,</m:t>
            </m:r>
            <m:sSub>
              <m:sSubPr/>
              <m:e>
                <m:r>
                  <m:rPr>
                    <m:sty m:val="b"/>
                  </m:rPr>
                  <m:t>θ</m:t>
                </m:r>
              </m:e>
              <m:sub>
                <m:r>
                  <m:rPr/>
                  <m:t>K</m:t>
                </m:r>
              </m:sub>
            </m:sSub>
          </m:e>
        </m:d>
        <m:r>
          <m:rPr>
            <m:sty m:val="p"/>
          </m:rPr>
          <m:t>∈</m:t>
        </m:r>
        <m:sSup>
          <m:sSupPr/>
          <m:e>
            <m:r>
              <m:rPr>
                <m:sty m:val="p"/>
                <m:scr m:val="double-struck"/>
              </m:rPr>
              <m:t>ℝ</m:t>
            </m:r>
          </m:e>
          <m:sup>
            <m:r>
              <m:rPr/>
              <m:t>d</m:t>
            </m:r>
            <m:r>
              <m:rPr>
                <m:sty m:val="p"/>
              </m:rPr>
              <m:t>×</m:t>
            </m:r>
            <m:r>
              <m:rPr/>
              <m:t>K</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c</m:t>
        </m:r>
        <m:r>
          <m:rPr>
            <m:sty m:val="p"/>
          </m:rPr>
          <m:t>∈</m:t>
        </m:r>
        <m:sSup>
          <m:sSupPr/>
          <m:e>
            <m:r>
              <m:rPr>
                <m:sty m:val="p"/>
                <m:scr m:val="double-struck"/>
              </m:rPr>
              <m:t>ℝ</m:t>
            </m:r>
          </m:e>
          <m:sup>
            <m:r>
              <m:rPr/>
              <m:t>d</m:t>
            </m:r>
          </m:sup>
        </m:sSup>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c</m:t>
        </m:r>
        <m:r>
          <m:rPr>
            <m:sty m:val="p"/>
          </m:rPr>
          <m:t>≥</m:t>
        </m:r>
        <m:r>
          <m:rPr/>
          <m:t>0</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61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Each </w:t>
      </w:r>
      <m:oMath>
        <m:sSub>
          <m:sSubPr/>
          <m:e>
            <m:r>
              <m:rPr/>
              <m:t>R</m:t>
            </m:r>
          </m:e>
          <m:sub>
            <m:r>
              <m:rPr/>
              <m:t>k</m:t>
            </m:r>
          </m:sub>
        </m:sSub>
      </m:oMath>
      <w:r>
        <w:rPr>
          <w:rFonts w:ascii="Times New Roman" w:hAnsi="Times New Roman" w:eastAsia="Times New Roman"/>
        </w:rPr>
        <w:t xml:space="preserve"> is a convex polyhedral cone—the intersection of </w:t>
      </w:r>
      <m:oMath>
        <m:r>
          <m:rPr/>
          <m:t>K</m:t>
        </m:r>
        <m:r>
          <m:rPr>
            <m:sty m:val="p"/>
          </m:rPr>
          <m:t>−</m:t>
        </m:r>
        <m:r>
          <m:rPr/>
          <m:t>1</m:t>
        </m:r>
      </m:oMath>
      <w:r>
        <w:rPr>
          <w:rFonts w:ascii="Times New Roman" w:hAnsi="Times New Roman" w:eastAsia="Times New Roman"/>
        </w:rPr>
        <w:t xml:space="preserve"> closed half-spaces through the origin. The collection </w:t>
      </w:r>
      <m:oMath>
        <m:r>
          <m:rPr>
            <m:sty m:val="p"/>
          </m:rPr>
          <m:t>{</m:t>
        </m:r>
        <m:sSub>
          <m:sSubPr/>
          <m:e>
            <m:r>
              <m:rPr/>
              <m:t>R</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xml:space="preserve"> forms a conic partition of </w:t>
      </w:r>
      <m:oMath>
        <m:sSup>
          <m:sSupPr/>
          <m:e>
            <m:r>
              <m:rPr>
                <m:sty m:val="p"/>
                <m:scr m:val="double-struck"/>
              </m:rPr>
              <m:t>ℝ</m:t>
            </m:r>
          </m:e>
          <m:sup>
            <m:r>
              <m:rPr/>
              <m:t>d</m:t>
            </m:r>
          </m:sup>
        </m:sSup>
      </m:oMath>
      <w:r>
        <w:rPr>
          <w:rFonts w:ascii="Times New Roman" w:hAnsi="Times New Roman" w:eastAsia="Times New Roman"/>
        </w:rPr>
        <w:t xml:space="preserve"> (up to shared boundaries).</w:t>
      </w:r>
    </w:p>
    <w:p w14:paraId="000006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B.2 Decision Margin</w:t>
      </w:r>
    </w:p>
    <w:p w14:paraId="000006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selected action and decision margin at context </w:t>
      </w:r>
      <m:oMath>
        <m:r>
          <m:rPr>
            <m:sty m:val="b"/>
          </m:rPr>
          <m:t>c</m:t>
        </m:r>
      </m:oMath>
      <w:r>
        <w:rPr>
          <w:rFonts w:ascii="Times New Roman" w:hAnsi="Times New Roman" w:eastAsia="Times New Roman"/>
        </w:rPr>
        <w:t xml:space="preserve"> as </w:t>
      </w:r>
      <m:oMath>
        <m:r>
          <m:rPr/>
          <m:t>a</m:t>
        </m:r>
        <m:d>
          <m:dPr>
            <m:sepChr m:val=""/>
          </m:dPr>
          <m:e>
            <m:r>
              <m:rPr>
                <m:sty m:val="b"/>
              </m:rPr>
              <m:t>c</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c</m:t>
        </m:r>
      </m:oMath>
      <w:r>
        <w:rPr>
          <w:rFonts w:ascii="Times New Roman" w:hAnsi="Times New Roman" w:eastAsia="Times New Roman"/>
        </w:rPr>
        <w:t xml:space="preserve"> and </w:t>
      </w:r>
      <m:oMath>
        <m:r>
          <m:rPr/>
          <m:t>m</m:t>
        </m:r>
        <m:d>
          <m:dPr>
            <m:sepChr m:val=""/>
          </m:dPr>
          <m:e>
            <m:r>
              <m:rPr>
                <m:sty m:val="b"/>
              </m:rPr>
              <m:t>c</m:t>
            </m:r>
          </m:e>
        </m:d>
        <m:r>
          <m:rPr>
            <m:sty m:val="p"/>
          </m:rPr>
          <m:t>=</m:t>
        </m:r>
        <m:sSub>
          <m:sSubPr/>
          <m:e>
            <m:r>
              <m:rPr>
                <m:sty m:val="p"/>
              </m:rPr>
              <m:t>min</m:t>
            </m:r>
          </m:e>
          <m:sub>
            <m:r>
              <m:rPr/>
              <m:t>j</m:t>
            </m:r>
            <m:r>
              <m:rPr>
                <m:sty m:val="p"/>
              </m:rPr>
              <m:t>≠</m:t>
            </m:r>
            <m:r>
              <m:rPr/>
              <m:t>a</m:t>
            </m:r>
            <m:d>
              <m:dPr>
                <m:sepChr m:val=""/>
              </m:dPr>
              <m:e>
                <m:r>
                  <m:rPr>
                    <m:sty m:val="b"/>
                  </m:rPr>
                  <m:t>c</m:t>
                </m:r>
              </m:e>
            </m:d>
          </m:sub>
        </m:sSub>
        <m:sSup>
          <m:sSupPr/>
          <m:e>
            <m:d>
              <m:dPr>
                <m:sepChr m:val=""/>
              </m:dPr>
              <m:e>
                <m:sSub>
                  <m:sSubPr/>
                  <m:e>
                    <m:r>
                      <m:rPr>
                        <m:sty m:val="b"/>
                      </m:rPr>
                      <m:t>θ</m:t>
                    </m:r>
                  </m:e>
                  <m:sub>
                    <m:r>
                      <m:rPr/>
                      <m:t>a</m:t>
                    </m:r>
                    <m:d>
                      <m:dPr>
                        <m:sepChr m:val=""/>
                      </m:dPr>
                      <m:e>
                        <m:r>
                          <m:rPr>
                            <m:sty m:val="b"/>
                          </m:rPr>
                          <m:t>c</m:t>
                        </m:r>
                      </m:e>
                    </m:d>
                  </m:sub>
                </m:sSub>
                <m:r>
                  <m:rPr>
                    <m:sty m:val="p"/>
                  </m:rPr>
                  <m:t>−</m:t>
                </m:r>
                <m:sSub>
                  <m:sSubPr/>
                  <m:e>
                    <m:r>
                      <m:rPr>
                        <m:sty m:val="b"/>
                      </m:rPr>
                      <m:t>θ</m:t>
                    </m:r>
                  </m:e>
                  <m:sub>
                    <m:r>
                      <m:rPr/>
                      <m:t>j</m:t>
                    </m:r>
                  </m:sub>
                </m:sSub>
              </m:e>
            </m:d>
          </m:e>
          <m:sup>
            <m:r>
              <m:rPr>
                <m:sty m:val="p"/>
                <m:scr m:val="sans-serif"/>
              </m:rPr>
              <m:t>T</m:t>
            </m:r>
          </m:sup>
        </m:sSup>
        <m:r>
          <m:rPr>
            <m:sty m:val="b"/>
          </m:rPr>
          <m:t>c</m:t>
        </m:r>
      </m:oMath>
      <w:r>
        <w:rPr>
          <w:rFonts w:ascii="Times New Roman" w:hAnsi="Times New Roman" w:eastAsia="Times New Roman"/>
        </w:rPr>
        <w:t>.</w:t>
      </w:r>
    </w:p>
    <w:p w14:paraId="000006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margin </w:t>
      </w:r>
      <m:oMath>
        <m:r>
          <m:rPr/>
          <m:t>m</m:t>
        </m:r>
        <m:d>
          <m:dPr>
            <m:sepChr m:val=""/>
          </m:dPr>
          <m:e>
            <m:r>
              <m:rPr>
                <m:sty m:val="b"/>
              </m:rPr>
              <m:t>c</m:t>
            </m:r>
          </m:e>
        </m:d>
      </m:oMath>
      <w:r>
        <w:rPr>
          <w:rFonts w:ascii="Times New Roman" w:hAnsi="Times New Roman" w:eastAsia="Times New Roman"/>
        </w:rPr>
        <w:t xml:space="preserve"> measures the score gap between the selected action and its closest competitor; </w:t>
      </w:r>
      <m:oMath>
        <m:r>
          <m:rPr/>
          <m:t>m</m:t>
        </m:r>
        <m:d>
          <m:dPr>
            <m:sepChr m:val=""/>
          </m:dPr>
          <m:e>
            <m:r>
              <m:rPr>
                <m:sty m:val="b"/>
              </m:rPr>
              <m:t>c</m:t>
            </m:r>
          </m:e>
        </m:d>
        <m:r>
          <m:rPr>
            <m:sty m:val="p"/>
          </m:rPr>
          <m:t>&gt;</m:t>
        </m:r>
        <m:r>
          <m:rPr/>
          <m:t>0</m:t>
        </m:r>
      </m:oMath>
      <w:r>
        <w:rPr>
          <w:rFonts w:ascii="Times New Roman" w:hAnsi="Times New Roman" w:eastAsia="Times New Roman"/>
        </w:rPr>
        <w:t xml:space="preserve"> means that </w:t>
      </w:r>
      <m:oMath>
        <m:r>
          <m:rPr>
            <m:sty m:val="b"/>
          </m:rPr>
          <m:t>c</m:t>
        </m:r>
      </m:oMath>
      <w:r>
        <w:rPr>
          <w:rFonts w:ascii="Times New Roman" w:hAnsi="Times New Roman" w:eastAsia="Times New Roman"/>
        </w:rPr>
        <w:t xml:space="preserve"> does not lie on a decision boundary.</w:t>
      </w:r>
    </w:p>
    <w:p w14:paraId="0000061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rPr>
        <w:t xml:space="preserve">Proposition (Collapse under a sufficiently small context cloud). Fix </w:t>
      </w:r>
      <m:oMath>
        <m:sSub>
          <m:sSubPr/>
          <m:e>
            <m:r>
              <m:rPr>
                <m:sty m:val="b"/>
              </m:rPr>
              <m:t>c</m:t>
            </m:r>
          </m:e>
          <m:sub>
            <m:r>
              <m:rPr/>
              <m:t>0</m:t>
            </m:r>
          </m:sub>
        </m:sSub>
        <m:r>
          <m:rPr>
            <m:sty m:val="p"/>
          </m:rPr>
          <m:t>∈</m:t>
        </m:r>
        <m:sSub>
          <m:sSubPr/>
          <m:e>
            <m:r>
              <m:rPr>
                <m:sty m:val="p"/>
                <m:scr m:val="script"/>
              </m:rPr>
              <m:t>C</m:t>
            </m:r>
          </m:e>
          <m:sub>
            <m:r>
              <m:rPr/>
              <m:t>T</m:t>
            </m:r>
          </m:sub>
        </m:sSub>
      </m:oMath>
      <w:r>
        <w:rPr>
          <w:rFonts w:ascii="Times New Roman" w:hAnsi="Times New Roman" w:eastAsia="Times New Roman"/>
        </w:rPr>
        <w:t xml:space="preserve"> and let </w:t>
      </w:r>
      <m:oMath>
        <m:sSup>
          <m:sSupPr/>
          <m:e>
            <m:r>
              <m:rPr/>
              <m:t>a</m:t>
            </m:r>
          </m:e>
          <m:sup>
            <m:r>
              <m:rPr>
                <m:sty m:val="p"/>
              </m:rPr>
              <m:t>∗</m:t>
            </m:r>
          </m:sup>
        </m:sSup>
        <m:r>
          <m:rPr>
            <m:sty m:val="p"/>
          </m:rPr>
          <m:t>=</m:t>
        </m:r>
        <m:r>
          <m:rPr/>
          <m:t>a</m:t>
        </m:r>
        <m:d>
          <m:dPr>
            <m:sepChr m:val=""/>
          </m:dPr>
          <m:e>
            <m:sSub>
              <m:sSubPr/>
              <m:e>
                <m:r>
                  <m:rPr>
                    <m:sty m:val="b"/>
                  </m:rPr>
                  <m:t>c</m:t>
                </m:r>
              </m:e>
              <m:sub>
                <m:r>
                  <m:rPr/>
                  <m:t>0</m:t>
                </m:r>
              </m:sub>
            </m:sSub>
          </m:e>
        </m:d>
      </m:oMath>
      <w:r>
        <w:rPr>
          <w:rFonts w:ascii="Times New Roman" w:hAnsi="Times New Roman" w:eastAsia="Times New Roman"/>
        </w:rPr>
        <w:t xml:space="preserve">. Define </w:t>
      </w:r>
      <m:oMath>
        <m:sSub>
          <m:sSubPr/>
          <m:e>
            <m:r>
              <m:rPr/>
              <m:t>γ</m:t>
            </m:r>
          </m:e>
          <m:sub>
            <m:r>
              <m:rPr/>
              <m:t>0</m:t>
            </m:r>
          </m:sub>
        </m:sSub>
        <m:r>
          <m:rPr>
            <m:sty m:val="p"/>
          </m:rPr>
          <m:t>=</m:t>
        </m:r>
        <m:sSub>
          <m:sSubPr/>
          <m:e>
            <m:r>
              <m:rPr>
                <m:sty m:val="p"/>
              </m:rPr>
              <m:t>min</m:t>
            </m:r>
          </m:e>
          <m:sub>
            <m:r>
              <m:rPr/>
              <m:t>j</m:t>
            </m:r>
            <m:r>
              <m:rPr>
                <m:sty m:val="p"/>
              </m:rPr>
              <m:t>≠</m:t>
            </m:r>
            <m:sSup>
              <m:sSupPr/>
              <m:e>
                <m:r>
                  <m:rPr/>
                  <m:t>a</m:t>
                </m:r>
              </m:e>
              <m:sup>
                <m:r>
                  <m:rPr>
                    <m:sty m:val="p"/>
                  </m:rPr>
                  <m:t>∗</m:t>
                </m:r>
              </m:sup>
            </m:sSup>
          </m:sub>
        </m:sSub>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sSub>
          <m:sSubPr/>
          <m:e>
            <m:r>
              <m:rPr>
                <m:sty m:val="b"/>
              </m:rPr>
              <m:t>c</m:t>
            </m:r>
          </m:e>
          <m:sub>
            <m:r>
              <m:rPr/>
              <m:t>0</m:t>
            </m:r>
          </m:sub>
        </m:sSub>
        <m:r>
          <m:rPr>
            <m:sty m:val="p"/>
          </m:rPr>
          <m:t>&gt;</m:t>
        </m:r>
        <m:r>
          <m:rPr/>
          <m:t>0</m:t>
        </m:r>
      </m:oMath>
      <w:r>
        <w:rPr>
          <w:rFonts w:ascii="Times New Roman" w:hAnsi="Times New Roman" w:eastAsia="Times New Roman"/>
        </w:rPr>
        <w:t xml:space="preserve"> and </w:t>
      </w:r>
      <m:oMath>
        <m:sSup>
          <m:sSupPr/>
          <m:e>
            <m:r>
              <m:rPr/>
              <m:t>L</m:t>
            </m:r>
          </m:e>
          <m:sup>
            <m:r>
              <m:rPr>
                <m:sty m:val="p"/>
              </m:rPr>
              <m:t>∗</m:t>
            </m:r>
          </m:sup>
        </m:sSup>
        <m:r>
          <m:rPr>
            <m:sty m:val="p"/>
          </m:rPr>
          <m:t>=</m:t>
        </m:r>
        <m:sSub>
          <m:sSubPr/>
          <m:e>
            <m:r>
              <m:rPr>
                <m:sty m:val="p"/>
              </m:rPr>
              <m:t>max</m:t>
            </m:r>
          </m:e>
          <m:sub>
            <m:r>
              <m:rPr/>
              <m:t>j</m:t>
            </m:r>
            <m:r>
              <m:rPr>
                <m:sty m:val="p"/>
              </m:rPr>
              <m:t>≠</m:t>
            </m:r>
            <m:sSup>
              <m:sSupPr/>
              <m:e>
                <m:r>
                  <m:rPr/>
                  <m:t>a</m:t>
                </m:r>
              </m:e>
              <m:sup>
                <m:r>
                  <m:rPr>
                    <m:sty m:val="p"/>
                  </m:rPr>
                  <m:t>∗</m:t>
                </m:r>
              </m:sup>
            </m:sSup>
          </m:sub>
        </m:sSub>
        <m:r>
          <m:rPr>
            <m:sty m:val="p"/>
          </m:rPr>
          <m:t>∥</m:t>
        </m:r>
        <m:sSub>
          <m:sSubPr/>
          <m:e>
            <m:r>
              <m:rPr>
                <m:sty m:val="b"/>
              </m:rPr>
              <m:t>θ</m:t>
            </m:r>
          </m:e>
          <m:sub>
            <m:sSup>
              <m:sSupPr/>
              <m:e>
                <m:r>
                  <m:rPr/>
                  <m:t>a</m:t>
                </m:r>
              </m:e>
              <m:sup>
                <m:r>
                  <m:rPr>
                    <m:sty m:val="p"/>
                  </m:rPr>
                  <m:t>∗</m:t>
                </m:r>
              </m:sup>
            </m:sSup>
          </m:sub>
        </m:sSub>
        <m:r>
          <m:rPr>
            <m:sty m:val="p"/>
          </m:rPr>
          <m:t>−</m:t>
        </m:r>
        <m:sSub>
          <m:sSubPr/>
          <m:e>
            <m:r>
              <m:rPr>
                <m:sty m:val="b"/>
              </m:rPr>
              <m:t>θ</m:t>
            </m:r>
          </m:e>
          <m:sub>
            <m:r>
              <m:rPr/>
              <m:t>j</m:t>
            </m:r>
          </m:sub>
        </m:sSub>
        <m:sSub>
          <m:sSubPr/>
          <m:e>
            <m:r>
              <m:rPr>
                <m:sty m:val="p"/>
              </m:rPr>
              <m:t>∥</m:t>
            </m:r>
          </m:e>
          <m:sub>
            <m:r>
              <m:rPr/>
              <m:t>2</m:t>
            </m:r>
          </m:sub>
        </m:sSub>
      </m:oMath>
      <w:r>
        <w:rPr>
          <w:rFonts w:ascii="Times New Roman" w:hAnsi="Times New Roman" w:eastAsia="Times New Roman"/>
        </w:rPr>
        <w:t xml:space="preserve">. If </w:t>
      </w:r>
      <m:oMath>
        <m:r>
          <m:rPr>
            <m:sty m:val="p"/>
          </m:rPr>
          <m:t>diam</m:t>
        </m:r>
        <m:d>
          <m:dPr>
            <m:sepChr m:val=""/>
          </m:dPr>
          <m:e>
            <m:sSub>
              <m:sSubPr/>
              <m:e>
                <m:r>
                  <m:rPr>
                    <m:sty m:val="p"/>
                    <m:scr m:val="script"/>
                  </m:rPr>
                  <m:t>C</m:t>
                </m:r>
              </m:e>
              <m:sub>
                <m:r>
                  <m:rPr/>
                  <m:t>T</m:t>
                </m:r>
              </m:sub>
            </m:sSub>
          </m:e>
        </m:d>
        <m:r>
          <m:rPr>
            <m:sty m:val="p"/>
          </m:rPr>
          <m:t>&lt;</m:t>
        </m:r>
        <m:sSub>
          <m:sSubPr/>
          <m:e>
            <m:r>
              <m:rPr/>
              <m:t>γ</m:t>
            </m:r>
          </m:e>
          <m:sub>
            <m:r>
              <m:rPr/>
              <m:t>0</m:t>
            </m:r>
          </m:sub>
        </m:sSub>
        <m:r>
          <m:rPr>
            <m:sty m:val="p"/>
          </m:rPr>
          <m:t>/</m:t>
        </m:r>
        <m:sSup>
          <m:sSupPr/>
          <m:e>
            <m:r>
              <m:rPr/>
              <m:t>L</m:t>
            </m:r>
          </m:e>
          <m:sup>
            <m:r>
              <m:rPr>
                <m:sty m:val="p"/>
              </m:rPr>
              <m:t>∗</m:t>
            </m:r>
          </m:sup>
        </m:sSup>
      </m:oMath>
      <w:r>
        <w:rPr>
          <w:rFonts w:ascii="Times New Roman" w:hAnsi="Times New Roman" w:eastAsia="Times New Roman"/>
        </w:rPr>
        <w:t xml:space="preserve">, then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for every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hence the policy selects one action on the entire target context cloud.</w:t>
      </w:r>
    </w:p>
    <w:p w14:paraId="000006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Proof. For any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xml:space="preserve"> and </w:t>
      </w:r>
      <m:oMath>
        <m:r>
          <m:rPr/>
          <m:t>j</m:t>
        </m:r>
        <m:r>
          <m:rPr>
            <m:sty m:val="p"/>
          </m:rPr>
          <m:t>≠</m:t>
        </m:r>
        <m:sSup>
          <m:sSupPr/>
          <m:e>
            <m:r>
              <m:rPr/>
              <m:t>a</m:t>
            </m:r>
          </m:e>
          <m:sup>
            <m:r>
              <m:rPr>
                <m:sty m:val="p"/>
              </m:rPr>
              <m:t>∗</m:t>
            </m:r>
          </m:sup>
        </m:sSup>
      </m:oMath>
      <w:r>
        <w:rPr>
          <w:rFonts w:ascii="Times New Roman" w:hAnsi="Times New Roman" w:eastAsia="Times New Roman"/>
        </w:rPr>
        <w:t xml:space="preserve">, Cauchy–Schwarz gives </w:t>
      </w:r>
      <m:oMath>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r>
          <m:rPr>
            <m:sty m:val="b"/>
          </m:rPr>
          <m:t>c</m:t>
        </m:r>
        <m:r>
          <m:rPr>
            <m:sty m:val="p"/>
          </m:rPr>
          <m:t>≥</m:t>
        </m:r>
        <m:sSub>
          <m:sSubPr/>
          <m:e>
            <m:r>
              <m:rPr/>
              <m:t>γ</m:t>
            </m:r>
          </m:e>
          <m:sub>
            <m:r>
              <m:rPr/>
              <m:t>0</m:t>
            </m:r>
          </m:sub>
        </m:sSub>
        <m:r>
          <m:rPr>
            <m:sty m:val="p"/>
          </m:rPr>
          <m:t>−</m:t>
        </m:r>
        <m:sSup>
          <m:sSupPr/>
          <m:e>
            <m:r>
              <m:rPr/>
              <m:t>L</m:t>
            </m:r>
          </m:e>
          <m:sup>
            <m:r>
              <m:rPr>
                <m:sty m:val="p"/>
              </m:rPr>
              <m:t>∗</m:t>
            </m:r>
          </m:sup>
        </m:sSup>
        <m:r>
          <m:rPr>
            <m:sty m:val="p"/>
          </m:rPr>
          <m:t>∥</m:t>
        </m:r>
        <m:r>
          <m:rPr>
            <m:sty m:val="b"/>
          </m:rPr>
          <m:t>c</m:t>
        </m:r>
        <m:r>
          <m:rPr>
            <m:sty m:val="p"/>
          </m:rPr>
          <m:t>−</m:t>
        </m:r>
        <m:sSub>
          <m:sSubPr/>
          <m:e>
            <m:r>
              <m:rPr>
                <m:sty m:val="b"/>
              </m:rPr>
              <m:t>c</m:t>
            </m:r>
          </m:e>
          <m:sub>
            <m:r>
              <m:rPr/>
              <m:t>0</m:t>
            </m:r>
          </m:sub>
        </m:sSub>
        <m:sSub>
          <m:sSubPr/>
          <m:e>
            <m:r>
              <m:rPr>
                <m:sty m:val="p"/>
              </m:rPr>
              <m:t>∥</m:t>
            </m:r>
          </m:e>
          <m:sub>
            <m:r>
              <m:rPr/>
              <m:t>2</m:t>
            </m:r>
          </m:sub>
        </m:sSub>
        <m:r>
          <m:rPr>
            <m:sty m:val="p"/>
          </m:rPr>
          <m:t>&gt;</m:t>
        </m:r>
        <m:r>
          <m:rPr/>
          <m:t>0</m:t>
        </m:r>
      </m:oMath>
      <w:r>
        <w:rPr>
          <w:rFonts w:ascii="Times New Roman" w:hAnsi="Times New Roman" w:eastAsia="Times New Roman"/>
        </w:rPr>
        <w:t xml:space="preserve">. Therefore </w:t>
      </w:r>
      <m:oMath>
        <m:sSubSup>
          <m:sSubSupPr/>
          <m:e>
            <m:r>
              <m:rPr>
                <m:sty m:val="b"/>
              </m:rPr>
              <m:t>θ</m:t>
            </m:r>
          </m:e>
          <m:sub>
            <m:sSup>
              <m:sSupPr/>
              <m:e>
                <m:r>
                  <m:rPr/>
                  <m:t>a</m:t>
                </m:r>
              </m:e>
              <m:sup>
                <m:r>
                  <m:rPr>
                    <m:sty m:val="p"/>
                  </m:rPr>
                  <m:t>∗</m:t>
                </m:r>
              </m:sup>
            </m:sSup>
          </m:sub>
          <m:sup>
            <m:r>
              <m:rPr>
                <m:sty m:val="p"/>
                <m:scr m:val="sans-serif"/>
              </m:rPr>
              <m:t>T</m:t>
            </m:r>
          </m:sup>
        </m:sSubSup>
        <m:r>
          <m:rPr>
            <m:sty m:val="b"/>
          </m:rPr>
          <m:t>c</m:t>
        </m:r>
        <m:r>
          <m:rPr>
            <m:sty m:val="p"/>
          </m:rPr>
          <m:t>&gt;</m:t>
        </m:r>
        <m:sSubSup>
          <m:sSubSupPr/>
          <m:e>
            <m:r>
              <m:rPr>
                <m:sty m:val="b"/>
              </m:rPr>
              <m:t>θ</m:t>
            </m:r>
          </m:e>
          <m:sub>
            <m:r>
              <m:rPr/>
              <m:t>j</m:t>
            </m:r>
          </m:sub>
          <m:sup>
            <m:r>
              <m:rPr>
                <m:sty m:val="p"/>
                <m:scr m:val="sans-serif"/>
              </m:rPr>
              <m:t>T</m:t>
            </m:r>
          </m:sup>
        </m:sSubSup>
        <m:r>
          <m:rPr>
            <m:sty m:val="b"/>
          </m:rPr>
          <m:t>c</m:t>
        </m:r>
      </m:oMath>
      <w:r>
        <w:rPr>
          <w:rFonts w:ascii="Times New Roman" w:hAnsi="Times New Roman" w:eastAsia="Times New Roman"/>
        </w:rPr>
        <w:t xml:space="preserve"> for all competitors </w:t>
      </w:r>
      <m:oMath>
        <m:r>
          <m:rPr/>
          <m:t>j</m:t>
        </m:r>
      </m:oMath>
      <w:r>
        <w:rPr>
          <w:rFonts w:ascii="Times New Roman" w:hAnsi="Times New Roman" w:eastAsia="Times New Roman"/>
        </w:rPr>
        <w:t xml:space="preserve">, so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throughout </w:t>
      </w:r>
      <m:oMath>
        <m:sSub>
          <m:sSubPr/>
          <m:e>
            <m:r>
              <m:rPr>
                <m:sty m:val="p"/>
                <m:scr m:val="script"/>
              </m:rPr>
              <m:t>C</m:t>
            </m:r>
          </m:e>
          <m:sub>
            <m:r>
              <m:rPr/>
              <m:t>T</m:t>
            </m:r>
          </m:sub>
        </m:sSub>
      </m:oMath>
      <w:r>
        <w:rPr>
          <w:rFonts w:ascii="Times New Roman" w:hAnsi="Times New Roman" w:eastAsia="Times New Roman"/>
        </w:rPr>
        <w:t>.</w:t>
      </w:r>
    </w:p>
    <w:p w14:paraId="000006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b w:val="0"/>
          <w:i w:val="0"/>
        </w:rPr>
        <w:t>Empirically, very small score margins indicate near ties among actions. In that regime, modest distributional shifts can move a context cloud across a decision boundary; conversely, if a small target cloud lies wholly inside one decision region, the transferred policy becomes behaviorally static.</w:t>
      </w:r>
    </w:p>
    <w:p w14:paraId="000006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B.3 Context Cloud Overlap Metric</w:t>
      </w:r>
    </w:p>
    <w:p w14:paraId="000006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normalized source–target context distance as </w:t>
      </w:r>
      <m:oMath>
        <m:sSub>
          <m:sSubPr/>
          <m:e>
            <m:r>
              <m:rPr/>
              <m:t>D</m:t>
            </m:r>
          </m:e>
          <m:sub>
            <m:r>
              <m:rPr>
                <m:sty m:val="p"/>
              </m:rPr>
              <m:t>ctx</m:t>
            </m:r>
          </m:sub>
        </m:sSub>
        <m:d>
          <m:dPr>
            <m:sepChr m:val=""/>
          </m:dPr>
          <m:e>
            <m:r>
              <m:rPr/>
              <m:t>S</m:t>
            </m:r>
            <m:r>
              <m:rPr>
                <m:sty m:val="p"/>
              </m:rPr>
              <m:t>,</m:t>
            </m:r>
            <m:r>
              <m:rPr/>
              <m:t>T</m:t>
            </m:r>
          </m:e>
        </m:d>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sSub>
              <m:sSubPr/>
              <m:e>
                <m:r>
                  <m:rPr/>
                  <m:t>σ</m:t>
                </m:r>
              </m:e>
              <m:sub>
                <m:r>
                  <m:rPr/>
                  <m:t>S</m:t>
                </m:r>
              </m:sub>
            </m:sSub>
            <m:r>
              <m:rPr>
                <m:sty m:val="p"/>
              </m:rPr>
              <m:t>+</m:t>
            </m:r>
            <m:sSub>
              <m:sSubPr/>
              <m:e>
                <m:r>
                  <m:rPr/>
                  <m:t>σ</m:t>
                </m:r>
              </m:e>
              <m:sub>
                <m:r>
                  <m:rPr/>
                  <m:t>T</m:t>
                </m:r>
              </m:sub>
            </m:sSub>
          </m:den>
        </m:f>
      </m:oMath>
      <w:r>
        <w:rPr>
          <w:rFonts w:ascii="Times New Roman" w:hAnsi="Times New Roman" w:eastAsia="Times New Roman"/>
        </w:rPr>
        <w:t xml:space="preserve">, where </w:t>
      </w:r>
      <m:oMath>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sSub>
          <m:sSubPr/>
          <m:e>
            <m:r>
              <m:rPr>
                <m:sty m:val="p"/>
              </m:rPr>
              <m:t>inf</m:t>
            </m:r>
          </m:e>
          <m:sub>
            <m:r>
              <m:rPr/>
              <m:t>γ</m:t>
            </m:r>
            <m:r>
              <m:rPr>
                <m:sty m:val="p"/>
              </m:rPr>
              <m:t>∈</m:t>
            </m:r>
            <m:r>
              <m:rPr/>
              <m:t>Π</m:t>
            </m:r>
            <m:d>
              <m:dPr>
                <m:sepChr m:val=""/>
              </m:dPr>
              <m:e>
                <m:sSub>
                  <m:sSubPr/>
                  <m:e>
                    <m:r>
                      <m:rPr/>
                      <m:t>P</m:t>
                    </m:r>
                  </m:e>
                  <m:sub>
                    <m:r>
                      <m:rPr/>
                      <m:t>S</m:t>
                    </m:r>
                  </m:sub>
                </m:sSub>
                <m:r>
                  <m:rPr>
                    <m:sty m:val="p"/>
                  </m:rPr>
                  <m:t>,</m:t>
                </m:r>
                <m:sSub>
                  <m:sSubPr/>
                  <m:e>
                    <m:r>
                      <m:rPr/>
                      <m:t>P</m:t>
                    </m:r>
                  </m:e>
                  <m:sub>
                    <m:r>
                      <m:rPr/>
                      <m:t>T</m:t>
                    </m:r>
                  </m:sub>
                </m:sSub>
              </m:e>
            </m:d>
          </m:sub>
        </m:sSub>
        <m:r>
          <m:rPr>
            <m:sty m:val="p"/>
          </m:rPr>
          <m:t>∫∥</m:t>
        </m:r>
        <m:r>
          <m:rPr>
            <m:sty m:val="b"/>
          </m:rPr>
          <m:t>x</m:t>
        </m:r>
        <m:r>
          <m:rPr>
            <m:sty m:val="p"/>
          </m:rPr>
          <m:t>−</m:t>
        </m:r>
        <m:r>
          <m:rPr>
            <m:sty m:val="b"/>
          </m:rPr>
          <m:t>y</m:t>
        </m:r>
        <m:sSub>
          <m:sSubPr/>
          <m:e>
            <m:r>
              <m:rPr>
                <m:sty m:val="p"/>
              </m:rPr>
              <m:t>∥</m:t>
            </m:r>
          </m:e>
          <m:sub>
            <m:r>
              <m:rPr/>
              <m:t>2</m:t>
            </m:r>
          </m:sub>
        </m:sSub>
        <m:r>
          <m:rPr/>
          <m:t> dγ</m:t>
        </m:r>
        <m:d>
          <m:dPr>
            <m:sepChr m:val=""/>
          </m:dPr>
          <m:e>
            <m:r>
              <m:rPr>
                <m:sty m:val="b"/>
              </m:rPr>
              <m:t>x</m:t>
            </m:r>
            <m:r>
              <m:rPr>
                <m:sty m:val="p"/>
              </m:rPr>
              <m:t>,</m:t>
            </m:r>
            <m:r>
              <m:rPr>
                <m:sty m:val="b"/>
              </m:rPr>
              <m:t>y</m:t>
            </m:r>
          </m:e>
        </m:d>
      </m:oMath>
      <w:r>
        <w:rPr>
          <w:rFonts w:ascii="Times New Roman" w:hAnsi="Times New Roman" w:eastAsia="Times New Roman"/>
        </w:rPr>
        <w:t xml:space="preserve"> is the 1-Wasserstein distance.</w:t>
      </w:r>
    </w:p>
    <w:p w14:paraId="000006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t>P</m:t>
            </m:r>
          </m:e>
          <m:sub>
            <m:r>
              <m:rPr/>
              <m:t>S</m:t>
            </m:r>
          </m:sub>
        </m:sSub>
      </m:oMath>
      <w:r>
        <w:rPr>
          <w:rFonts w:ascii="Times New Roman" w:hAnsi="Times New Roman" w:eastAsia="Times New Roman"/>
        </w:rPr>
        <w:t xml:space="preserve"> and </w:t>
      </w:r>
      <m:oMath>
        <m:sSub>
          <m:sSubPr/>
          <m:e>
            <m:r>
              <m:rPr/>
              <m:t>P</m:t>
            </m:r>
          </m:e>
          <m:sub>
            <m:r>
              <m:rPr/>
              <m:t>T</m:t>
            </m:r>
          </m:sub>
        </m:sSub>
      </m:oMath>
      <w:r>
        <w:rPr>
          <w:rFonts w:ascii="Times New Roman" w:hAnsi="Times New Roman" w:eastAsia="Times New Roman"/>
        </w:rPr>
        <w:t xml:space="preserve"> are the source and target context distributions, </w:t>
      </w:r>
      <m:oMath>
        <m:r>
          <m:rPr/>
          <m:t>Π</m:t>
        </m:r>
        <m:d>
          <m:dPr>
            <m:sepChr m:val=""/>
          </m:dPr>
          <m:e>
            <m:sSub>
              <m:sSubPr/>
              <m:e>
                <m:r>
                  <m:rPr/>
                  <m:t>P</m:t>
                </m:r>
              </m:e>
              <m:sub>
                <m:r>
                  <m:rPr/>
                  <m:t>S</m:t>
                </m:r>
              </m:sub>
            </m:sSub>
            <m:r>
              <m:rPr>
                <m:sty m:val="p"/>
              </m:rPr>
              <m:t>,</m:t>
            </m:r>
            <m:sSub>
              <m:sSubPr/>
              <m:e>
                <m:r>
                  <m:rPr/>
                  <m:t>P</m:t>
                </m:r>
              </m:e>
              <m:sub>
                <m:r>
                  <m:rPr/>
                  <m:t>T</m:t>
                </m:r>
              </m:sub>
            </m:sSub>
          </m:e>
        </m:d>
      </m:oMath>
      <w:r>
        <w:rPr>
          <w:rFonts w:ascii="Times New Roman" w:hAnsi="Times New Roman" w:eastAsia="Times New Roman"/>
        </w:rPr>
        <w:t xml:space="preserve"> is the set of their couplings, and </w:t>
      </w:r>
      <m:oMath>
        <m:sSub>
          <m:sSubPr/>
          <m:e>
            <m:r>
              <m:rPr/>
              <m:t>σ</m:t>
            </m:r>
          </m:e>
          <m:sub>
            <m:r>
              <m:rPr/>
              <m:t>S</m:t>
            </m:r>
          </m:sub>
        </m:sSub>
        <m:r>
          <m:rPr>
            <m:sty m:val="p"/>
          </m:rPr>
          <m:t>,</m:t>
        </m:r>
        <m:sSub>
          <m:sSubPr/>
          <m:e>
            <m:r>
              <m:rPr/>
              <m:t>σ</m:t>
            </m:r>
          </m:e>
          <m:sub>
            <m:r>
              <m:rPr/>
              <m:t>T</m:t>
            </m:r>
          </m:sub>
        </m:sSub>
      </m:oMath>
      <w:r>
        <w:rPr>
          <w:rFonts w:ascii="Times New Roman" w:hAnsi="Times New Roman" w:eastAsia="Times New Roman"/>
        </w:rPr>
        <w:t xml:space="preserve"> are aggregate marginal standard deviations. A small </w:t>
      </w:r>
      <m:oMath>
        <m:sSub>
          <m:sSubPr/>
          <m:e>
            <m:r>
              <m:rPr/>
              <m:t>D</m:t>
            </m:r>
          </m:e>
          <m:sub>
            <m:r>
              <m:rPr>
                <m:sty m:val="p"/>
              </m:rPr>
              <m:t>ctx</m:t>
            </m:r>
          </m:sub>
        </m:sSub>
      </m:oMath>
      <w:r>
        <w:rPr>
          <w:rFonts w:ascii="Times New Roman" w:hAnsi="Times New Roman" w:eastAsia="Times New Roman"/>
        </w:rPr>
        <w:t xml:space="preserve"> indicates substantial context-cloud overlap and makes zero-shot policy generalization more plausible.</w:t>
      </w:r>
    </w:p>
    <w:p w14:paraId="7462CCB4">
      <w:r>
        <w:t>B.4 Formal Proof of Proposition 1</w:t>
      </w:r>
    </w:p>
    <w:p w14:paraId="688DEE6E">
      <w:r>
        <w:rPr>
          <w:b/>
          <w:bCs/>
        </w:rPr>
        <w:t>Deterministic-policy continuity clarification.</w:t>
      </w:r>
      <w:r>
        <w:t xml:space="preserve"> For a deterministic argmax policy, the hard action indicator</w:t>
      </w:r>
    </w:p>
    <w:p w14:paraId="2594F4D9">
      <m:oMathPara>
        <m:oMathParaPr>
          <m:jc m:val="center"/>
        </m:oMathParaPr>
        <m:oMath>
          <m:r>
            <m:rPr>
              <m:sty m:val="p"/>
              <m:scr m:val="double-struck"/>
            </m:rPr>
            <m:t>I</m:t>
          </m:r>
          <m:r>
            <m:rPr>
              <m:sty m:val="p"/>
            </m:rPr>
            <m:t>{</m:t>
          </m:r>
          <m:r>
            <m:rPr/>
            <m:t>a</m:t>
          </m:r>
          <m:d>
            <m:dPr>
              <m:sepChr m:val=""/>
            </m:dPr>
            <m:e>
              <m:r>
                <m:rPr/>
                <m:t>c</m:t>
              </m:r>
            </m:e>
          </m:d>
          <m:r>
            <m:rPr>
              <m:sty m:val="p"/>
            </m:rPr>
            <m:t>=</m:t>
          </m:r>
          <m:sSup>
            <m:sSupPr/>
            <m:e>
              <m:r>
                <m:rPr/>
                <m:t>k</m:t>
              </m:r>
            </m:e>
            <m:sup>
              <m:r>
                <m:rPr>
                  <m:sty m:val="p"/>
                </m:rPr>
                <m:t>∗</m:t>
              </m:r>
            </m:sup>
          </m:sSup>
          <m:r>
            <m:rPr>
              <m:sty m:val="p"/>
            </m:rPr>
            <m:t>}</m:t>
          </m:r>
        </m:oMath>
      </m:oMathPara>
    </w:p>
    <w:p w14:paraId="06C294A0">
      <w:r>
        <w:t>is discontinuous on decision boundaries and is therefore not globally Lipschitz. Consequently, the Kantorovich–Rubinstein bound cannot be applied directly to this raw indicator.</w:t>
      </w:r>
    </w:p>
    <w:p w14:paraId="67F82BE6">
      <w:r>
        <w:t xml:space="preserve">For the deterministic policy, impose the following </w:t>
      </w:r>
      <w:r>
        <w:rPr>
          <w:b/>
          <w:bCs/>
        </w:rPr>
        <w:t>positive-margin boundary condition</w:t>
      </w:r>
      <w:r>
        <w:t xml:space="preserve">. Let the dominant action be </w:t>
      </w:r>
      <m:oMath>
        <m:sSup>
          <m:sSupPr/>
          <m:e>
            <m:r>
              <m:rPr/>
              <m:t>k</m:t>
            </m:r>
          </m:e>
          <m:sup>
            <m:r>
              <m:rPr>
                <m:sty m:val="p"/>
              </m:rPr>
              <m:t>∗</m:t>
            </m:r>
          </m:sup>
        </m:sSup>
      </m:oMath>
      <w:r>
        <w:t xml:space="preserve"> and define the pairwise score margin against action </w:t>
      </w:r>
      <m:oMath>
        <m:r>
          <m:rPr/>
          <m:t>j</m:t>
        </m:r>
      </m:oMath>
      <w:r>
        <w:t xml:space="preserve"> by</w:t>
      </w:r>
    </w:p>
    <w:p w14:paraId="60D2A588">
      <m:oMathPara>
        <m:oMathParaPr>
          <m:jc m:val="center"/>
        </m:oMathParaPr>
        <m:oMath>
          <m:sSub>
            <m:sSubPr/>
            <m:e>
              <m:r>
                <m:rPr/>
                <m:t>g</m:t>
              </m:r>
            </m:e>
            <m:sub>
              <m:r>
                <m:rPr/>
                <m:t>j</m:t>
              </m:r>
            </m:sub>
          </m:sSub>
          <m:d>
            <m:dPr>
              <m:sepChr m:val=""/>
            </m:dPr>
            <m:e>
              <m:r>
                <m:rPr/>
                <m:t>c</m:t>
              </m:r>
            </m:e>
          </m:d>
          <m:r>
            <m:rPr>
              <m:sty m:val="p"/>
            </m:rPr>
            <m:t>=</m:t>
          </m:r>
          <m:sSup>
            <m:sSupPr/>
            <m:e>
              <m:d>
                <m:dPr>
                  <m:sepChr m:val=""/>
                </m:dPr>
                <m:e>
                  <m:sSub>
                    <m:sSubPr/>
                    <m:e>
                      <m:r>
                        <m:rPr/>
                        <m:t>θ</m:t>
                      </m:r>
                    </m:e>
                    <m:sub>
                      <m:sSup>
                        <m:sSupPr/>
                        <m:e>
                          <m:r>
                            <m:rPr/>
                            <m:t>k</m:t>
                          </m:r>
                        </m:e>
                        <m:sup>
                          <m:r>
                            <m:rPr>
                              <m:sty m:val="p"/>
                            </m:rPr>
                            <m:t>∗</m:t>
                          </m:r>
                        </m:sup>
                      </m:sSup>
                    </m:sub>
                  </m:sSub>
                  <m:r>
                    <m:rPr>
                      <m:sty m:val="p"/>
                    </m:rPr>
                    <m:t>−</m:t>
                  </m:r>
                  <m:sSub>
                    <m:sSubPr/>
                    <m:e>
                      <m:r>
                        <m:rPr/>
                        <m:t>θ</m:t>
                      </m:r>
                    </m:e>
                    <m:sub>
                      <m:r>
                        <m:rPr/>
                        <m:t>j</m:t>
                      </m:r>
                    </m:sub>
                  </m:sSub>
                </m:e>
              </m:d>
            </m:e>
            <m:sup>
              <m:r>
                <m:rPr>
                  <m:sty m:val="p"/>
                </m:rPr>
                <m:t>⊤</m:t>
              </m:r>
            </m:sup>
          </m:sSup>
          <m:r>
            <m:rPr/>
            <m:t>c</m:t>
          </m:r>
          <m:r>
            <m:rPr>
              <m:sty m:val="p"/>
            </m:rPr>
            <m:t>.</m:t>
          </m:r>
        </m:oMath>
      </m:oMathPara>
    </w:p>
    <w:p w14:paraId="3EA10F98">
      <w:r>
        <w:t xml:space="preserve">Assume there exist </w:t>
      </w:r>
      <m:oMath>
        <m:r>
          <m:rPr/>
          <m:t>γ</m:t>
        </m:r>
        <m:r>
          <m:rPr>
            <m:sty m:val="p"/>
          </m:rPr>
          <m:t>&gt;</m:t>
        </m:r>
        <m:r>
          <m:rPr/>
          <m:t>0</m:t>
        </m:r>
      </m:oMath>
      <w:r>
        <w:t xml:space="preserve"> and </w:t>
      </w:r>
      <m:oMath>
        <m:r>
          <m:rPr/>
          <m:t>0</m:t>
        </m:r>
        <m:r>
          <m:rPr>
            <m:sty m:val="p"/>
          </m:rPr>
          <m:t>≤</m:t>
        </m:r>
        <m:r>
          <m:rPr/>
          <m:t>δ</m:t>
        </m:r>
        <m:r>
          <m:rPr>
            <m:sty m:val="p"/>
          </m:rPr>
          <m:t>&lt;</m:t>
        </m:r>
        <m:r>
          <m:rPr/>
          <m:t>1</m:t>
        </m:r>
      </m:oMath>
      <w:r>
        <w:t xml:space="preserve"> such that</w:t>
      </w:r>
    </w:p>
    <w:p w14:paraId="0C273566">
      <m:oMathPara>
        <m:oMathParaPr>
          <m:jc m:val="center"/>
        </m:oMathParaPr>
        <m:oMath>
          <m:sSub>
            <m:sSubPr/>
            <m:e>
              <m:r>
                <m:rPr/>
                <m:t>P</m:t>
              </m:r>
            </m:e>
            <m:sub>
              <m:r>
                <m:rPr/>
                <m:t>S</m:t>
              </m:r>
            </m:sub>
          </m:sSub>
          <m:d>
            <m:dPr>
              <m:sepChr m:val=""/>
            </m:dPr>
            <m:e>
              <m:sSub>
                <m:sSubPr/>
                <m:e>
                  <m:r>
                    <m:rPr/>
                    <m:t>G</m:t>
                  </m:r>
                </m:e>
                <m:sub>
                  <m:r>
                    <m:rPr/>
                    <m:t>γ</m:t>
                  </m:r>
                </m:sub>
              </m:sSub>
            </m:e>
          </m:d>
          <m:r>
            <m:rPr>
              <m:sty m:val="p"/>
            </m:rPr>
            <m:t>≥</m:t>
          </m:r>
          <m:r>
            <m:rPr/>
            <m:t>1</m:t>
          </m:r>
          <m:r>
            <m:rPr>
              <m:sty m:val="p"/>
            </m:rPr>
            <m:t>−</m:t>
          </m:r>
          <m:r>
            <m:rPr/>
            <m:t>δ</m:t>
          </m:r>
          <m:r>
            <m:rPr>
              <m:sty m:val="p"/>
            </m:rPr>
            <m:t>,</m:t>
          </m:r>
          <m:r>
            <m:rPr/>
            <m:t>  </m:t>
          </m:r>
          <m:sSub>
            <m:sSubPr/>
            <m:e>
              <m:r>
                <m:rPr/>
                <m:t>G</m:t>
              </m:r>
            </m:e>
            <m:sub>
              <m:r>
                <m:rPr/>
                <m:t>γ</m:t>
              </m:r>
            </m:sub>
          </m:sSub>
          <m:r>
            <m:rPr>
              <m:sty m:val="p"/>
            </m:rPr>
            <m:t>=</m:t>
          </m:r>
          <m:d>
            <m:dPr>
              <m:begChr m:val="{"/>
              <m:sepChr m:val=""/>
              <m:endChr m:val="}"/>
            </m:dPr>
            <m:e>
              <m:r>
                <m:rPr/>
                <m:t>c</m:t>
              </m:r>
              <m:r>
                <m:rPr>
                  <m:sty m:val="p"/>
                </m:rPr>
                <m:t>:</m:t>
              </m:r>
              <m:limLow>
                <m:limLowPr/>
                <m:e>
                  <m:r>
                    <m:rPr>
                      <m:sty m:val="p"/>
                    </m:rPr>
                    <m:t>min</m:t>
                  </m:r>
                </m:e>
                <m:lim>
                  <m:r>
                    <m:rPr/>
                    <m:t>j</m:t>
                  </m:r>
                  <m:r>
                    <m:rPr>
                      <m:sty m:val="p"/>
                    </m:rPr>
                    <m:t>≠</m:t>
                  </m:r>
                  <m:sSup>
                    <m:sSupPr/>
                    <m:e>
                      <m:r>
                        <m:rPr/>
                        <m:t>k</m:t>
                      </m:r>
                    </m:e>
                    <m:sup>
                      <m:r>
                        <m:rPr>
                          <m:sty m:val="p"/>
                        </m:rPr>
                        <m:t>∗</m:t>
                      </m:r>
                    </m:sup>
                  </m:sSup>
                </m:lim>
              </m:limLow>
              <m:sSub>
                <m:sSubPr/>
                <m:e>
                  <m:r>
                    <m:rPr/>
                    <m:t>g</m:t>
                  </m:r>
                </m:e>
                <m:sub>
                  <m:r>
                    <m:rPr/>
                    <m:t>j</m:t>
                  </m:r>
                </m:sub>
              </m:sSub>
              <m:d>
                <m:dPr>
                  <m:sepChr m:val=""/>
                </m:dPr>
                <m:e>
                  <m:r>
                    <m:rPr/>
                    <m:t>c</m:t>
                  </m:r>
                </m:e>
              </m:d>
              <m:r>
                <m:rPr>
                  <m:sty m:val="p"/>
                </m:rPr>
                <m:t>≥</m:t>
              </m:r>
              <m:r>
                <m:rPr/>
                <m:t>γ</m:t>
              </m:r>
            </m:e>
          </m:d>
          <m:r>
            <m:rPr>
              <m:sty m:val="p"/>
            </m:rPr>
            <m:t>.</m:t>
          </m:r>
        </m:oMath>
      </m:oMathPara>
    </w:p>
    <w:p w14:paraId="5DD6DF9A">
      <w:r>
        <w:t>Define</w:t>
      </w:r>
    </w:p>
    <w:p w14:paraId="511847F4">
      <m:oMathPara>
        <m:oMathParaPr>
          <m:jc m:val="center"/>
        </m:oMathParaPr>
        <m:oMath>
          <m:r>
            <m:rPr/>
            <m:t>B</m:t>
          </m:r>
          <m:r>
            <m:rPr>
              <m:sty m:val="p"/>
            </m:rPr>
            <m:t>=</m:t>
          </m:r>
          <m:limLow>
            <m:limLowPr/>
            <m:e>
              <m:r>
                <m:rPr>
                  <m:sty m:val="p"/>
                </m:rPr>
                <m:t>max</m:t>
              </m:r>
            </m:e>
            <m:lim>
              <m:r>
                <m:rPr/>
                <m:t>j</m:t>
              </m:r>
              <m:r>
                <m:rPr>
                  <m:sty m:val="p"/>
                </m:rPr>
                <m:t>≠</m:t>
              </m:r>
              <m:sSup>
                <m:sSupPr/>
                <m:e>
                  <m:r>
                    <m:rPr/>
                    <m:t>k</m:t>
                  </m:r>
                </m:e>
                <m:sup>
                  <m:r>
                    <m:rPr>
                      <m:sty m:val="p"/>
                    </m:rPr>
                    <m:t>∗</m:t>
                  </m:r>
                </m:sup>
              </m:sSup>
            </m:lim>
          </m:limLow>
          <m:r>
            <m:rPr>
              <m:sty m:val="p"/>
            </m:rPr>
            <m:t>∥</m:t>
          </m:r>
          <m:sSub>
            <m:sSubPr/>
            <m:e>
              <m:r>
                <m:rPr/>
                <m:t>θ</m:t>
              </m:r>
            </m:e>
            <m:sub>
              <m:sSup>
                <m:sSupPr/>
                <m:e>
                  <m:r>
                    <m:rPr/>
                    <m:t>k</m:t>
                  </m:r>
                </m:e>
                <m:sup>
                  <m:r>
                    <m:rPr>
                      <m:sty m:val="p"/>
                    </m:rPr>
                    <m:t>∗</m:t>
                  </m:r>
                </m:sup>
              </m:sSup>
            </m:sub>
          </m:sSub>
          <m:r>
            <m:rPr>
              <m:sty m:val="p"/>
            </m:rPr>
            <m:t>−</m:t>
          </m:r>
          <m:sSub>
            <m:sSubPr/>
            <m:e>
              <m:r>
                <m:rPr/>
                <m:t>θ</m:t>
              </m:r>
            </m:e>
            <m:sub>
              <m:r>
                <m:rPr/>
                <m:t>j</m:t>
              </m:r>
            </m:sub>
          </m:sSub>
          <m:sSub>
            <m:sSubPr/>
            <m:e>
              <m:r>
                <m:rPr>
                  <m:sty m:val="p"/>
                </m:rPr>
                <m:t>∥</m:t>
              </m:r>
            </m:e>
            <m:sub>
              <m:r>
                <m:rPr/>
                <m:t>2</m:t>
              </m:r>
            </m:sub>
          </m:sSub>
          <m:r>
            <m:rPr>
              <m:sty m:val="p"/>
            </m:rPr>
            <m:t>,</m:t>
          </m:r>
          <m:r>
            <m:rPr/>
            <m:t>  ρ</m:t>
          </m:r>
          <m:r>
            <m:rPr>
              <m:sty m:val="p"/>
            </m:rPr>
            <m:t>=</m:t>
          </m:r>
          <m:f>
            <m:fPr/>
            <m:num>
              <m:r>
                <m:rPr/>
                <m:t>γ</m:t>
              </m:r>
            </m:num>
            <m:den>
              <m:r>
                <m:rPr/>
                <m:t>B</m:t>
              </m:r>
            </m:den>
          </m:f>
          <m:r>
            <m:rPr>
              <m:sty m:val="p"/>
            </m:rPr>
            <m:t>.</m:t>
          </m:r>
        </m:oMath>
      </m:oMathPara>
    </w:p>
    <w:p w14:paraId="1E7884F1">
      <w:r>
        <w:t xml:space="preserve">Every </w:t>
      </w:r>
      <m:oMath>
        <m:r>
          <m:rPr/>
          <m:t>c</m:t>
        </m:r>
        <m:r>
          <m:rPr>
            <m:sty m:val="p"/>
          </m:rPr>
          <m:t>∈</m:t>
        </m:r>
        <m:sSub>
          <m:sSubPr/>
          <m:e>
            <m:r>
              <m:rPr/>
              <m:t>G</m:t>
            </m:r>
          </m:e>
          <m:sub>
            <m:r>
              <m:rPr/>
              <m:t>γ</m:t>
            </m:r>
          </m:sub>
        </m:sSub>
      </m:oMath>
      <w:r>
        <w:t xml:space="preserve"> remains in the </w:t>
      </w:r>
      <m:oMath>
        <m:sSup>
          <m:sSupPr/>
          <m:e>
            <m:r>
              <m:rPr/>
              <m:t>k</m:t>
            </m:r>
          </m:e>
          <m:sup>
            <m:r>
              <m:rPr>
                <m:sty m:val="p"/>
              </m:rPr>
              <m:t>∗</m:t>
            </m:r>
          </m:sup>
        </m:sSup>
      </m:oMath>
      <w:r>
        <w:t xml:space="preserve"> decision region after any perturbation of Euclidean norm less than </w:t>
      </w:r>
      <m:oMath>
        <m:r>
          <m:rPr/>
          <m:t>ρ</m:t>
        </m:r>
      </m:oMath>
      <w:r>
        <w:t xml:space="preserve">. Hence, for any coupling of </w:t>
      </w:r>
      <m:oMath>
        <m:sSub>
          <m:sSubPr/>
          <m:e>
            <m:r>
              <m:rPr/>
              <m:t>P</m:t>
            </m:r>
          </m:e>
          <m:sub>
            <m:r>
              <m:rPr/>
              <m:t>S</m:t>
            </m:r>
          </m:sub>
        </m:sSub>
      </m:oMath>
      <w:r>
        <w:t xml:space="preserve"> and </w:t>
      </w:r>
      <m:oMath>
        <m:sSub>
          <m:sSubPr/>
          <m:e>
            <m:r>
              <m:rPr/>
              <m:t>P</m:t>
            </m:r>
          </m:e>
          <m:sub>
            <m:r>
              <m:rPr/>
              <m:t>T</m:t>
            </m:r>
          </m:sub>
        </m:sSub>
      </m:oMath>
      <w:r>
        <w:t>, a union-bound and Markov-inequality argument gives</w:t>
      </w:r>
    </w:p>
    <w:p w14:paraId="54D858FB">
      <m:oMathPara>
        <m:oMathParaPr>
          <m:jc m:val="center"/>
        </m:oMathParaPr>
        <m:oMath>
          <m:sSub>
            <m:sSubPr/>
            <m:e>
              <m:r>
                <m:rPr/>
                <m:t>P</m:t>
              </m:r>
            </m:e>
            <m:sub>
              <m:r>
                <m:rPr/>
                <m:t>T</m:t>
              </m:r>
            </m:sub>
          </m:sSub>
          <m:d>
            <m:dPr>
              <m:sepChr m:val=""/>
            </m:dPr>
            <m:e>
              <m:r>
                <m:rPr/>
                <m:t>a</m:t>
              </m:r>
              <m:d>
                <m:dPr>
                  <m:sepChr m:val=""/>
                </m:dPr>
                <m:e>
                  <m:r>
                    <m:rPr/>
                    <m:t>c</m:t>
                  </m:r>
                </m:e>
              </m:d>
              <m:r>
                <m:rPr>
                  <m:sty m:val="p"/>
                </m:rPr>
                <m:t>=</m:t>
              </m:r>
              <m:sSup>
                <m:sSupPr/>
                <m:e>
                  <m:r>
                    <m:rPr/>
                    <m:t>k</m:t>
                  </m:r>
                </m:e>
                <m:sup>
                  <m:r>
                    <m:rPr>
                      <m:sty m:val="p"/>
                    </m:rPr>
                    <m:t>∗</m:t>
                  </m:r>
                </m:sup>
              </m:sSup>
            </m:e>
          </m:d>
          <m:r>
            <m:rPr>
              <m:sty m:val="p"/>
            </m:rPr>
            <m:t>≥</m:t>
          </m:r>
          <m:r>
            <m:rPr/>
            <m:t>1</m:t>
          </m:r>
          <m:r>
            <m:rPr>
              <m:sty m:val="p"/>
            </m:rPr>
            <m:t>−</m:t>
          </m:r>
          <m:r>
            <m:rPr/>
            <m:t>δ</m:t>
          </m:r>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r>
                <m:rPr/>
                <m:t>ρ</m:t>
              </m:r>
            </m:den>
          </m:f>
          <m:r>
            <m:rPr>
              <m:sty m:val="p"/>
            </m:rPr>
            <m:t>=</m:t>
          </m:r>
          <m:r>
            <m:rPr/>
            <m:t>1</m:t>
          </m:r>
          <m:r>
            <m:rPr>
              <m:sty m:val="p"/>
            </m:rPr>
            <m:t>−</m:t>
          </m:r>
          <m:r>
            <m:rPr/>
            <m:t>δ</m:t>
          </m:r>
          <m:r>
            <m:rPr>
              <m:sty m:val="p"/>
            </m:rPr>
            <m:t>−</m:t>
          </m:r>
          <m:f>
            <m:fPr/>
            <m:num>
              <m:r>
                <m:rPr/>
                <m:t>B</m:t>
              </m:r>
            </m:num>
            <m:den>
              <m:r>
                <m:rPr/>
                <m:t>γ</m:t>
              </m:r>
            </m:den>
          </m:f>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3DB14784">
      <w:r>
        <w:t xml:space="preserve">This deterministic bound does </w:t>
      </w:r>
      <w:r>
        <w:rPr>
          <w:b/>
          <w:bCs/>
        </w:rPr>
        <w:t>not</w:t>
      </w:r>
      <w:r>
        <w:t xml:space="preserve"> assume that the hard indicator itself is Lipschitz. Its validity comes from the explicit positive distance of most source probability mass from every competing decision boundary.</w:t>
      </w:r>
    </w:p>
    <w:p w14:paraId="23F442B9">
      <w:r>
        <w:rPr>
          <w:b/>
          <w:bCs/>
        </w:rPr>
        <w:t>Proposition 1 (Transfer of source action concentration, smoothed form).</w:t>
      </w:r>
      <w:r>
        <w:t xml:space="preserve"> Let </w:t>
      </w:r>
      <m:oMath>
        <m:sSub>
          <m:sSubPr/>
          <m:e>
            <m:r>
              <m:rPr/>
              <m:t>f</m:t>
            </m:r>
          </m:e>
          <m:sub>
            <m:sSup>
              <m:sSupPr/>
              <m:e>
                <m:r>
                  <m:rPr/>
                  <m:t>k</m:t>
                </m:r>
              </m:e>
              <m:sup>
                <m:r>
                  <m:rPr>
                    <m:sty m:val="p"/>
                  </m:rPr>
                  <m:t>∗</m:t>
                </m:r>
              </m:sup>
            </m:sSup>
          </m:sub>
        </m:sSub>
        <m:d>
          <m:dPr>
            <m:sepChr m:val=""/>
          </m:dPr>
          <m:e>
            <m:r>
              <m:rPr/>
              <m:t>c</m:t>
            </m:r>
          </m:e>
        </m:d>
      </m:oMath>
      <w:r>
        <w:t xml:space="preserve"> denote a genuinely smoothed probability that the frozen policy selects action </w:t>
      </w:r>
      <m:oMath>
        <m:sSup>
          <m:sSupPr/>
          <m:e>
            <m:r>
              <m:rPr/>
              <m:t>k</m:t>
            </m:r>
          </m:e>
          <m:sup>
            <m:r>
              <m:rPr>
                <m:sty m:val="p"/>
              </m:rPr>
              <m:t>∗</m:t>
            </m:r>
          </m:sup>
        </m:sSup>
      </m:oMath>
      <w:r>
        <w:t xml:space="preserve"> at context </w:t>
      </w:r>
      <m:oMath>
        <m:r>
          <m:rPr/>
          <m:t>c</m:t>
        </m:r>
      </m:oMath>
      <w:r>
        <w:t xml:space="preserve">, and suppose that </w:t>
      </w:r>
      <m:oMath>
        <m:sSub>
          <m:sSubPr/>
          <m:e>
            <m:r>
              <m:rPr/>
              <m:t>f</m:t>
            </m:r>
          </m:e>
          <m:sub>
            <m:sSup>
              <m:sSupPr/>
              <m:e>
                <m:r>
                  <m:rPr/>
                  <m:t>k</m:t>
                </m:r>
              </m:e>
              <m:sup>
                <m:r>
                  <m:rPr>
                    <m:sty m:val="p"/>
                  </m:rPr>
                  <m:t>∗</m:t>
                </m:r>
              </m:sup>
            </m:sSup>
          </m:sub>
        </m:sSub>
      </m:oMath>
      <w:r>
        <w:t xml:space="preserve"> is </w:t>
      </w:r>
      <m:oMath>
        <m:r>
          <m:rPr/>
          <m:t>L</m:t>
        </m:r>
      </m:oMath>
      <w:r>
        <w:t>-Lipschitz. If</w:t>
      </w:r>
    </w:p>
    <w:p w14:paraId="55F81831">
      <m:oMathPara>
        <m:oMathParaPr>
          <m:jc m:val="center"/>
        </m:oMathParaPr>
        <m:oMath>
          <m:sSub>
            <m:sSubPr/>
            <m:e>
              <m:r>
                <m:rPr>
                  <m:sty m:val="p"/>
                  <m:scr m:val="double-struck"/>
                </m:rPr>
                <m:t>E</m:t>
              </m:r>
            </m:e>
            <m:sub>
              <m:sSub>
                <m:sSubPr/>
                <m:e>
                  <m:r>
                    <m:rPr/>
                    <m:t>P</m:t>
                  </m:r>
                </m:e>
                <m:sub>
                  <m:r>
                    <m:rPr/>
                    <m:t>S</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oMath>
      </m:oMathPara>
    </w:p>
    <w:p w14:paraId="7E1D32D2">
      <w:r>
        <w:t xml:space="preserve">then, for any target context distribution </w:t>
      </w:r>
      <m:oMath>
        <m:sSub>
          <m:sSubPr/>
          <m:e>
            <m:r>
              <m:rPr/>
              <m:t>P</m:t>
            </m:r>
          </m:e>
          <m:sub>
            <m:r>
              <m:rPr/>
              <m:t>T</m:t>
            </m:r>
          </m:sub>
        </m:sSub>
      </m:oMath>
      <w:r>
        <w:t>,</w:t>
      </w:r>
    </w:p>
    <w:p w14:paraId="08F21346">
      <m:oMathPara>
        <m:oMathParaPr>
          <m:jc m:val="center"/>
        </m:oMathParaPr>
        <m:oMath>
          <m:sSub>
            <m:sSubPr/>
            <m:e>
              <m:r>
                <m:rPr>
                  <m:sty m:val="p"/>
                  <m:scr m:val="double-struck"/>
                </m:rPr>
                <m:t>E</m:t>
              </m:r>
            </m:e>
            <m:sub>
              <m:sSub>
                <m:sSubPr/>
                <m:e>
                  <m:r>
                    <m:rPr/>
                    <m:t>P</m:t>
                  </m:r>
                </m:e>
                <m:sub>
                  <m:r>
                    <m:rPr/>
                    <m:t>T</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43613F04">
      <w:r>
        <w:rPr>
          <w:b/>
          <w:bCs/>
        </w:rPr>
        <w:t>Proof.</w:t>
      </w:r>
      <w:r>
        <w:t xml:space="preserve"> By Kantorovich–Rubinstein duality, every </w:t>
      </w:r>
      <m:oMath>
        <m:r>
          <m:rPr/>
          <m:t>L</m:t>
        </m:r>
      </m:oMath>
      <w:r>
        <w:t xml:space="preserve">-Lipschitz function </w:t>
      </w:r>
      <m:oMath>
        <m:r>
          <m:rPr/>
          <m:t>f</m:t>
        </m:r>
      </m:oMath>
      <w:r>
        <w:t xml:space="preserve"> satisfies</w:t>
      </w:r>
    </w:p>
    <w:p w14:paraId="38FD66E7">
      <m:oMathPara>
        <m:oMathParaPr>
          <m:jc m:val="center"/>
        </m:oMathParaPr>
        <m:oMath>
          <m:d>
            <m:dPr>
              <m:begChr m:val="|"/>
              <m:sepChr m:val=""/>
              <m:endChr m:val="|"/>
            </m:dPr>
            <m:e>
              <m:sSub>
                <m:sSubPr/>
                <m:e>
                  <m:r>
                    <m:rPr>
                      <m:sty m:val="p"/>
                      <m:scr m:val="double-struck"/>
                    </m:rPr>
                    <m:t>E</m:t>
                  </m:r>
                </m:e>
                <m:sub>
                  <m:sSub>
                    <m:sSubPr/>
                    <m:e>
                      <m:r>
                        <m:rPr/>
                        <m:t>P</m:t>
                      </m:r>
                    </m:e>
                    <m:sub>
                      <m:r>
                        <m:rPr/>
                        <m:t>T</m:t>
                      </m:r>
                    </m:sub>
                  </m:sSub>
                </m:sub>
              </m:sSub>
              <m:d>
                <m:dPr>
                  <m:begChr m:val="["/>
                  <m:sepChr m:val=""/>
                  <m:endChr m:val="]"/>
                </m:dPr>
                <m:e>
                  <m:r>
                    <m:rPr/>
                    <m:t>f</m:t>
                  </m:r>
                </m:e>
              </m:d>
              <m:r>
                <m:rPr>
                  <m:sty m:val="p"/>
                </m:rPr>
                <m:t>−</m:t>
              </m:r>
              <m:sSub>
                <m:sSubPr/>
                <m:e>
                  <m:r>
                    <m:rPr>
                      <m:sty m:val="p"/>
                      <m:scr m:val="double-struck"/>
                    </m:rPr>
                    <m:t>E</m:t>
                  </m:r>
                </m:e>
                <m:sub>
                  <m:sSub>
                    <m:sSubPr/>
                    <m:e>
                      <m:r>
                        <m:rPr/>
                        <m:t>P</m:t>
                      </m:r>
                    </m:e>
                    <m:sub>
                      <m:r>
                        <m:rPr/>
                        <m:t>S</m:t>
                      </m:r>
                    </m:sub>
                  </m:sSub>
                </m:sub>
              </m:sSub>
              <m:d>
                <m:dPr>
                  <m:begChr m:val="["/>
                  <m:sepChr m:val=""/>
                  <m:endChr m:val="]"/>
                </m:dPr>
                <m:e>
                  <m:r>
                    <m:rPr/>
                    <m:t>f</m:t>
                  </m:r>
                </m:e>
              </m:d>
            </m:e>
          </m:d>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7EEDE872">
      <w:r>
        <w:t xml:space="preserve">Applying this inequality to </w:t>
      </w:r>
      <m:oMath>
        <m:sSub>
          <m:sSubPr/>
          <m:e>
            <m:r>
              <m:rPr/>
              <m:t>f</m:t>
            </m:r>
          </m:e>
          <m:sub>
            <m:sSup>
              <m:sSupPr/>
              <m:e>
                <m:r>
                  <m:rPr/>
                  <m:t>k</m:t>
                </m:r>
              </m:e>
              <m:sup>
                <m:r>
                  <m:rPr>
                    <m:sty m:val="p"/>
                  </m:rPr>
                  <m:t>∗</m:t>
                </m:r>
              </m:sup>
            </m:sSup>
          </m:sub>
        </m:sSub>
      </m:oMath>
      <w:r>
        <w:t xml:space="preserve"> 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14:paraId="343A5924">
      <w:r>
        <w:t>B.5 Formal Proof of Proposition 2</w:t>
      </w:r>
    </w:p>
    <w:p w14:paraId="599C7602">
      <w:r>
        <w:rPr>
          <w:b/>
          <w:bCs/>
        </w:rPr>
        <w:t>Proposition 2 (Formal statement).</w:t>
      </w:r>
      <w:r>
        <w:t xml:space="preserve"> For a </w:t>
      </w:r>
      <m:oMath>
        <m:r>
          <m:rPr/>
          <m:t>K</m:t>
        </m:r>
      </m:oMath>
      <w:r>
        <w:t xml:space="preserve">-action linear scoring policy with weight vectors </w:t>
      </w:r>
      <m:oMath>
        <m:sSub>
          <m:sSubPr/>
          <m:e>
            <m:r>
              <m:rPr/>
              <m:t>θ</m:t>
            </m:r>
          </m:e>
          <m:sub>
            <m:r>
              <m:rPr/>
              <m:t>1</m:t>
            </m:r>
          </m:sub>
        </m:sSub>
        <m:r>
          <m:rPr>
            <m:sty m:val="p"/>
          </m:rPr>
          <m:t>,…,</m:t>
        </m:r>
        <m:sSub>
          <m:sSubPr/>
          <m:e>
            <m:r>
              <m:rPr/>
              <m:t>θ</m:t>
            </m:r>
          </m:e>
          <m:sub>
            <m:r>
              <m:rPr/>
              <m:t>K</m:t>
            </m:r>
          </m:sub>
        </m:sSub>
      </m:oMath>
      <w:r>
        <w:t>, define</w:t>
      </w:r>
    </w:p>
    <w:p w14:paraId="54DCB67D">
      <m:oMathPara>
        <m:oMathParaPr>
          <m:jc m:val="center"/>
        </m:oMathParaPr>
        <m:oMath>
          <m:r>
            <m:rPr/>
            <m:t>a</m:t>
          </m:r>
          <m:d>
            <m:dPr>
              <m:sepChr m:val=""/>
            </m:dPr>
            <m:e>
              <m:r>
                <m:rPr/>
                <m:t>c</m:t>
              </m:r>
            </m:e>
          </m:d>
          <m:r>
            <m:rPr>
              <m:sty m:val="p"/>
            </m:rPr>
            <m:t>=arg</m:t>
          </m:r>
          <m:limLow>
            <m:limLowPr/>
            <m:e>
              <m:r>
                <m:rPr>
                  <m:sty m:val="p"/>
                </m:rPr>
                <m:t>max</m:t>
              </m:r>
            </m:e>
            <m:lim>
              <m:r>
                <m:rPr/>
                <m:t>k</m:t>
              </m:r>
            </m:lim>
          </m:limLow>
          <m:sSubSup>
            <m:sSubSupPr/>
            <m:e>
              <m:r>
                <m:rPr/>
                <m:t>θ</m:t>
              </m:r>
            </m:e>
            <m:sub>
              <m:r>
                <m:rPr/>
                <m:t>k</m:t>
              </m:r>
            </m:sub>
            <m:sup>
              <m:r>
                <m:rPr>
                  <m:sty m:val="p"/>
                </m:rPr>
                <m:t>⊤</m:t>
              </m:r>
            </m:sup>
          </m:sSubSup>
          <m:r>
            <m:rPr/>
            <m:t>c</m:t>
          </m:r>
          <m:r>
            <m:rPr>
              <m:sty m:val="p"/>
            </m:rPr>
            <m:t>,</m:t>
          </m:r>
          <m:r>
            <m:rPr/>
            <m:t>  m</m:t>
          </m:r>
          <m:d>
            <m:dPr>
              <m:sepChr m:val=""/>
            </m:dPr>
            <m:e>
              <m:r>
                <m:rPr/>
                <m:t>c</m:t>
              </m:r>
            </m:e>
          </m:d>
          <m:r>
            <m:rPr>
              <m:sty m:val="p"/>
            </m:rPr>
            <m:t>=</m:t>
          </m:r>
          <m:sSubSup>
            <m:sSubSupPr/>
            <m:e>
              <m:r>
                <m:rPr/>
                <m:t>θ</m:t>
              </m:r>
            </m:e>
            <m:sub>
              <m:r>
                <m:rPr/>
                <m:t>a</m:t>
              </m:r>
              <m:d>
                <m:dPr>
                  <m:sepChr m:val=""/>
                </m:dPr>
                <m:e>
                  <m:r>
                    <m:rPr/>
                    <m:t>c</m:t>
                  </m:r>
                </m:e>
              </m:d>
            </m:sub>
            <m:sup>
              <m:r>
                <m:rPr>
                  <m:sty m:val="p"/>
                </m:rPr>
                <m:t>⊤</m:t>
              </m:r>
            </m:sup>
          </m:sSubSup>
          <m:r>
            <m:rPr/>
            <m:t>c</m:t>
          </m:r>
          <m:r>
            <m:rPr>
              <m:sty m:val="p"/>
            </m:rPr>
            <m:t>−</m:t>
          </m:r>
          <m:limLow>
            <m:limLowPr/>
            <m:e>
              <m:r>
                <m:rPr>
                  <m:sty m:val="p"/>
                </m:rPr>
                <m:t>max</m:t>
              </m:r>
            </m:e>
            <m:lim>
              <m:r>
                <m:rPr/>
                <m:t>j</m:t>
              </m:r>
              <m:r>
                <m:rPr>
                  <m:sty m:val="p"/>
                </m:rPr>
                <m:t>≠</m:t>
              </m:r>
              <m:r>
                <m:rPr/>
                <m:t>a</m:t>
              </m:r>
              <m:d>
                <m:dPr>
                  <m:sepChr m:val=""/>
                </m:dPr>
                <m:e>
                  <m:r>
                    <m:rPr/>
                    <m:t>c</m:t>
                  </m:r>
                </m:e>
              </m:d>
            </m:lim>
          </m:limLow>
          <m:sSubSup>
            <m:sSubSupPr/>
            <m:e>
              <m:r>
                <m:rPr/>
                <m:t>θ</m:t>
              </m:r>
            </m:e>
            <m:sub>
              <m:r>
                <m:rPr/>
                <m:t>j</m:t>
              </m:r>
            </m:sub>
            <m:sup>
              <m:r>
                <m:rPr>
                  <m:sty m:val="p"/>
                </m:rPr>
                <m:t>⊤</m:t>
              </m:r>
            </m:sup>
          </m:sSubSup>
          <m:r>
            <m:rPr/>
            <m:t>c</m:t>
          </m:r>
          <m:r>
            <m:rPr>
              <m:sty m:val="p"/>
            </m:rPr>
            <m:t>,</m:t>
          </m:r>
        </m:oMath>
      </m:oMathPara>
    </w:p>
    <w:p w14:paraId="6DE262D4">
      <w:r>
        <w:t>and let</w:t>
      </w:r>
    </w:p>
    <w:p w14:paraId="789AD326">
      <m:oMathPara>
        <m:oMathParaPr>
          <m:jc m:val="center"/>
        </m:oMathParaPr>
        <m:oMath>
          <m:sSub>
            <m:sSubPr/>
            <m:e>
              <m:r>
                <m:rPr/>
                <m:t>d</m:t>
              </m:r>
            </m:e>
            <m:sub>
              <m:r>
                <m:rPr/>
                <m:t>T</m:t>
              </m:r>
            </m:sub>
          </m:sSub>
          <m:r>
            <m:rPr>
              <m:sty m:val="p"/>
            </m:rPr>
            <m:t>=diam</m:t>
          </m:r>
          <m:d>
            <m:dPr>
              <m:sepChr m:val=""/>
            </m:dPr>
            <m:e>
              <m:sSub>
                <m:sSubPr/>
                <m:e>
                  <m:r>
                    <m:rPr/>
                    <m:t>C</m:t>
                  </m:r>
                </m:e>
                <m:sub>
                  <m:r>
                    <m:rPr/>
                    <m:t>T</m:t>
                  </m:r>
                </m:sub>
              </m:sSub>
            </m:e>
          </m:d>
          <m:r>
            <m:rPr>
              <m:sty m:val="p"/>
            </m:rPr>
            <m:t>,</m:t>
          </m:r>
          <m:r>
            <m:rPr/>
            <m:t>  M</m:t>
          </m:r>
          <m:r>
            <m:rPr>
              <m:sty m:val="p"/>
            </m:rPr>
            <m:t>=</m:t>
          </m:r>
          <m:limLow>
            <m:limLowPr/>
            <m:e>
              <m:r>
                <m:rPr>
                  <m:sty m:val="p"/>
                </m:rPr>
                <m:t>max</m:t>
              </m:r>
            </m:e>
            <m:lim>
              <m:r>
                <m:rPr/>
                <m:t>k</m:t>
              </m:r>
            </m:lim>
          </m:limLow>
          <m:r>
            <m:rPr>
              <m:sty m:val="p"/>
            </m:rPr>
            <m:t>∥</m:t>
          </m:r>
          <m:sSub>
            <m:sSubPr/>
            <m:e>
              <m:r>
                <m:rPr/>
                <m:t>θ</m:t>
              </m:r>
            </m:e>
            <m:sub>
              <m:r>
                <m:rPr/>
                <m:t>k</m:t>
              </m:r>
            </m:sub>
          </m:sSub>
          <m:sSub>
            <m:sSubPr/>
            <m:e>
              <m:r>
                <m:rPr>
                  <m:sty m:val="p"/>
                </m:rPr>
                <m:t>∥</m:t>
              </m:r>
            </m:e>
            <m:sub>
              <m:r>
                <m:rPr/>
                <m:t>2</m:t>
              </m:r>
            </m:sub>
          </m:sSub>
          <m:r>
            <m:rPr>
              <m:sty m:val="p"/>
            </m:rPr>
            <m:t>.</m:t>
          </m:r>
        </m:oMath>
      </m:oMathPara>
    </w:p>
    <w:p w14:paraId="6D29CBDA">
      <w:r>
        <w:t>If</w:t>
      </w:r>
    </w:p>
    <w:p w14:paraId="752CE0A3">
      <m:oMathPara>
        <m:oMathParaPr>
          <m:jc m:val="center"/>
        </m:oMathParaPr>
        <m:oMath>
          <m:limLow>
            <m:limLowPr/>
            <m:e>
              <m:r>
                <m:rPr>
                  <m:sty m:val="p"/>
                </m:rPr>
                <m:t>inf</m:t>
              </m:r>
            </m:e>
            <m:lim>
              <m:r>
                <m:rPr/>
                <m:t>c</m:t>
              </m:r>
              <m:r>
                <m:rPr>
                  <m:sty m:val="p"/>
                </m:rPr>
                <m:t>∈</m:t>
              </m:r>
              <m:sSub>
                <m:sSubPr/>
                <m:e>
                  <m:r>
                    <m:rPr/>
                    <m:t>C</m:t>
                  </m:r>
                </m:e>
                <m:sub>
                  <m:r>
                    <m:rPr/>
                    <m:t>T</m:t>
                  </m:r>
                </m:sub>
              </m:sSub>
            </m:lim>
          </m:limLow>
          <m:r>
            <m:rPr/>
            <m:t>m</m:t>
          </m:r>
          <m:d>
            <m:dPr>
              <m:sepChr m:val=""/>
            </m:dPr>
            <m:e>
              <m:r>
                <m:rPr/>
                <m:t>c</m:t>
              </m:r>
            </m:e>
          </m:d>
          <m:r>
            <m:rPr>
              <m:sty m:val="p"/>
            </m:rPr>
            <m:t>&gt;</m:t>
          </m:r>
          <m:r>
            <m:rPr/>
            <m:t>2M</m:t>
          </m:r>
          <m:sSub>
            <m:sSubPr/>
            <m:e>
              <m:r>
                <m:rPr/>
                <m:t>d</m:t>
              </m:r>
            </m:e>
            <m:sub>
              <m:r>
                <m:rPr/>
                <m:t>T</m:t>
              </m:r>
            </m:sub>
          </m:sSub>
          <m:r>
            <m:rPr>
              <m:sty m:val="p"/>
            </m:rPr>
            <m:t>,</m:t>
          </m:r>
        </m:oMath>
      </m:oMathPara>
    </w:p>
    <w:p w14:paraId="2EA6F6C4">
      <w:r>
        <w:t xml:space="preserve">then the policy selects the same action for every </w:t>
      </w:r>
      <m:oMath>
        <m:r>
          <m:rPr/>
          <m:t>c</m:t>
        </m:r>
        <m:r>
          <m:rPr>
            <m:sty m:val="p"/>
          </m:rPr>
          <m:t>∈</m:t>
        </m:r>
        <m:sSub>
          <m:sSubPr/>
          <m:e>
            <m:r>
              <m:rPr/>
              <m:t>C</m:t>
            </m:r>
          </m:e>
          <m:sub>
            <m:r>
              <m:rPr/>
              <m:t>T</m:t>
            </m:r>
          </m:sub>
        </m:sSub>
      </m:oMath>
      <w:r>
        <w:t>.</w:t>
      </w:r>
    </w:p>
    <w:p w14:paraId="350C17CC">
      <w:r>
        <w:rPr>
          <w:b/>
          <w:bCs/>
        </w:rPr>
        <w:t>Proof.</w:t>
      </w:r>
      <w:r>
        <w:t xml:space="preserve"> Fix any </w:t>
      </w:r>
      <m:oMath>
        <m:r>
          <m:rPr/>
          <m:t>c</m:t>
        </m:r>
        <m:r>
          <m:rPr>
            <m:sty m:val="p"/>
          </m:rPr>
          <m:t>,</m:t>
        </m:r>
        <m:r>
          <m:rPr/>
          <m:t>c</m:t>
        </m:r>
        <m:r>
          <m:rPr>
            <m:sty m:val="p"/>
          </m:rPr>
          <m:t>′∈</m:t>
        </m:r>
        <m:sSub>
          <m:sSubPr/>
          <m:e>
            <m:r>
              <m:rPr/>
              <m:t>C</m:t>
            </m:r>
          </m:e>
          <m:sub>
            <m:r>
              <m:rPr/>
              <m:t>T</m:t>
            </m:r>
          </m:sub>
        </m:sSub>
      </m:oMath>
      <w:r>
        <w:t xml:space="preserve"> and let </w:t>
      </w:r>
      <m:oMath>
        <m:r>
          <m:rPr/>
          <m:t>a</m:t>
        </m:r>
        <m:r>
          <m:rPr>
            <m:sty m:val="p"/>
          </m:rPr>
          <m:t>=</m:t>
        </m:r>
        <m:r>
          <m:rPr/>
          <m:t>a</m:t>
        </m:r>
        <m:d>
          <m:dPr>
            <m:sepChr m:val=""/>
          </m:dPr>
          <m:e>
            <m:r>
              <m:rPr/>
              <m:t>c</m:t>
            </m:r>
          </m:e>
        </m:d>
      </m:oMath>
      <w:r>
        <w:t xml:space="preserve">. For every competitor </w:t>
      </w:r>
      <m:oMath>
        <m:r>
          <m:rPr/>
          <m:t>j</m:t>
        </m:r>
        <m:r>
          <m:rPr>
            <m:sty m:val="p"/>
          </m:rPr>
          <m:t>≠</m:t>
        </m:r>
        <m:r>
          <m:rPr/>
          <m:t>a</m:t>
        </m:r>
      </m:oMath>
      <w:r>
        <w:t>,</w:t>
      </w:r>
    </w:p>
    <w:p w14:paraId="4C610739">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d>
            <m:dPr>
              <m:sepChr m:val=""/>
            </m:dPr>
            <m:e>
              <m:r>
                <m:rPr/>
                <m:t>c</m:t>
              </m:r>
              <m:r>
                <m:rPr>
                  <m:sty m:val="p"/>
                </m:rPr>
                <m:t>′−</m:t>
              </m:r>
              <m:r>
                <m:rPr/>
                <m:t>c</m:t>
              </m:r>
            </m:e>
          </m:d>
          <m:r>
            <m:rPr>
              <m:sty m:val="p"/>
            </m:rPr>
            <m:t>.</m:t>
          </m:r>
        </m:oMath>
      </m:oMathPara>
    </w:p>
    <w:p w14:paraId="62E09376">
      <w:r>
        <w:t>By Cauchy–Schwarz,</w:t>
      </w:r>
    </w:p>
    <w:p w14:paraId="1238F0CC">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r>
            <m:rPr/>
            <m:t>m</m:t>
          </m:r>
          <m:d>
            <m:dPr>
              <m:sepChr m:val=""/>
            </m:dPr>
            <m:e>
              <m:r>
                <m:rPr/>
                <m:t>c</m:t>
              </m:r>
            </m:e>
          </m:d>
          <m:r>
            <m:rPr>
              <m:sty m:val="p"/>
            </m:rPr>
            <m:t>−∥</m:t>
          </m:r>
          <m:sSub>
            <m:sSubPr/>
            <m:e>
              <m:r>
                <m:rPr/>
                <m:t>θ</m:t>
              </m:r>
            </m:e>
            <m:sub>
              <m:r>
                <m:rPr/>
                <m:t>a</m:t>
              </m:r>
            </m:sub>
          </m:sSub>
          <m:r>
            <m:rPr>
              <m:sty m:val="p"/>
            </m:rPr>
            <m:t>−</m:t>
          </m:r>
          <m:sSub>
            <m:sSubPr/>
            <m:e>
              <m:r>
                <m:rPr/>
                <m:t>θ</m:t>
              </m:r>
            </m:e>
            <m:sub>
              <m:r>
                <m:rPr/>
                <m:t>j</m:t>
              </m:r>
            </m:sub>
          </m:sSub>
          <m:sSub>
            <m:sSubPr/>
            <m:e>
              <m:r>
                <m:rPr>
                  <m:sty m:val="p"/>
                </m:rPr>
                <m:t>∥</m:t>
              </m:r>
            </m:e>
            <m:sub>
              <m:r>
                <m:rPr/>
                <m:t>2</m:t>
              </m:r>
            </m:sub>
          </m:sSub>
          <m:r>
            <m:rPr/>
            <m:t> </m:t>
          </m:r>
          <m:r>
            <m:rPr>
              <m:sty m:val="p"/>
            </m:rPr>
            <m:t>∥</m:t>
          </m:r>
          <m:r>
            <m:rPr/>
            <m:t>c</m:t>
          </m:r>
          <m:r>
            <m:rPr>
              <m:sty m:val="p"/>
            </m:rPr>
            <m:t>′−</m:t>
          </m:r>
          <m:r>
            <m:rPr/>
            <m:t>c</m:t>
          </m:r>
          <m:sSub>
            <m:sSubPr/>
            <m:e>
              <m:r>
                <m:rPr>
                  <m:sty m:val="p"/>
                </m:rPr>
                <m:t>∥</m:t>
              </m:r>
            </m:e>
            <m:sub>
              <m:r>
                <m:rPr/>
                <m:t>2</m:t>
              </m:r>
            </m:sub>
          </m:sSub>
          <m:r>
            <m:rPr>
              <m:sty m:val="p"/>
            </m:rPr>
            <m:t>≥</m:t>
          </m:r>
          <m:r>
            <m:rPr/>
            <m:t>m</m:t>
          </m:r>
          <m:d>
            <m:dPr>
              <m:sepChr m:val=""/>
            </m:dPr>
            <m:e>
              <m:r>
                <m:rPr/>
                <m:t>c</m:t>
              </m:r>
            </m:e>
          </m:d>
          <m:r>
            <m:rPr>
              <m:sty m:val="p"/>
            </m:rPr>
            <m:t>−</m:t>
          </m:r>
          <m:r>
            <m:rPr/>
            <m:t>2M</m:t>
          </m:r>
          <m:sSub>
            <m:sSubPr/>
            <m:e>
              <m:r>
                <m:rPr/>
                <m:t>d</m:t>
              </m:r>
            </m:e>
            <m:sub>
              <m:r>
                <m:rPr/>
                <m:t>T</m:t>
              </m:r>
            </m:sub>
          </m:sSub>
          <m:r>
            <m:rPr>
              <m:sty m:val="p"/>
            </m:rPr>
            <m:t>&gt;</m:t>
          </m:r>
          <m:r>
            <m:rPr/>
            <m:t>0</m:t>
          </m:r>
          <m:r>
            <m:rPr>
              <m:sty m:val="p"/>
            </m:rPr>
            <m:t>.</m:t>
          </m:r>
        </m:oMath>
      </m:oMathPara>
    </w:p>
    <w:p w14:paraId="26B21708">
      <w:r>
        <w:t xml:space="preserve">Thus </w:t>
      </w:r>
      <m:oMath>
        <m:sSubSup>
          <m:sSubSupPr/>
          <m:e>
            <m:r>
              <m:rPr/>
              <m:t>θ</m:t>
            </m:r>
          </m:e>
          <m:sub>
            <m:r>
              <m:rPr/>
              <m:t>a</m:t>
            </m:r>
          </m:sub>
          <m:sup>
            <m:r>
              <m:rPr>
                <m:sty m:val="p"/>
              </m:rPr>
              <m:t>⊤</m:t>
            </m:r>
          </m:sup>
        </m:sSubSup>
        <m:r>
          <m:rPr/>
          <m:t>c</m:t>
        </m:r>
        <m:r>
          <m:rPr>
            <m:sty m:val="p"/>
          </m:rPr>
          <m:t>′&gt;</m:t>
        </m:r>
        <m:sSubSup>
          <m:sSubSupPr/>
          <m:e>
            <m:r>
              <m:rPr/>
              <m:t>θ</m:t>
            </m:r>
          </m:e>
          <m:sub>
            <m:r>
              <m:rPr/>
              <m:t>j</m:t>
            </m:r>
          </m:sub>
          <m:sup>
            <m:r>
              <m:rPr>
                <m:sty m:val="p"/>
              </m:rPr>
              <m:t>⊤</m:t>
            </m:r>
          </m:sup>
        </m:sSubSup>
        <m:r>
          <m:rPr/>
          <m:t>c</m:t>
        </m:r>
        <m:r>
          <m:rPr>
            <m:sty m:val="p"/>
          </m:rPr>
          <m:t>′</m:t>
        </m:r>
      </m:oMath>
      <w:r>
        <w:t xml:space="preserve"> for every </w:t>
      </w:r>
      <m:oMath>
        <m:r>
          <m:rPr/>
          <m:t>j</m:t>
        </m:r>
        <m:r>
          <m:rPr>
            <m:sty m:val="p"/>
          </m:rPr>
          <m:t>≠</m:t>
        </m:r>
        <m:r>
          <m:rPr/>
          <m:t>a</m:t>
        </m:r>
      </m:oMath>
      <w:r>
        <w:t xml:space="preserve">, so </w:t>
      </w:r>
      <m:oMath>
        <m:r>
          <m:rPr/>
          <m:t>a</m:t>
        </m:r>
        <m:d>
          <m:dPr>
            <m:sepChr m:val=""/>
          </m:dPr>
          <m:e>
            <m:r>
              <m:rPr/>
              <m:t>c</m:t>
            </m:r>
            <m:r>
              <m:rPr>
                <m:sty m:val="p"/>
              </m:rPr>
              <m:t>′</m:t>
            </m:r>
          </m:e>
        </m:d>
        <m:r>
          <m:rPr>
            <m:sty m:val="p"/>
          </m:rPr>
          <m:t>=</m:t>
        </m:r>
        <m:r>
          <m:rPr/>
          <m:t>a</m:t>
        </m:r>
        <m:d>
          <m:dPr>
            <m:sepChr m:val=""/>
          </m:dPr>
          <m:e>
            <m:r>
              <m:rPr/>
              <m:t>c</m:t>
            </m:r>
          </m:e>
        </m:d>
      </m:oMath>
      <w:r>
        <w:t xml:space="preserve">. Because </w:t>
      </w:r>
      <m:oMath>
        <m:r>
          <m:rPr/>
          <m:t>c</m:t>
        </m:r>
      </m:oMath>
      <w:r>
        <w:t xml:space="preserve"> and </w:t>
      </w:r>
      <m:oMath>
        <m:r>
          <m:rPr/>
          <m:t>c</m:t>
        </m:r>
        <m:r>
          <m:rPr>
            <m:sty m:val="p"/>
          </m:rPr>
          <m:t>′</m:t>
        </m:r>
      </m:oMath>
      <w:r>
        <w:t xml:space="preserve"> were arbitrary, the selected action is constant on </w:t>
      </w:r>
      <m:oMath>
        <m:sSub>
          <m:sSubPr/>
          <m:e>
            <m:r>
              <m:rPr/>
              <m:t>C</m:t>
            </m:r>
          </m:e>
          <m:sub>
            <m:r>
              <m:rPr/>
              <m:t>T</m:t>
            </m:r>
          </m:sub>
        </m:sSub>
      </m:oMath>
      <w:r>
        <w:t>.</w:t>
      </w:r>
    </w:p>
    <w:p w14:paraId="2A861AA4">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C: LinUCB Exploration Parameter Sensitivity Analysis Detail</w:t>
      </w:r>
    </w:p>
    <w:p w14:paraId="7AC8C22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eastAsia" w:ascii="Google Sans" w:hAnsi="Google Sans" w:eastAsia="Google Sans" w:cs="Google Sans"/>
          <w:color w:val="1F1F1F"/>
          <w:lang w:eastAsia="zh-CN"/>
        </w:rPr>
      </w:pPr>
      <w:r>
        <w:rPr>
          <w:rFonts w:ascii="Times New Roman" w:hAnsi="Times New Roman" w:eastAsia="Times New Roman" w:cs="Google Sans"/>
          <w:color w:val="1F1F1F"/>
          <w:sz w:val="24"/>
          <w:rtl w:val="0"/>
        </w:rPr>
        <w:t xml:space="preserve">To further check our findings, we plotted the relationship between the exploration parameter </w:t>
      </w:r>
      <w:r>
        <w:t>α</w:t>
      </w:r>
      <w:r>
        <w:rPr>
          <w:rFonts w:ascii="Times New Roman" w:hAnsi="Times New Roman" w:eastAsia="Times New Roman" w:cs="Google Sans"/>
          <w:color w:val="1F1F1F"/>
          <w:sz w:val="24"/>
          <w:rtl w:val="0"/>
        </w:rPr>
        <w:t xml:space="preserve"> and the action selection patterns.</w:t>
      </w:r>
      <w:r>
        <w:rPr>
          <w:rFonts w:ascii="Times New Roman" w:hAnsi="Times New Roman" w:eastAsia="Times New Roman" w:cs="Google Sans"/>
          <w:color w:val="1F1F1F"/>
          <w:sz w:val="24"/>
          <w:rtl w:val="0"/>
        </w:rPr>
        <w:br w:type="textWrapping"/>
      </w:r>
      <w:r>
        <w:rPr>
          <w:rFonts w:hint="eastAsia" w:ascii="Times New Roman" w:hAnsi="Times New Roman" w:eastAsia="Times New Roman" w:cs="Google Sans"/>
          <w:color w:val="1F1F1F"/>
          <w:sz w:val="24"/>
          <w:lang w:eastAsia="zh-CN"/>
        </w:rPr>
        <w:drawing>
          <wp:inline distT="0" distB="0" distL="114300" distR="114300">
            <wp:extent cx="5930900" cy="4448175"/>
            <wp:effectExtent l="0" t="0" r="12700" b="22225"/>
            <wp:docPr id="1" name="图片 1" descr="ChatGPT Image 2026年7月13日 14_44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7月13日 14_44_36"/>
                    <pic:cNvPicPr>
                      <a:picLocks noChangeAspect="1"/>
                    </pic:cNvPicPr>
                  </pic:nvPicPr>
                  <pic:blipFill>
                    <a:blip r:embed="rId8"/>
                    <a:stretch>
                      <a:fillRect/>
                    </a:stretch>
                  </pic:blipFill>
                  <pic:spPr>
                    <a:xfrm>
                      <a:off x="0" y="0"/>
                      <a:ext cx="5930900" cy="4448175"/>
                    </a:xfrm>
                    <a:prstGeom prst="rect">
                      <a:avLst/>
                    </a:prstGeom>
                  </pic:spPr>
                </pic:pic>
              </a:graphicData>
            </a:graphic>
          </wp:inline>
        </w:drawing>
      </w:r>
    </w:p>
    <w:p w14:paraId="7D1A6128">
      <w:pPr>
        <w:jc w:val="center"/>
      </w:pPr>
      <w:r>
        <w:rPr>
          <w:rFonts w:ascii="Times New Roman" w:hAnsi="Times New Roman"/>
          <w:i/>
          <w:sz w:val="18"/>
        </w:rPr>
        <w:t>Figure 2. Sensitivity of source-policy action concentration to the LinUCB exploration parameter α for SPY and TLT.</w:t>
      </w:r>
    </w:p>
    <w:p w14:paraId="38B7896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flat line for SPY confirms that increasing exploration parameter </w:t>
      </w:r>
      <w:r>
        <w:t>α</w:t>
      </w:r>
      <w:r>
        <w:rPr>
          <w:rFonts w:ascii="Times New Roman" w:hAnsi="Times New Roman" w:eastAsia="Times New Roman" w:cs="Google Sans"/>
          <w:color w:val="1F1F1F"/>
          <w:sz w:val="24"/>
          <w:rtl w:val="0"/>
        </w:rPr>
        <w:t xml:space="preserve"> is completely ineffective at breaking the training-induced static collapse. For TLT, a larger </w:t>
      </w:r>
      <w:r>
        <w:t>α</w:t>
      </w:r>
      <w:r>
        <w:rPr>
          <w:rFonts w:ascii="Times New Roman" w:hAnsi="Times New Roman" w:eastAsia="Times New Roman" w:cs="Google Sans"/>
          <w:color w:val="1F1F1F"/>
          <w:sz w:val="24"/>
          <w:rtl w:val="0"/>
        </w:rPr>
        <w:t xml:space="preserve"> gradually decreases the modal share by adding exploration noise, but this does not alter the underlying structural parameter mapping.</w:t>
      </w:r>
    </w:p>
    <w:p w14:paraId="2C21326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p>
    <w:sectPr>
      <w:footerReference r:id="rId5" w:type="default"/>
      <w:pgSz w:w="12240" w:h="15840"/>
      <w:pgMar w:top="1037" w:right="1123" w:bottom="1037" w:left="1123" w:header="0" w:footer="720" w:gutter="0"/>
      <w:lnNumType w:countBy="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D54E820-977B-9A8F-E54C-566AE82A5DD3}"/>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F9FA13E0-DF28-2AAC-E54C-566A01C0C75A}"/>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763E8">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F71FC"/>
    <w:multiLevelType w:val="multilevel"/>
    <w:tmpl w:val="971F71F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D4AA5A6"/>
    <w:multiLevelType w:val="multilevel"/>
    <w:tmpl w:val="9D4AA5A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D7CFEAC"/>
    <w:multiLevelType w:val="multilevel"/>
    <w:tmpl w:val="9D7CFEA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9FEEF950"/>
    <w:multiLevelType w:val="multilevel"/>
    <w:tmpl w:val="9FEEF950"/>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A5FE3AB2"/>
    <w:multiLevelType w:val="multilevel"/>
    <w:tmpl w:val="A5FE3AB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A7BCC9CE"/>
    <w:multiLevelType w:val="multilevel"/>
    <w:tmpl w:val="A7BCC9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A7F35702"/>
    <w:multiLevelType w:val="multilevel"/>
    <w:tmpl w:val="A7F3570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B3FF5596"/>
    <w:multiLevelType w:val="multilevel"/>
    <w:tmpl w:val="B3FF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B7F2DCB"/>
    <w:multiLevelType w:val="multilevel"/>
    <w:tmpl w:val="BB7F2DC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DBEA3EF"/>
    <w:multiLevelType w:val="multilevel"/>
    <w:tmpl w:val="BDBEA3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EFE8DB9"/>
    <w:multiLevelType w:val="multilevel"/>
    <w:tmpl w:val="BEFE8DB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F1F1E0A"/>
    <w:multiLevelType w:val="multilevel"/>
    <w:tmpl w:val="BF1F1E0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BFBE9E55"/>
    <w:multiLevelType w:val="multilevel"/>
    <w:tmpl w:val="BFBE9E5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BFDCBC74"/>
    <w:multiLevelType w:val="multilevel"/>
    <w:tmpl w:val="BFDCBC7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BFFD49BD"/>
    <w:multiLevelType w:val="multilevel"/>
    <w:tmpl w:val="BFFD49B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BFFFB1DE"/>
    <w:multiLevelType w:val="multilevel"/>
    <w:tmpl w:val="BFFFB1D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C7FE5596"/>
    <w:multiLevelType w:val="multilevel"/>
    <w:tmpl w:val="C7FE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CC7A36F4"/>
    <w:multiLevelType w:val="multilevel"/>
    <w:tmpl w:val="CC7A36F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CFF5BCE2"/>
    <w:multiLevelType w:val="multilevel"/>
    <w:tmpl w:val="CFF5BCE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D7FF465E"/>
    <w:multiLevelType w:val="multilevel"/>
    <w:tmpl w:val="D7FF465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D8F4EA64"/>
    <w:multiLevelType w:val="multilevel"/>
    <w:tmpl w:val="D8F4EA6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DADD994F"/>
    <w:multiLevelType w:val="multilevel"/>
    <w:tmpl w:val="DADD994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DBCD8C03"/>
    <w:multiLevelType w:val="multilevel"/>
    <w:tmpl w:val="DBCD8C0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DFFE92B8"/>
    <w:multiLevelType w:val="multilevel"/>
    <w:tmpl w:val="DFFE92B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EB3E516A"/>
    <w:multiLevelType w:val="multilevel"/>
    <w:tmpl w:val="EB3E516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EEBA50F9"/>
    <w:multiLevelType w:val="multilevel"/>
    <w:tmpl w:val="EEBA50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F46E0294"/>
    <w:multiLevelType w:val="multilevel"/>
    <w:tmpl w:val="F46E029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F7EB2739"/>
    <w:multiLevelType w:val="multilevel"/>
    <w:tmpl w:val="F7EB273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FB0D5AD0"/>
    <w:multiLevelType w:val="multilevel"/>
    <w:tmpl w:val="FB0D5AD0"/>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FCDA8DDC"/>
    <w:multiLevelType w:val="multilevel"/>
    <w:tmpl w:val="FCDA8DD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FDECF069"/>
    <w:multiLevelType w:val="multilevel"/>
    <w:tmpl w:val="FDECF06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FDFF8D43"/>
    <w:multiLevelType w:val="multilevel"/>
    <w:tmpl w:val="FDFF8D4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FE67F43F"/>
    <w:multiLevelType w:val="multilevel"/>
    <w:tmpl w:val="FE67F43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FEFF7341"/>
    <w:multiLevelType w:val="multilevel"/>
    <w:tmpl w:val="FEFF7341"/>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FFBEE86E"/>
    <w:multiLevelType w:val="multilevel"/>
    <w:tmpl w:val="FFBEE8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FFC286A7"/>
    <w:multiLevelType w:val="multilevel"/>
    <w:tmpl w:val="FFC286A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FFEF75A3"/>
    <w:multiLevelType w:val="multilevel"/>
    <w:tmpl w:val="FFEF75A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FFFF0F2E"/>
    <w:multiLevelType w:val="multilevel"/>
    <w:tmpl w:val="FFFF0F2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14FB3166"/>
    <w:multiLevelType w:val="multilevel"/>
    <w:tmpl w:val="14FB316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3BF7D2D5"/>
    <w:multiLevelType w:val="multilevel"/>
    <w:tmpl w:val="3BF7D2D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3FFEE30E"/>
    <w:multiLevelType w:val="multilevel"/>
    <w:tmpl w:val="3FFEE30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5FFCB472"/>
    <w:multiLevelType w:val="multilevel"/>
    <w:tmpl w:val="5FFCB47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65B48A33"/>
    <w:multiLevelType w:val="multilevel"/>
    <w:tmpl w:val="65B48A3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6BDFC4E9"/>
    <w:multiLevelType w:val="multilevel"/>
    <w:tmpl w:val="6BDFC4E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6D16C452"/>
    <w:multiLevelType w:val="multilevel"/>
    <w:tmpl w:val="6D16C45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6FFC3689"/>
    <w:multiLevelType w:val="multilevel"/>
    <w:tmpl w:val="6FFC368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6FFE3DF1"/>
    <w:multiLevelType w:val="multilevel"/>
    <w:tmpl w:val="6FFE3DF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776E4E6D"/>
    <w:multiLevelType w:val="multilevel"/>
    <w:tmpl w:val="776E4E6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7A7AAD58"/>
    <w:multiLevelType w:val="multilevel"/>
    <w:tmpl w:val="7A7AAD5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7FBF7AB5"/>
    <w:multiLevelType w:val="multilevel"/>
    <w:tmpl w:val="7FBF7AB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48"/>
  </w:num>
  <w:num w:numId="3">
    <w:abstractNumId w:val="23"/>
  </w:num>
  <w:num w:numId="4">
    <w:abstractNumId w:val="19"/>
  </w:num>
  <w:num w:numId="5">
    <w:abstractNumId w:val="11"/>
  </w:num>
  <w:num w:numId="6">
    <w:abstractNumId w:val="20"/>
  </w:num>
  <w:num w:numId="7">
    <w:abstractNumId w:val="39"/>
  </w:num>
  <w:num w:numId="8">
    <w:abstractNumId w:val="15"/>
  </w:num>
  <w:num w:numId="9">
    <w:abstractNumId w:val="34"/>
  </w:num>
  <w:num w:numId="10">
    <w:abstractNumId w:val="5"/>
  </w:num>
  <w:num w:numId="11">
    <w:abstractNumId w:val="10"/>
  </w:num>
  <w:num w:numId="12">
    <w:abstractNumId w:val="49"/>
  </w:num>
  <w:num w:numId="13">
    <w:abstractNumId w:val="41"/>
  </w:num>
  <w:num w:numId="14">
    <w:abstractNumId w:val="13"/>
  </w:num>
  <w:num w:numId="15">
    <w:abstractNumId w:val="36"/>
  </w:num>
  <w:num w:numId="16">
    <w:abstractNumId w:val="2"/>
  </w:num>
  <w:num w:numId="17">
    <w:abstractNumId w:val="45"/>
  </w:num>
  <w:num w:numId="18">
    <w:abstractNumId w:val="3"/>
  </w:num>
  <w:num w:numId="19">
    <w:abstractNumId w:val="40"/>
  </w:num>
  <w:num w:numId="20">
    <w:abstractNumId w:val="14"/>
  </w:num>
  <w:num w:numId="21">
    <w:abstractNumId w:val="24"/>
  </w:num>
  <w:num w:numId="22">
    <w:abstractNumId w:val="27"/>
  </w:num>
  <w:num w:numId="23">
    <w:abstractNumId w:val="17"/>
  </w:num>
  <w:num w:numId="24">
    <w:abstractNumId w:val="21"/>
  </w:num>
  <w:num w:numId="25">
    <w:abstractNumId w:val="46"/>
  </w:num>
  <w:num w:numId="26">
    <w:abstractNumId w:val="38"/>
  </w:num>
  <w:num w:numId="27">
    <w:abstractNumId w:val="4"/>
  </w:num>
  <w:num w:numId="28">
    <w:abstractNumId w:val="9"/>
  </w:num>
  <w:num w:numId="29">
    <w:abstractNumId w:val="30"/>
  </w:num>
  <w:num w:numId="30">
    <w:abstractNumId w:val="8"/>
  </w:num>
  <w:num w:numId="31">
    <w:abstractNumId w:val="6"/>
  </w:num>
  <w:num w:numId="32">
    <w:abstractNumId w:val="26"/>
  </w:num>
  <w:num w:numId="33">
    <w:abstractNumId w:val="7"/>
  </w:num>
  <w:num w:numId="34">
    <w:abstractNumId w:val="18"/>
  </w:num>
  <w:num w:numId="35">
    <w:abstractNumId w:val="22"/>
  </w:num>
  <w:num w:numId="36">
    <w:abstractNumId w:val="47"/>
  </w:num>
  <w:num w:numId="37">
    <w:abstractNumId w:val="32"/>
  </w:num>
  <w:num w:numId="38">
    <w:abstractNumId w:val="37"/>
  </w:num>
  <w:num w:numId="39">
    <w:abstractNumId w:val="42"/>
  </w:num>
  <w:num w:numId="40">
    <w:abstractNumId w:val="29"/>
  </w:num>
  <w:num w:numId="41">
    <w:abstractNumId w:val="44"/>
  </w:num>
  <w:num w:numId="42">
    <w:abstractNumId w:val="43"/>
  </w:num>
  <w:num w:numId="43">
    <w:abstractNumId w:val="25"/>
  </w:num>
  <w:num w:numId="44">
    <w:abstractNumId w:val="12"/>
  </w:num>
  <w:num w:numId="45">
    <w:abstractNumId w:val="31"/>
  </w:num>
  <w:num w:numId="46">
    <w:abstractNumId w:val="35"/>
  </w:num>
  <w:num w:numId="47">
    <w:abstractNumId w:val="16"/>
  </w:num>
  <w:num w:numId="48">
    <w:abstractNumId w:val="33"/>
  </w:num>
  <w:num w:numId="49">
    <w:abstractNumId w:val="28"/>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4"/>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BFB9B13"/>
    <w:rsid w:val="1F7B666F"/>
    <w:rsid w:val="27FF2008"/>
    <w:rsid w:val="2F97A307"/>
    <w:rsid w:val="367D6D81"/>
    <w:rsid w:val="3BF668B8"/>
    <w:rsid w:val="3EDF1087"/>
    <w:rsid w:val="3F8F37EB"/>
    <w:rsid w:val="3FFD0B65"/>
    <w:rsid w:val="5BDF38F0"/>
    <w:rsid w:val="5BFD7757"/>
    <w:rsid w:val="5D3F3297"/>
    <w:rsid w:val="67DD09FF"/>
    <w:rsid w:val="67F77EC3"/>
    <w:rsid w:val="67FF9E13"/>
    <w:rsid w:val="6A5E6D69"/>
    <w:rsid w:val="73BE5013"/>
    <w:rsid w:val="75FCDA03"/>
    <w:rsid w:val="77DF777A"/>
    <w:rsid w:val="7BFF3595"/>
    <w:rsid w:val="7D7BD11A"/>
    <w:rsid w:val="7DF757BD"/>
    <w:rsid w:val="7F538A98"/>
    <w:rsid w:val="7F7777A6"/>
    <w:rsid w:val="7FE741B2"/>
    <w:rsid w:val="85F3A125"/>
    <w:rsid w:val="9FAFF7CC"/>
    <w:rsid w:val="AFBF3754"/>
    <w:rsid w:val="BCEF848A"/>
    <w:rsid w:val="BEBFA5CA"/>
    <w:rsid w:val="BFBF5F58"/>
    <w:rsid w:val="C6E5945A"/>
    <w:rsid w:val="CAFF6B71"/>
    <w:rsid w:val="CCB73CC0"/>
    <w:rsid w:val="CFE9DD73"/>
    <w:rsid w:val="CFEE4A62"/>
    <w:rsid w:val="D57D86A0"/>
    <w:rsid w:val="D5FDAD5D"/>
    <w:rsid w:val="D7B71F92"/>
    <w:rsid w:val="D7EC8213"/>
    <w:rsid w:val="DBEF72F7"/>
    <w:rsid w:val="DEBFB055"/>
    <w:rsid w:val="E7DBFC56"/>
    <w:rsid w:val="F2FA2539"/>
    <w:rsid w:val="F6BFAAA6"/>
    <w:rsid w:val="F77F3335"/>
    <w:rsid w:val="F9F526F6"/>
    <w:rsid w:val="FABB760A"/>
    <w:rsid w:val="FBDFEBF8"/>
    <w:rsid w:val="FBFE08EF"/>
    <w:rsid w:val="FD6DB104"/>
    <w:rsid w:val="FEBFF41C"/>
    <w:rsid w:val="FF3FC810"/>
    <w:rsid w:val="FF6379D0"/>
    <w:rsid w:val="FF771082"/>
    <w:rsid w:val="FFA42A96"/>
    <w:rsid w:val="FFBB53C2"/>
    <w:rsid w:val="FFDEBC7D"/>
    <w:rsid w:val="FFFFBF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80" w:line="259" w:lineRule="auto"/>
    </w:pPr>
    <w:rPr>
      <w:rFonts w:ascii="Times New Roman" w:hAnsi="Times New Roman" w:eastAsia="Times New Roman" w:cs="Arial"/>
      <w:sz w:val="21"/>
      <w:szCs w:val="22"/>
    </w:rPr>
  </w:style>
  <w:style w:type="paragraph" w:styleId="2">
    <w:name w:val="heading 1"/>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8"/>
      <w:szCs w:val="48"/>
    </w:rPr>
  </w:style>
  <w:style w:type="paragraph" w:styleId="3">
    <w:name w:val="heading 2"/>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25" w:after="225"/>
    </w:pPr>
    <w:rPr>
      <w:rFonts w:ascii="Arial" w:hAnsi="Arial" w:eastAsia="Arial"/>
      <w:b/>
      <w:bCs/>
      <w:sz w:val="24"/>
      <w:szCs w:val="36"/>
    </w:rPr>
  </w:style>
  <w:style w:type="paragraph" w:styleId="4">
    <w:name w:val="heading 3"/>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2"/>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rFonts w:ascii="Arial" w:hAnsi="Arial" w:eastAsia="Arial"/>
      <w:b/>
      <w:bCs/>
      <w:sz w:val="36"/>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2026-07-16T22:44:00Z</dcterms:created>
  <dc:creator>Data</dc:creator>
  <cp:keywords>contextual bandits; policy transfer; decision gating; degeneracy audit</cp:keywords>
  <cp:lastModifiedBy>黄旻</cp:lastModifiedBy>
  <dcterms:modified xsi:type="dcterms:W3CDTF">2026-07-14T22:51:17Z</dcterms:modified>
  <dc:subject>JFDS manuscript</dc:subject>
  <dc:title>Parameters Transfer, Policies May Not: Diagnosing Source Static Degeneracy in Cross-Asset Decision Gating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920E09BBC989CB332F48566AF1B234F6_43</vt:lpwstr>
  </property>
</Properties>
</file>