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t>Parameters Transfer, Policies May Not: Diagnosing Source Static Degeneracy in Cross-Asset Decision Gating</w:t>
      </w:r>
    </w:p>
    <w:p w14:paraId="0000000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hint="default" w:ascii="Google Sans" w:hAnsi="Google Sans" w:eastAsia="Google Sans" w:cs="Google Sans"/>
          <w:b/>
          <w:bCs/>
          <w:color w:val="1F1F1F"/>
          <w:lang w:val="en-US" w:eastAsia="zh-CN"/>
        </w:rPr>
      </w:pPr>
      <w:r>
        <w:rPr>
          <w:rFonts w:ascii="Times New Roman" w:hAnsi="Times New Roman" w:eastAsia="Times New Roman" w:cs="Google Sans"/>
          <w:b/>
          <w:bCs/>
          <w:color w:val="1F1F1F"/>
          <w:sz w:val="24"/>
          <w:rtl w:val="0"/>
        </w:rPr>
        <w:t>Min Huang</w:t>
      </w:r>
      <w:r>
        <w:rPr>
          <w:rFonts w:hint="default" w:ascii="Times New Roman" w:hAnsi="Times New Roman" w:eastAsia="Times New Roman" w:cs="Google Sans"/>
          <w:b/>
          <w:bCs/>
          <w:color w:val="1F1F1F"/>
          <w:sz w:val="24"/>
          <w:rtl w:val="0"/>
          <w:lang w:val="en-US"/>
        </w:rPr>
        <w:t>, Mingyan Liu, Xiaoer Li</w:t>
      </w:r>
    </w:p>
    <w:p w14:paraId="0000000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July 13, 2026</w:t>
      </w:r>
    </w:p>
    <w:p w14:paraId="0000000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p>
    <w:p w14:paraId="0000000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Abstract</w:t>
      </w:r>
    </w:p>
    <w:p w14:paraId="564EDDB9">
      <w:pPr>
        <w:keepNext w:val="0"/>
        <w:keepLines w:val="0"/>
        <w:widowControl/>
        <w:suppressLineNumbers w:val="0"/>
        <w:jc w:val="left"/>
        <w:rPr>
          <w:rFonts w:hint="eastAsia"/>
        </w:rPr>
      </w:pPr>
      <w:r>
        <w:t>We identify Source Static Degeneracy, a silent failure mode in cross-asset decision-layer transfer where a frozen contextual policy degenerates into a fixed probability threshold. This degeneracy remains invisible to standard backtesting protocols: the collapsed policy may still outperform a naive static threshold, masking the complete loss of contextual adaptation. A quantitative team deploying such a policy would conclude that "transfer works," unaware that the policy has abandoned context-dependent decision-making entirely.</w:t>
      </w:r>
      <w:r>
        <w:br w:type="textWrapping"/>
      </w:r>
      <w:r>
        <w:br w:type="textWrapping"/>
      </w:r>
      <w:r>
        <w:t>Across 228 source-target pairs spanning seven asset categories, we establish an empirical taxonomy: degenerate sources (SPY, QQQ, EEM, GLD) trigger universal action concentration on 100% of targets, whereas diverse sources (TLT, IWM) maintain behavioral variation. We document a strong empirical association between source-side action concentration and target-side degeneracy, providing sufficient conditions linking source diversity to transfer outcomes.</w:t>
      </w:r>
    </w:p>
    <w:p w14:paraId="0048E627">
      <w:pPr>
        <w:keepNext w:val="0"/>
        <w:keepLines w:val="0"/>
        <w:widowControl/>
        <w:suppressLineNumbers w:val="0"/>
        <w:jc w:val="left"/>
        <w:rPr>
          <w:rFonts w:hint="eastAsia"/>
        </w:rPr>
      </w:pPr>
    </w:p>
    <w:p w14:paraId="3FA5C37B">
      <w:pPr>
        <w:keepNext w:val="0"/>
        <w:keepLines w:val="0"/>
        <w:widowControl/>
        <w:suppressLineNumbers w:val="0"/>
        <w:jc w:val="left"/>
        <w:rPr>
          <w:rFonts w:hint="eastAsia"/>
        </w:rPr>
      </w:pPr>
      <w:r>
        <w:rPr>
          <w:rFonts w:hint="eastAsia" w:ascii="Times New Roman" w:hAnsi="Times New Roman" w:eastAsia="Times New Roman"/>
        </w:rPr>
        <w:t>We introduce FCTT-DA (Frozen Contextual Threshold Transfer with Degeneracy Audit), a deployable framework featuring source diversity pre-checks, behavioral-equivalent baseline comparisons, and transaction cost sensitivity analysis. This framework is designed to detect what standard backtests cannot: policies that appear to adapt but are behaviorally static.</w:t>
      </w:r>
    </w:p>
    <w:p w14:paraId="1551219F">
      <w:pPr>
        <w:keepNext w:val="0"/>
        <w:keepLines w:val="0"/>
        <w:widowControl/>
        <w:suppressLineNumbers w:val="0"/>
        <w:jc w:val="left"/>
        <w:rPr>
          <w:rFonts w:hint="eastAsia"/>
        </w:rPr>
      </w:pPr>
    </w:p>
    <w:p w14:paraId="1EB73499">
      <w:pPr>
        <w:keepNext w:val="0"/>
        <w:keepLines w:val="0"/>
        <w:widowControl/>
        <w:suppressLineNumbers w:val="0"/>
        <w:jc w:val="left"/>
        <w:rPr>
          <w:lang w:val="en-US" w:eastAsia="zh-CN"/>
        </w:rPr>
      </w:pPr>
      <w:r>
        <w:rPr>
          <w:rFonts w:hint="eastAsia" w:ascii="Times New Roman" w:hAnsi="Times New Roman" w:eastAsia="Times New Roman"/>
        </w:rPr>
        <w:t>Our findings challenge the implicit assumption that contextual policies inherently transfer contextual behavior. The critical question is not whether a policy transfers, but whether it transfers adaptation. FCTT-DA provides the diagnostic tools to answer this question prior to deployment. In our experimental setting, source-side action concentration proves to be a highly effective screening diagnostic for transfer failure.</w:t>
      </w:r>
    </w:p>
    <w:p w14:paraId="7FF3E311">
      <w:pPr>
        <w:keepNext w:val="0"/>
        <w:keepLines w:val="0"/>
        <w:widowControl/>
        <w:suppressLineNumbers w:val="0"/>
        <w:jc w:val="left"/>
        <w:rPr>
          <w:rFonts w:ascii="宋体" w:hAnsi="宋体" w:eastAsia="宋体" w:cs="宋体"/>
          <w:kern w:val="0"/>
          <w:sz w:val="24"/>
          <w:szCs w:val="24"/>
          <w:lang w:val="en-US" w:eastAsia="zh-CN" w:bidi="ar"/>
        </w:rPr>
      </w:pPr>
    </w:p>
    <w:p w14:paraId="0000000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Keywords:</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contextual bandits, policy transfer, decision gating, source static degeneracy, cross-asset learning</w:t>
      </w:r>
    </w:p>
    <w:p w14:paraId="00000009">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 Introduction</w:t>
      </w:r>
    </w:p>
    <w:p w14:paraId="0000000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1.1 The Operational Appeal of Decision-Layer Reuse</w:t>
      </w:r>
    </w:p>
    <w:p w14:paraId="0000000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quantitative asset management, the standard workflow separates prediction from decision. A machine learning model forecasts the probability of a favorable outcome, and a decision layer converts that probability into a trading signal. While asset-specific predictors are now common, optimizing and validating a separate decision layer for every target asset is computationally costly and statistically fragile. This creates a strong operational incentive: train a decision policy on a highly liquid, well-studied source asset and deploy it, frozen, across multiple targets.</w:t>
      </w:r>
    </w:p>
    <w:p w14:paraId="0000000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Consider a concrete example: a quantitative team develops an optimal decision policy for the SPDR S&amp;P 500 ETF (SPY) that achieves an annualized Sharpe ratio of </w:t>
      </w:r>
      <m:oMath>
        <m:r>
          <m:rPr/>
          <m:t>0.45</m:t>
        </m:r>
      </m:oMath>
      <w:r>
        <w:rPr>
          <w:rFonts w:ascii="Times New Roman" w:hAnsi="Times New Roman" w:eastAsia="Times New Roman" w:cs="Google Sans"/>
          <w:color w:val="1F1F1F"/>
          <w:sz w:val="24"/>
          <w:rtl w:val="0"/>
        </w:rPr>
        <w:t xml:space="preserve"> over five years of walk-forward validation. The natural next step is to deploy this policy on the iShares Russell 2000 ETF (IWM) or the Invesco QQQ Trust (QQQ). Standard industry practice compares the transferred policy against a static </w:t>
      </w:r>
      <m:oMath>
        <m:r>
          <m:rPr/>
          <m:t>0.50</m:t>
        </m:r>
      </m:oMath>
      <w:r>
        <w:rPr>
          <w:rFonts w:ascii="Times New Roman" w:hAnsi="Times New Roman" w:eastAsia="Times New Roman" w:cs="Google Sans"/>
          <w:color w:val="1F1F1F"/>
          <w:sz w:val="24"/>
          <w:rtl w:val="0"/>
        </w:rPr>
        <w:t xml:space="preserve"> cutoff. If the policy achieves a Sharpe of </w:t>
      </w:r>
      <m:oMath>
        <m:r>
          <m:rPr/>
          <m:t>0.42</m:t>
        </m:r>
      </m:oMath>
      <w:r>
        <w:rPr>
          <w:rFonts w:ascii="Times New Roman" w:hAnsi="Times New Roman" w:eastAsia="Times New Roman" w:cs="Google Sans"/>
          <w:color w:val="1F1F1F"/>
          <w:sz w:val="24"/>
          <w:rtl w:val="0"/>
        </w:rPr>
        <w:t xml:space="preserve"> on IWM versus </w:t>
      </w:r>
      <m:oMath>
        <m:r>
          <m:rPr/>
          <m:t>0.38</m:t>
        </m:r>
      </m:oMath>
      <w:r>
        <w:rPr>
          <w:rFonts w:ascii="Times New Roman" w:hAnsi="Times New Roman" w:eastAsia="Times New Roman" w:cs="Google Sans"/>
          <w:color w:val="1F1F1F"/>
          <w:sz w:val="24"/>
          <w:rtl w:val="0"/>
        </w:rPr>
        <w:t xml:space="preserve"> for the static cutoff, the team concludes that contextual transfer "works." However, this conclusion may be entirely spurious.</w:t>
      </w:r>
    </w:p>
    <w:p w14:paraId="0000000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1.2 The Diagnostic Gap</w:t>
      </w:r>
    </w:p>
    <w:p>
      <w:r>
        <w:t>Source Static Degeneracy is distinct from both conventional overfitting and concept drift. Overfitting is an estimation or generalization failure in which a model performs well in-sample but deteriorates out-of-sample. Concept drift is a change in the data-generating relationship over time. By contrast, Source Static Degeneracy is a behavioral failure of the decision layer: a nominally contextual policy concentrates on one action and becomes functionally equivalent to a fixed threshold. It may occur even when predictive performance remains acceptable, the Sharpe ratio remains positive, or the transferred rule still outperforms a conventional 0.50 cutoff. Accordingly, neither out-of-sample performance deterioration nor evidence of distribution shift is necessary to diagnose the failure; the defining evidence is action concentration together with behavioral equivalence to a static rule.</w:t>
      </w:r>
    </w:p>
    <w:p w14:paraId="0000000E">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Standard backtests compare a learned policy against a conventional cutoff (typically </w:t>
      </w:r>
      <m:oMath>
        <m:r>
          <m:rPr/>
          <m:t>0.50</m:t>
        </m:r>
      </m:oMath>
      <w:r>
        <w:rPr>
          <w:rFonts w:ascii="Times New Roman" w:hAnsi="Times New Roman" w:eastAsia="Times New Roman" w:cs="Google Sans"/>
          <w:color w:val="1F1F1F"/>
          <w:sz w:val="24"/>
          <w:rtl w:val="0"/>
        </w:rPr>
        <w:t>). These comparisons cannot distinguish between two distinct regimes:</w:t>
      </w:r>
    </w:p>
    <w:p w14:paraId="0000000F">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Contextual Transfer:</w:t>
      </w:r>
      <w:r>
        <w:rPr>
          <w:rFonts w:ascii="Times New Roman" w:hAnsi="Times New Roman" w:eastAsia="Times New Roman" w:cs="Google Sans"/>
          <w:color w:val="1F1F1F"/>
          <w:sz w:val="24"/>
          <w:rtl w:val="0"/>
        </w:rPr>
        <w:t xml:space="preserve"> The policy uses market-state information to select different thresholds at different times.</w:t>
      </w:r>
    </w:p>
    <w:p w14:paraId="00000010">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Static-Rule Collapse:</w:t>
      </w:r>
      <w:r>
        <w:rPr>
          <w:rFonts w:ascii="Times New Roman" w:hAnsi="Times New Roman" w:eastAsia="Times New Roman" w:cs="Google Sans"/>
          <w:color w:val="1F1F1F"/>
          <w:sz w:val="24"/>
          <w:rtl w:val="0"/>
        </w:rPr>
        <w:t xml:space="preserve"> The policy consistently selects the same threshold, behaving identically to a simple static rule.</w:t>
      </w:r>
    </w:p>
    <w:p w14:paraId="0000001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When scenario (2) occurs, apparent improvements over </w:t>
      </w:r>
      <m:oMath>
        <m:r>
          <m:rPr/>
          <m:t>0.50</m:t>
        </m:r>
      </m:oMath>
      <w:r>
        <w:rPr>
          <w:rFonts w:ascii="Times New Roman" w:hAnsi="Times New Roman" w:eastAsia="Times New Roman" w:cs="Google Sans"/>
          <w:color w:val="1F1F1F"/>
          <w:sz w:val="24"/>
          <w:rtl w:val="0"/>
        </w:rPr>
        <w:t xml:space="preserve"> are merely the consequence of a different (but still fixed) probability cutoff.</w:t>
      </w:r>
    </w:p>
    <w:p w14:paraId="0000001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diagnostic gap we identify is subtle but highly consequential. When a contextual bandit policy collapses to a fixed threshold, it does not merely underperform—it actively misleads. The policy appears to "learn" context-dependent behavior during source-side training, producing diverse action selections. But on out-of-distribution targets, the learned context-action mapping degenerates, and the policy converges to a single static rule. Standard backtests, which compare against the conventional </w:t>
      </w:r>
      <m:oMath>
        <m:r>
          <m:rPr/>
          <m:t>0.50</m:t>
        </m:r>
      </m:oMath>
      <w:r>
        <w:rPr>
          <w:rFonts w:ascii="Times New Roman" w:hAnsi="Times New Roman" w:eastAsia="Times New Roman" w:cs="Google Sans"/>
          <w:color w:val="1F1F1F"/>
          <w:sz w:val="24"/>
          <w:rtl w:val="0"/>
        </w:rPr>
        <w:t xml:space="preserve"> cutoff, cannot detect this failure mode because the collapsed policy still outperforms </w:t>
      </w:r>
      <m:oMath>
        <m:r>
          <m:rPr/>
          <m:t>0.50</m:t>
        </m:r>
      </m:oMath>
      <w:r>
        <w:rPr>
          <w:rFonts w:ascii="Times New Roman" w:hAnsi="Times New Roman" w:eastAsia="Times New Roman" w:cs="Google Sans"/>
          <w:color w:val="1F1F1F"/>
          <w:sz w:val="24"/>
          <w:rtl w:val="0"/>
        </w:rPr>
        <w:t>—it simply does so by selecting a different fixed threshold, not by adapting to market conditions.</w:t>
      </w:r>
    </w:p>
    <w:p w14:paraId="0000001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1.3 Contributions</w:t>
      </w:r>
    </w:p>
    <w:p w14:paraId="0000001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Our contributions can be summarized as follows:</w:t>
      </w:r>
    </w:p>
    <w:p w14:paraId="00000015">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Identification of Source Static Degeneracy:</w:t>
      </w:r>
      <w:r>
        <w:rPr>
          <w:rFonts w:ascii="Times New Roman" w:hAnsi="Times New Roman" w:eastAsia="Times New Roman" w:cs="Google Sans"/>
          <w:color w:val="1F1F1F"/>
          <w:sz w:val="24"/>
          <w:rtl w:val="0"/>
        </w:rPr>
        <w:t xml:space="preserve"> We formally define and demonstrate that </w:t>
      </w:r>
      <w:r>
        <w:rPr>
          <w:rFonts w:ascii="Times New Roman" w:hAnsi="Times New Roman" w:eastAsia="Times New Roman" w:cs="Google Sans"/>
          <w:i/>
          <w:iCs/>
          <w:color w:val="1F1F1F"/>
          <w:sz w:val="24"/>
          <w:rtl w:val="0"/>
        </w:rPr>
        <w:t>Source Static Degeneracy</w:t>
      </w:r>
      <w:r>
        <w:rPr>
          <w:rFonts w:ascii="Times New Roman" w:hAnsi="Times New Roman" w:eastAsia="Times New Roman" w:cs="Google Sans"/>
          <w:color w:val="1F1F1F"/>
          <w:sz w:val="24"/>
          <w:rtl w:val="0"/>
        </w:rPr>
        <w:t xml:space="preserve"> is a pervasive failure mode in cross-asset policy transfer. Across 228 source-target pairs </w:t>
      </w:r>
      <w:r>
        <w:rPr>
          <w:rFonts w:hint="eastAsia" w:ascii="Times New Roman" w:hAnsi="Times New Roman" w:eastAsia="Times New Roman" w:cs="Google Sans"/>
          <w:color w:val="1F1F1F"/>
          <w:sz w:val="24"/>
          <w:rtl w:val="0"/>
        </w:rPr>
        <w:t>spanning seven asset categories</w:t>
      </w:r>
      <w:r>
        <w:rPr>
          <w:rFonts w:ascii="Times New Roman" w:hAnsi="Times New Roman" w:eastAsia="Times New Roman" w:cs="Google Sans"/>
          <w:color w:val="1F1F1F"/>
          <w:sz w:val="24"/>
          <w:rtl w:val="0"/>
        </w:rPr>
        <w:t>, we show that 67% of transfers result in complete policy degeneration.</w:t>
      </w:r>
    </w:p>
    <w:p w14:paraId="00000016">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Source Diversity as a Screening Criterion:</w:t>
      </w:r>
      <w:r>
        <w:rPr>
          <w:rFonts w:ascii="Times New Roman" w:hAnsi="Times New Roman" w:eastAsia="Times New Roman" w:cs="Google Sans"/>
          <w:color w:val="1F1F1F"/>
          <w:sz w:val="24"/>
          <w:rtl w:val="0"/>
        </w:rPr>
        <w:t xml:space="preserve"> We establish that source policy diversity during training is a useful indicator for transfer success. When the source policy concentrates on a single action during training (modal share </w:t>
      </w:r>
      <m:oMath>
        <m:r>
          <m:rPr/>
          <m:t>&gt; 90%</m:t>
        </m:r>
      </m:oMath>
      <w:r>
        <w:rPr>
          <w:rFonts w:ascii="Times New Roman" w:hAnsi="Times New Roman" w:eastAsia="Times New Roman" w:cs="Google Sans"/>
          <w:color w:val="1F1F1F"/>
          <w:sz w:val="24"/>
          <w:rtl w:val="0"/>
        </w:rPr>
        <w:t>), the transferred policy inherits this degeneracy on all targets.</w:t>
      </w:r>
    </w:p>
    <w:p w14:paraId="00000017">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Behavioral Equivalence Paradox:</w:t>
      </w:r>
      <w:r>
        <w:rPr>
          <w:rFonts w:ascii="Times New Roman" w:hAnsi="Times New Roman" w:eastAsia="Times New Roman" w:cs="Google Sans"/>
          <w:color w:val="1F1F1F"/>
          <w:sz w:val="24"/>
          <w:rtl w:val="0"/>
        </w:rPr>
        <w:t xml:space="preserve"> We discover that even when a policy maintains diversity (e.g., using a TLT source), it may provide no economic value over a simple static threshold. This finding challenges the assumption that contextual complexity necessarily improves decision quality.</w:t>
      </w:r>
    </w:p>
    <w:p w14:paraId="00000018">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FCTT-DA Audit Framework:</w:t>
      </w:r>
      <w:r>
        <w:rPr>
          <w:rFonts w:ascii="Times New Roman" w:hAnsi="Times New Roman" w:eastAsia="Times New Roman" w:cs="Google Sans"/>
          <w:color w:val="1F1F1F"/>
          <w:sz w:val="24"/>
          <w:rtl w:val="0"/>
        </w:rPr>
        <w:t xml:space="preserve"> We contribute FCTT-DA (</w:t>
      </w:r>
      <w:r>
        <w:rPr>
          <w:rFonts w:ascii="Times New Roman" w:hAnsi="Times New Roman" w:eastAsia="Times New Roman" w:cs="Google Sans"/>
          <w:i/>
          <w:iCs/>
          <w:color w:val="1F1F1F"/>
          <w:sz w:val="24"/>
          <w:rtl w:val="0"/>
        </w:rPr>
        <w:t>Frozen Contextual Threshold Transfer with Degeneracy Audit</w:t>
      </w:r>
      <w:r>
        <w:rPr>
          <w:rFonts w:ascii="Times New Roman" w:hAnsi="Times New Roman" w:eastAsia="Times New Roman" w:cs="Google Sans"/>
          <w:color w:val="1F1F1F"/>
          <w:sz w:val="24"/>
          <w:rtl w:val="0"/>
        </w:rPr>
        <w:t>), a practical, modular audit framework with complete pseudocode for production deployment. The framework requires no proprietary data or infrastructure and can be easily implemented by quantitative teams to prevent futile transfers and save computational resources.</w:t>
      </w:r>
    </w:p>
    <w:p w14:paraId="00000019">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Theoretical Framework:</w:t>
      </w:r>
      <w:r>
        <w:rPr>
          <w:rFonts w:ascii="Times New Roman" w:hAnsi="Times New Roman" w:eastAsia="Times New Roman" w:cs="Google Sans"/>
          <w:color w:val="1F1F1F"/>
          <w:sz w:val="24"/>
          <w:rtl w:val="0"/>
        </w:rPr>
        <w:t xml:space="preserve"> We provide sufficient conditions linking source diversity to target collapse based on decision-region geometry.</w:t>
      </w:r>
    </w:p>
    <w:p w14:paraId="12D4D667">
      <w:pPr>
        <w:pStyle w:val="3"/>
        <w:widowControl/>
        <w:rPr>
          <w:rFonts w:ascii="Times New Roman" w:hAnsi="Times New Roman" w:eastAsia="Google Sans" w:cs="Google Sans"/>
          <w:b w:val="0"/>
          <w:bCs w:val="0"/>
          <w:color w:val="1F1F1F"/>
          <w:sz w:val="24"/>
          <w:szCs w:val="22"/>
          <w:rtl w:val="0"/>
        </w:rPr>
      </w:pPr>
      <w:r>
        <w:rPr>
          <w:rFonts w:ascii="Times New Roman" w:hAnsi="Times New Roman" w:eastAsia="Times New Roman"/>
        </w:rPr>
        <w:t>1.4 The Narrative Task: From Optimism to Audit</w:t>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b w:val="0"/>
          <w:bCs w:val="0"/>
        </w:rPr>
        <w:t>The financial machine learning literature has developed an implicit optimism about cross-asset policy transfer. The prevailing narrative assumes that if a prediction model transfers well across assets, the decision layer will follow. This paper challenges that assumption.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We propose a reframing of the research question: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 Prevailing: "Can this policy transfer to asset X?" → Ours: "Does this policy retain contextual adaptation on asset X?"</w:t>
      </w:r>
      <w:r>
        <w:rPr>
          <w:rFonts w:ascii="Times New Roman" w:hAnsi="Times New Roman" w:eastAsia="Times New Roman"/>
          <w:b w:val="0"/>
          <w:bCs w:val="0"/>
        </w:rPr>
        <w:br w:type="textWrapping"/>
      </w:r>
      <w:r>
        <w:rPr>
          <w:rFonts w:ascii="Times New Roman" w:hAnsi="Times New Roman" w:eastAsia="Times New Roman"/>
          <w:b w:val="0"/>
          <w:bCs w:val="0"/>
        </w:rPr>
        <w:t>• Prevailing: "Does the transferred policy outperform 0.50?" → Ours: "Does the transferred policy outperform its behavioral equivalent?"</w:t>
      </w:r>
      <w:r>
        <w:rPr>
          <w:rFonts w:ascii="Times New Roman" w:hAnsi="Times New Roman" w:eastAsia="Times New Roman"/>
          <w:b w:val="0"/>
          <w:bCs w:val="0"/>
        </w:rPr>
        <w:br w:type="textWrapping"/>
      </w:r>
      <w:r>
        <w:rPr>
          <w:rFonts w:ascii="Times New Roman" w:hAnsi="Times New Roman" w:eastAsia="Times New Roman"/>
          <w:b w:val="0"/>
          <w:bCs w:val="0"/>
        </w:rPr>
        <w:t>• Prevailing: "Is the Sharpe ratio positive?" → Ours: "Is the action distribution diverse?"</w:t>
      </w:r>
      <w:r>
        <w:rPr>
          <w:rFonts w:ascii="Times New Roman" w:hAnsi="Times New Roman" w:eastAsia="Times New Roman"/>
          <w:b w:val="0"/>
          <w:bCs w:val="0"/>
        </w:rPr>
        <w:br w:type="textWrapping"/>
      </w:r>
      <w:r>
        <w:rPr>
          <w:rFonts w:ascii="Times New Roman" w:hAnsi="Times New Roman" w:eastAsia="Times New Roman"/>
          <w:b w:val="0"/>
          <w:bCs w:val="0"/>
        </w:rPr>
        <w:t>• Prevailing: "Does transfer work?" → Ours: "Is decision diversity sufficient?"</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This reframing shifts the focus from outcome evaluation to behavioral audit. A policy that outperforms a naive baseline may still be behaviorally static—and a static policy, however profitable, has abandoned the very adaptation that justified using a contextual bandit in the first place.</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The practical implication is profound: standard backtesting protocols cannot distinguish between genuine contextual transfer and inherited static degeneracy. This creates a blind spot in model validation that affects any firm deploying machine learning policies across multiple assets.</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FCTT-DA is designed to fill this blind spot. By auditing source-side diversity before transfer and verifying behavioral equivalence after transfer, the framework provides what backtests cannot: a diagnostic for decision-layer adaptation.</w:t>
      </w:r>
    </w:p>
    <w:p w14:paraId="0000001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 Related Work</w:t>
      </w:r>
    </w:p>
    <w:p w14:paraId="000000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2.1 Contextual Bandits in Finance</w:t>
      </w:r>
    </w:p>
    <w:p w14:paraId="000000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Contextual bandits (Li et al., 2010; Chu et al., 2011) have emerged as a powerful framework for sequential decision-making under uncertainty, with applications spanning portfolio allocation (Shen et al., 2015), order execution (Nevmyvaka et al., 2006), and dynamic trading (Zhang et al., 2020). The key advantage of contextual bandits over traditional supervised learning is their ability to balance exploration and exploitation by incorporating contextual information—such as market state features, volatility regimes, and cross-asset correlations—directly into the decision process.</w:t>
      </w:r>
    </w:p>
    <w:p w14:paraId="000000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management, contextual bandits have been used to dynamically adjust asset allocations based on changing market conditions. Shen et al. (2015) demonstrate that bandit-based allocation strategies can outperform static mean-variance portfolios by adapting to regime shifts. Similarly, Nevmyvaka et al. (2006) apply bandit algorithms to optimal execution, showing significant reductions in market impact costs. More recently, Zhang et al. (2020) extend contextual bandits to high-frequency trading, incorporating limit order book dynamics as contextual features. However, the existing literature has largely focused on single-asset or single-strategy applications. The question of whether contextual bandit policies trained on one asset can be effectively transferred to other assets—what we term "cross-asset policy transfer"—remains largely unexplored. Our work addresses this gap by identifying a pervasive failure mode in such transfers.</w:t>
      </w:r>
    </w:p>
    <w:p w14:paraId="0000001E">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2.2 Transfer Learning in Finance</w:t>
      </w:r>
    </w:p>
    <w:p w14:paraId="000000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Transfer learning has been applied to cross-asset return forecasting (Zhang et al., 2023) and volatility modeling (Li et al., 2021). The underlying premise is that financial markets share common patterns—momentum, mean-reversion, volatility clustering—that can be learned from one asset and applied to others. Gu, Kelly, and Xiu (2020) demonstrate that return prediction models trained on broad cross-sections of stocks can improve individual asset forecasts, while Leippold, Wang, and Zhou (2022) extend this finding to international markets.</w:t>
      </w:r>
    </w:p>
    <w:p w14:paraId="000000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the deep learning era, transfer learning has become increasingly sophisticated. Pre-trained language models have been adapted for financial sentiment analysis (Araci, 2019), while convolutional neural networks trained on technical charts have been transferred across different markets (Sezer et al., 2020). Reinforcement learning policies have also been transferred across related tasks in robotics (Tobin et al., 2017) and game playing (Vinyals et al., 2019), though applications in finance remain limited. Crucially, most work transfers </w:t>
      </w:r>
      <w:r>
        <w:rPr>
          <w:rFonts w:ascii="Times New Roman" w:hAnsi="Times New Roman" w:eastAsia="Times New Roman" w:cs="Google Sans"/>
          <w:i/>
          <w:iCs/>
          <w:color w:val="1F1F1F"/>
          <w:sz w:val="24"/>
          <w:rtl w:val="0"/>
        </w:rPr>
        <w:t>predictive models</w:t>
      </w:r>
      <w:r>
        <w:rPr>
          <w:rFonts w:ascii="Times New Roman" w:hAnsi="Times New Roman" w:eastAsia="Times New Roman" w:cs="Google Sans"/>
          <w:color w:val="1F1F1F"/>
          <w:sz w:val="24"/>
          <w:rtl w:val="0"/>
        </w:rPr>
        <w:t xml:space="preserve">, not </w:t>
      </w:r>
      <w:r>
        <w:rPr>
          <w:rFonts w:ascii="Times New Roman" w:hAnsi="Times New Roman" w:eastAsia="Times New Roman" w:cs="Google Sans"/>
          <w:i/>
          <w:iCs/>
          <w:color w:val="1F1F1F"/>
          <w:sz w:val="24"/>
          <w:rtl w:val="0"/>
        </w:rPr>
        <w:t>decision policies</w:t>
      </w:r>
      <w:r>
        <w:rPr>
          <w:rFonts w:ascii="Times New Roman" w:hAnsi="Times New Roman" w:eastAsia="Times New Roman" w:cs="Google Sans"/>
          <w:color w:val="1F1F1F"/>
          <w:sz w:val="24"/>
          <w:rtl w:val="0"/>
        </w:rPr>
        <w:t>. The distinction matters: a predictor that transfers well may still produce a decision layer that collapses. Our work addresses this gap by focusing specifically on the transfer of decision policies—the layer that maps predictions to actions—rather than the underlying predictions themselves.</w:t>
      </w:r>
    </w:p>
    <w:p w14:paraId="000000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2.3 Policy Robustness and Distributional Shift</w:t>
      </w:r>
    </w:p>
    <w:p w14:paraId="000000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machine learning literature on distributional shift (Quiñonero-Candela et al., 2009; Moreno-Torres et al., 2012) identifies two primary forms: covariate shift, where the input distribution changes, and concept shift, where the relationship between inputs and outputs changes. In financial applications, both forms are prevalent due to non-stationary market dynamics.</w:t>
      </w:r>
    </w:p>
    <w:p w14:paraId="000000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Robust optimization techniques have been proposed to address distributional shift. Ben-Tal et al. (2009) develop robust optimization frameworks that perform well under worst-case scenarios. In reinforcement learning, domain randomization (Tobin et al., 2017) and adversarial training (Pinto et al., 2017) have been used to improve policy robustness. However, these approaches typically assume that the shift is gradual or bounded, which may not hold in financial markets where regime changes can be abrupt. Our work contributes by identifying a specific failure mode linked directly to source-side training dynamics. We show that policies trained on "degenerate" sources—assets where the contextual bandit converges to a static rule—</w:t>
      </w:r>
      <w:r>
        <w:rPr>
          <w:rFonts w:hint="eastAsia" w:ascii="Times New Roman" w:hAnsi="Times New Roman" w:eastAsia="Times New Roman" w:cs="Google Sans"/>
          <w:color w:val="1F1F1F"/>
          <w:sz w:val="24"/>
          <w:rtl w:val="0"/>
        </w:rPr>
        <w:t>collapsed across all targets and policy specifications examined in our experiments</w:t>
      </w:r>
      <w:r>
        <w:rPr>
          <w:rFonts w:ascii="Times New Roman" w:hAnsi="Times New Roman" w:eastAsia="Times New Roman" w:cs="Google Sans"/>
          <w:color w:val="1F1F1F"/>
          <w:sz w:val="24"/>
          <w:rtl w:val="0"/>
        </w:rPr>
        <w:t>.</w:t>
      </w:r>
    </w:p>
    <w:p w14:paraId="0000002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2.4 Negative Results and Model Audit</w:t>
      </w:r>
    </w:p>
    <w:p w14:paraId="0000002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Financial research has increasingly emphasized negative results and replication concerns, as exemplified by Harvey et al. (2016), contributing to the scientific integrity of financial research. Our paper follows this tradition: the primary contribution is a falsifiable diagnosis of failure and an audit framework that can be applied before deployment.</w:t>
      </w:r>
    </w:p>
    <w:p w14:paraId="0000002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importance of negative results in finance cannot be overstated. Harvey, Liu, and Zhu (2016) document the "factor zoo" problem, showing that many published factors fail out-of-sample replication. McLean and Pontiff (2016) demonstrate that post-publication factor returns decay by </w:t>
      </w:r>
      <m:oMath>
        <m:r>
          <m:rPr/>
          <m:t>58%</m:t>
        </m:r>
      </m:oMath>
      <w:r>
        <w:rPr>
          <w:rFonts w:ascii="Times New Roman" w:hAnsi="Times New Roman" w:eastAsia="Times New Roman" w:cs="Google Sans"/>
          <w:color w:val="1F1F1F"/>
          <w:sz w:val="24"/>
          <w:rtl w:val="0"/>
        </w:rPr>
        <w:t>, suggesting data-mining biases in the original studies. Our work contributes to this literature by documenting a failure mode that, by definition, cannot be detected by standard backtests—the policy appears to work on the source asset but fails silently on target assets.</w:t>
      </w:r>
    </w:p>
    <w:p w14:paraId="0000002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Model audit frameworks have gained importance in regulated industries. Barocas and Selbst (2016) discuss the legal implications of algorithmic decision-making, while Doshi-Velez and Kim (2017) propose standards for interpretable machine learning. In finance, regulatory requirements such as SR 11-7 (Federal Reserve, 2011) mandate model risk management. Our FCTT-DA framework provides a practical tool for auditing cross-asset policy transfers before deployment.</w:t>
      </w:r>
    </w:p>
    <w:p w14:paraId="0000002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2.5 Calibration and Probability Thresholds</w:t>
      </w:r>
    </w:p>
    <w:p w14:paraId="000000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Well-calibrated probabilities are essential for threshold-based decisions (Niculescu-Mizil and Caruana, 2005). A classifier is well-calibrated if, among all instances predicted with probability </w:t>
      </w:r>
      <m:oMath>
        <m:r>
          <m:rPr/>
          <m:t>p</m:t>
        </m:r>
      </m:oMath>
      <w:r>
        <w:rPr>
          <w:rFonts w:ascii="Times New Roman" w:hAnsi="Times New Roman" w:eastAsia="Times New Roman" w:cs="Google Sans"/>
          <w:color w:val="1F1F1F"/>
          <w:sz w:val="24"/>
          <w:rtl w:val="0"/>
        </w:rPr>
        <w:t xml:space="preserve">, approximately a fraction </w:t>
      </w:r>
      <m:oMath>
        <m:r>
          <m:rPr/>
          <m:t>p</m:t>
        </m:r>
      </m:oMath>
      <w:r>
        <w:rPr>
          <w:rFonts w:ascii="Times New Roman" w:hAnsi="Times New Roman" w:eastAsia="Times New Roman" w:cs="Google Sans"/>
          <w:color w:val="1F1F1F"/>
          <w:sz w:val="24"/>
          <w:rtl w:val="0"/>
        </w:rPr>
        <w:t xml:space="preserve"> actually belong to the positive class. In financial applications, calibration is particularly important because trading decisions often hinge on probability thresholds—for example, buying when the predicted probability of an upward move exceeds </w:t>
      </w:r>
      <m:oMath>
        <m:r>
          <m:rPr/>
          <m:t>60%</m:t>
        </m:r>
      </m:oMath>
      <w:r>
        <w:rPr>
          <w:rFonts w:ascii="Times New Roman" w:hAnsi="Times New Roman" w:eastAsia="Times New Roman" w:cs="Google Sans"/>
          <w:color w:val="1F1F1F"/>
          <w:sz w:val="24"/>
          <w:rtl w:val="0"/>
        </w:rPr>
        <w:t>.</w:t>
      </w:r>
    </w:p>
    <w:p w14:paraId="000000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Design Choice: Deliberate Non-Calibration.</w:t>
      </w:r>
      <w:r>
        <w:rPr>
          <w:rFonts w:ascii="Times New Roman" w:hAnsi="Times New Roman" w:eastAsia="Times New Roman" w:cs="Google Sans"/>
          <w:color w:val="1F1F1F"/>
          <w:sz w:val="24"/>
          <w:rtl w:val="0"/>
        </w:rPr>
        <w:t xml:space="preserve"> Our Gradient Boosted Tree (GBT) predictors use walk-forward validation, but we deliberately do not apply explicit probability calibration (e.g., Platt Scaling or Isotonic Regression). This is a conscious design choice that reflects the most realistic deployment scenario in quantitative finance, where computational efficiency often takes precedence over perfect calibration. In production trading systems, the additional complexity and latency introduced by calibration layers can be prohibitive, particularly for high-frequency strategies.</w:t>
      </w:r>
    </w:p>
    <w:p w14:paraId="000000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Robustness of Source Static Degeneracy.</w:t>
      </w:r>
      <w:r>
        <w:rPr>
          <w:rFonts w:ascii="Times New Roman" w:hAnsi="Times New Roman" w:eastAsia="Times New Roman" w:cs="Google Sans"/>
          <w:color w:val="1F1F1F"/>
          <w:sz w:val="24"/>
          <w:rtl w:val="0"/>
        </w:rPr>
        <w:t xml:space="preserve"> We emphasize that the Source Static Degeneracy phenomenon documented in this paper is </w:t>
      </w:r>
      <w:r>
        <w:rPr>
          <w:rFonts w:ascii="Times New Roman" w:hAnsi="Times New Roman" w:eastAsia="Times New Roman" w:cs="Google Sans"/>
          <w:b/>
          <w:bCs/>
          <w:color w:val="1F1F1F"/>
          <w:sz w:val="24"/>
          <w:rtl w:val="0"/>
        </w:rPr>
        <w:t>not an artifact of miscalibrated probabilities</w:t>
      </w:r>
      <w:r>
        <w:rPr>
          <w:rFonts w:ascii="Times New Roman" w:hAnsi="Times New Roman" w:eastAsia="Times New Roman" w:cs="Google Sans"/>
          <w:color w:val="1F1F1F"/>
          <w:sz w:val="24"/>
          <w:rtl w:val="0"/>
        </w:rPr>
        <w:t xml:space="preserve">. Even if the GBT predictions were perfectly calibrated, the fundamental issue remains: a contextual bandit policy trained on a degenerate source will collapse to a fixed threshold, because the source-side training dynamics have already eliminated contextual adaptation. To verify this claim, we conduct a diagnostic analysis (Section 7.8.1) showing that the collapse rate remains at </w:t>
      </w:r>
      <m:oMath>
        <m:r>
          <m:rPr/>
          <m:t>100%</m:t>
        </m:r>
      </m:oMath>
      <w:r>
        <w:rPr>
          <w:rFonts w:ascii="Times New Roman" w:hAnsi="Times New Roman" w:eastAsia="Times New Roman" w:cs="Google Sans"/>
          <w:color w:val="1F1F1F"/>
          <w:sz w:val="24"/>
          <w:rtl w:val="0"/>
        </w:rPr>
        <w:t xml:space="preserve"> for degenerate sources regardless of the probability calibration method applied. The failure mode is structural—it lies in the decision layer, not the prediction layer. This deliberate non-calibration approach allows us to study the decision-layer transfer problem in isolation, without confounding effects from calibration-induced probability shifts.</w:t>
      </w:r>
    </w:p>
    <w:p w14:paraId="0000002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The choice of threshold is itself a critical decision. Traditional approaches use fixed thresholds (e.g., ), while more sophisticated methods adapt thresholds based on market conditions (López de Prado, 2018). Our work shows that the contextual bandit's ability to select adaptive thresholds is precisely what degenerates during cross-asset policy transfer, leading to collapse.</w:t>
      </w:r>
    </w:p>
    <w:p w14:paraId="0000002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2.6 Model Interpretability and Explanation</w:t>
      </w:r>
    </w:p>
    <w:p w14:paraId="0000002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growing complexity of machine learning models has spurred research on interpretability. LIME (Ribeiro et al., 2016) and SHAP (Lundberg and Lee, 2017) provide local explanations for individual predictions, while attention mechanisms (Vaswani et al., 2017) offer insights into which features drive model decisions. In finance, explainability is not merely desirable—it is often a regulatory requirement under frameworks such as the EU's General Data Protection Regulation (GDPR).</w:t>
      </w:r>
    </w:p>
    <w:p w14:paraId="0000002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Interpretability methods have been applied to financial models with mixed results. Guidotti et al. (2018) survey methods for explaining black-box models in finance, noting that post-hoc explanations may not faithfully represent the model's decision process. Our work contributes to this literature by providing a structural explanation for why certain policies fail: the failure mode is not in the prediction accuracy but in the decision-layer degeneration.</w:t>
      </w:r>
    </w:p>
    <w:p w14:paraId="0000003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concept of "behavioral equivalence" that we introduce provides a new lens for understanding policy failure. Two policies are behaviorally equivalent if they produce identical actions across all possible inputs, regardless of their internal representations. This concept allows us to detect when a complex contextual policy has degenerated into a simple static rule—a form of interpretability that emerges naturally from the analysis rather than being imposed externally.</w:t>
      </w:r>
    </w:p>
    <w:p w14:paraId="0000003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2.7 Cross-Asset Transfer in Quantitative Finance</w:t>
      </w:r>
    </w:p>
    <w:p w14:paraId="0000003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Cross-asset transfer has been explored in several contexts. Gu, Kelly, and Xiu (2020) demonstrate that return prediction models trained on broad cross-sections can improve individual asset forecasts. Leippold, Wang, and Zhou (2022) extend this to international markets, showing that transfer learning can mitigate data limitations in emerging markets. However, these studies focus on predictive transfer, not decision-layer transfer.</w:t>
      </w:r>
    </w:p>
    <w:p w14:paraId="0000003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construction, the concept of "style factors" (Fama and French, 1993) represents a form of cross-asset knowledge transfer. Momentum, value, and size factors are estimated from broad cross-sections and applied to individual assets. More recently, machine learning approaches have been used to learn factor models that transfer across assets (Kelly et al., 2019; Feng et al., 2020). Our work addresses a fundamentally different question: even when predictions transfer well, does the decision policy transfer?</w:t>
      </w:r>
    </w:p>
    <w:p w14:paraId="0000003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distinction between predictive transfer and decision-layer transfer is crucial. A prediction model that achieves high accuracy on multiple assets does not guarantee that the same decision threshold will be optimal across assets. Different assets may have different base rates, volatility profiles, and market microstructures, requiring asset-specific decision policies. Our work formalizes this intuition and provides diagnostic tools to detect when decision-layer transfer fails.</w:t>
      </w:r>
    </w:p>
    <w:p w14:paraId="0000003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2.8 Decision Gating Mechanisms</w:t>
      </w:r>
    </w:p>
    <w:p w14:paraId="0000003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Decision gating—the process of converting predictions into actions—has received relatively little attention in the financial machine learning literature. Most work focuses on improving prediction accuracy, assuming that better predictions naturally lead to better decisions. However, the mapping from predictions to actions is itself a critical component of the trading system.</w:t>
      </w:r>
    </w:p>
    <w:p w14:paraId="000000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reinforcement learning, the concept of a "policy" explicitly models this mapping. Contextual bandits represent a special case where the policy maps contextual features to actions without considering long-term consequences. The quality of the policy depends not only on the accuracy of the underlying predictions but also on the appropriateness of the decision threshold. Our work highlights the importance of auditing decision gating mechanisms before deployment. We show that a policy trained on one asset may degenerate when transferred to another, even if the underlying predictions remain accurate. This finding suggests that the decision layer should be treated as a first-class component of the trading system, subject to the same rigorous testing and validation as the prediction model.</w:t>
      </w:r>
    </w:p>
    <w:p w14:paraId="00000038">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 Problem Formulation</w:t>
      </w:r>
    </w:p>
    <w:p w14:paraId="0000003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3.1 Setup</w:t>
      </w:r>
    </w:p>
    <w:p w14:paraId="0000003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Consider a source asset </w:t>
      </w:r>
      <m:oMath>
        <m:r>
          <m:rPr/>
          <m:t>S</m:t>
        </m:r>
      </m:oMath>
      <w:r>
        <w:rPr>
          <w:rFonts w:ascii="Times New Roman" w:hAnsi="Times New Roman" w:eastAsia="Times New Roman"/>
        </w:rPr>
        <w:t xml:space="preserve"> and target assets </w:t>
      </w:r>
      <m:oMath>
        <m:r>
          <m:rPr/>
          <m:t>T</m:t>
        </m:r>
      </m:oMath>
      <w:r>
        <w:rPr>
          <w:rFonts w:ascii="Times New Roman" w:hAnsi="Times New Roman" w:eastAsia="Times New Roman"/>
        </w:rPr>
        <w:t xml:space="preserve">. For each asset </w:t>
      </w:r>
      <m:oMath>
        <m:r>
          <m:rPr/>
          <m:t>A</m:t>
        </m:r>
      </m:oMath>
      <w:r>
        <w:rPr>
          <w:rFonts w:ascii="Times New Roman" w:hAnsi="Times New Roman" w:eastAsia="Times New Roman"/>
        </w:rPr>
        <w:t xml:space="preserve">, we observe features </w:t>
      </w:r>
      <m:oMath>
        <m:sSubSup>
          <m:sSubSupPr/>
          <m:e>
            <m:r>
              <m:rPr>
                <m:sty m:val="b"/>
              </m:rPr>
              <m:t>x</m:t>
            </m:r>
          </m:e>
          <m:sub>
            <m:r>
              <m:rPr/>
              <m:t>t</m:t>
            </m:r>
          </m:sub>
          <m:sup>
            <m:r>
              <m:rPr/>
              <m:t>A</m:t>
            </m:r>
          </m:sup>
        </m:sSubSup>
        <m:r>
          <m:rPr>
            <m:sty m:val="p"/>
          </m:rPr>
          <m:t>∈</m:t>
        </m:r>
        <m:sSup>
          <m:sSupPr/>
          <m:e>
            <m:r>
              <m:rPr>
                <m:sty m:val="p"/>
                <m:scr m:val="double-struck"/>
              </m:rPr>
              <m:t>ℝ</m:t>
            </m:r>
          </m:e>
          <m:sup>
            <m:r>
              <m:rPr/>
              <m:t>d</m:t>
            </m:r>
          </m:sup>
        </m:sSup>
      </m:oMath>
      <w:r>
        <w:rPr>
          <w:rFonts w:ascii="Times New Roman" w:hAnsi="Times New Roman" w:eastAsia="Times New Roman"/>
        </w:rPr>
        <w:t xml:space="preserve"> at time </w:t>
      </w:r>
      <m:oMath>
        <m:r>
          <m:rPr/>
          <m:t>t</m:t>
        </m:r>
      </m:oMath>
      <w:r>
        <w:rPr>
          <w:rFonts w:ascii="Times New Roman" w:hAnsi="Times New Roman" w:eastAsia="Times New Roman"/>
        </w:rPr>
        <w:t xml:space="preserve">, a prediction </w:t>
      </w:r>
      <m:oMath>
        <m:sSubSup>
          <m:sSubSupPr/>
          <m:e>
            <m:acc>
              <m:accPr/>
              <m:e>
                <m:r>
                  <m:rPr/>
                  <m:t>p</m:t>
                </m:r>
              </m:e>
            </m:acc>
          </m:e>
          <m:sub>
            <m:r>
              <m:rPr/>
              <m:t>t</m:t>
            </m:r>
          </m:sub>
          <m:sup>
            <m:r>
              <m:rPr/>
              <m:t>A</m:t>
            </m:r>
          </m:sup>
        </m:sSubSup>
        <m:r>
          <m:rPr>
            <m:sty m:val="p"/>
          </m:rPr>
          <m:t>∈</m:t>
        </m:r>
        <m:d>
          <m:dPr>
            <m:begChr m:val="["/>
            <m:sepChr m:val=""/>
            <m:endChr m:val="]"/>
          </m:dPr>
          <m:e>
            <m:r>
              <m:rPr/>
              <m:t>0</m:t>
            </m:r>
            <m:r>
              <m:rPr>
                <m:sty m:val="p"/>
              </m:rPr>
              <m:t>,</m:t>
            </m:r>
            <m:r>
              <m:rPr/>
              <m:t>1</m:t>
            </m:r>
          </m:e>
        </m:d>
      </m:oMath>
      <w:r>
        <w:rPr>
          <w:rFonts w:ascii="Times New Roman" w:hAnsi="Times New Roman" w:eastAsia="Times New Roman"/>
        </w:rPr>
        <w:t xml:space="preserve"> generated by a machine-learning model, and the realized return </w:t>
      </w:r>
      <m:oMath>
        <m:sSubSup>
          <m:sSubSupPr/>
          <m:e>
            <m:r>
              <m:rPr/>
              <m:t>r</m:t>
            </m:r>
          </m:e>
          <m:sub>
            <m:r>
              <m:rPr/>
              <m:t>t</m:t>
            </m:r>
          </m:sub>
          <m:sup>
            <m:r>
              <m:rPr/>
              <m:t>A</m:t>
            </m:r>
          </m:sup>
        </m:sSubSup>
      </m:oMath>
      <w:r>
        <w:rPr>
          <w:rFonts w:ascii="Times New Roman" w:hAnsi="Times New Roman" w:eastAsia="Times New Roman"/>
        </w:rPr>
        <w:t>. The features capture market-state information including price momentum, volatility regimes, volume patterns, and cross-asset correlations.</w:t>
      </w:r>
    </w:p>
    <w:p w14:paraId="0000003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The prediction p̂_t^A represents the model’s estimate of the probability that asset A will experience a positive return over the next period. This prediction is generated by a gradient boosted tree (GBT) model trained using walk-forward validation on historical data. Our setup assumes that predictions are generated independently for each asset, without any cross-asset information sharing. This isolates the decision-layer transfer problem from the prediction-layer transfer problem, allowing us to study the former in a controlled setting.</w:t>
      </w:r>
    </w:p>
    <w:p w14:paraId="0000003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3.2 Decision Policy</w:t>
      </w:r>
    </w:p>
    <w:p w14:paraId="0000003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 decision policy </w:t>
      </w:r>
      <m:oMath>
        <m:r>
          <m:rPr/>
          <m:t>π</m:t>
        </m:r>
      </m:oMath>
      <w:r>
        <w:rPr>
          <w:rFonts w:ascii="Times New Roman" w:hAnsi="Times New Roman" w:eastAsia="Times New Roman"/>
        </w:rPr>
        <w:t xml:space="preserve"> maps the prediction and contextual information to a trading signal: </w:t>
      </w:r>
      <m:oMath>
        <m:sSub>
          <m:sSubPr/>
          <m:e>
            <m:r>
              <m:rPr/>
              <m:t>s</m:t>
            </m:r>
          </m:e>
          <m:sub>
            <m:r>
              <m:rPr/>
              <m:t>t</m:t>
            </m:r>
          </m:sub>
        </m:sSub>
        <m:r>
          <m:rPr>
            <m:sty m:val="p"/>
          </m:rPr>
          <m:t>=</m:t>
        </m:r>
        <m:r>
          <m:rPr>
            <m:sty m:val="p"/>
            <m:scr m:val="double-struck"/>
          </m:rPr>
          <m:t>1</m:t>
        </m:r>
        <m:r>
          <m:rPr/>
          <m:t>​</m:t>
        </m:r>
        <m:d>
          <m:dPr>
            <m:begChr m:val="["/>
            <m:sepChr m:val=""/>
            <m:endChr m:val="]"/>
          </m:dPr>
          <m:e>
            <m:sSub>
              <m:sSubPr/>
              <m:e>
                <m:acc>
                  <m:accPr/>
                  <m:e>
                    <m:r>
                      <m:rPr/>
                      <m:t>p</m:t>
                    </m:r>
                  </m:e>
                </m:acc>
              </m:e>
              <m:sub>
                <m:r>
                  <m:rPr/>
                  <m:t>t</m:t>
                </m:r>
              </m:sub>
            </m:sSub>
            <m:r>
              <m:rPr>
                <m:sty m:val="p"/>
              </m:rPr>
              <m:t>≥</m:t>
            </m:r>
            <m:r>
              <m:rPr/>
              <m:t>τ</m:t>
            </m:r>
            <m:d>
              <m:dPr>
                <m:sepChr m:val=""/>
              </m:dPr>
              <m:e>
                <m:sSub>
                  <m:sSubPr/>
                  <m:e>
                    <m:r>
                      <m:rPr>
                        <m:sty m:val="b"/>
                      </m:rPr>
                      <m:t>c</m:t>
                    </m:r>
                  </m:e>
                  <m:sub>
                    <m:r>
                      <m:rPr/>
                      <m:t>t</m:t>
                    </m:r>
                  </m:sub>
                </m:sSub>
              </m:e>
            </m:d>
          </m:e>
        </m:d>
      </m:oMath>
      <w:r>
        <w:rPr>
          <w:rFonts w:ascii="Times New Roman" w:hAnsi="Times New Roman" w:eastAsia="Times New Roman"/>
        </w:rPr>
        <w:t>.</w:t>
      </w:r>
    </w:p>
    <w:p w14:paraId="0000003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r>
          <m:rPr/>
          <m:t>τ</m:t>
        </m:r>
        <m:d>
          <m:dPr>
            <m:sepChr m:val=""/>
          </m:dPr>
          <m:e>
            <m:sSub>
              <m:sSubPr/>
              <m:e>
                <m:r>
                  <m:rPr>
                    <m:sty m:val="b"/>
                  </m:rPr>
                  <m:t>c</m:t>
                </m:r>
              </m:e>
              <m:sub>
                <m:r>
                  <m:rPr/>
                  <m:t>t</m:t>
                </m:r>
              </m:sub>
            </m:sSub>
          </m:e>
        </m:d>
        <m:r>
          <m:rPr>
            <m:sty m:val="p"/>
          </m:rPr>
          <m:t>∈</m:t>
        </m:r>
        <m:r>
          <m:rPr>
            <m:sty m:val="p"/>
            <m:scr m:val="script"/>
          </m:rPr>
          <m:t>T</m:t>
        </m:r>
        <m:r>
          <m:rPr>
            <m:sty m:val="p"/>
          </m:rPr>
          <m:t>={</m:t>
        </m:r>
        <m:sSub>
          <m:sSubPr/>
          <m:e>
            <m:r>
              <m:rPr/>
              <m:t>τ</m:t>
            </m:r>
          </m:e>
          <m:sub>
            <m:r>
              <m:rPr/>
              <m:t>1</m:t>
            </m:r>
          </m:sub>
        </m:sSub>
        <m:r>
          <m:rPr>
            <m:sty m:val="p"/>
          </m:rPr>
          <m:t>,…,</m:t>
        </m:r>
        <m:sSub>
          <m:sSubPr/>
          <m:e>
            <m:r>
              <m:rPr/>
              <m:t>τ</m:t>
            </m:r>
          </m:e>
          <m:sub>
            <m:r>
              <m:rPr/>
              <m:t>K</m:t>
            </m:r>
          </m:sub>
        </m:sSub>
        <m:r>
          <m:rPr>
            <m:sty m:val="p"/>
          </m:rPr>
          <m:t>}</m:t>
        </m:r>
      </m:oMath>
      <w:r>
        <w:rPr>
          <w:rFonts w:ascii="Times New Roman" w:hAnsi="Times New Roman" w:eastAsia="Times New Roman"/>
        </w:rPr>
        <w:t xml:space="preserve"> is a context-dependent threshold selected from a discrete set. The trading signal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indicates whether to take a long position in the asset.</w:t>
      </w:r>
    </w:p>
    <w:p w14:paraId="0000003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The context vector </w:t>
      </w:r>
      <m:oMath>
        <m:sSub>
          <m:sSubPr/>
          <m:e>
            <m:r>
              <m:rPr>
                <m:sty m:val="b"/>
              </m:rPr>
              <m:t>c</m:t>
            </m:r>
          </m:e>
          <m:sub>
            <m:r>
              <m:rPr/>
              <m:t>t</m:t>
            </m:r>
          </m:sub>
        </m:sSub>
        <m:r>
          <m:rPr>
            <m:sty m:val="p"/>
          </m:rPr>
          <m:t>∈</m:t>
        </m:r>
        <m:sSup>
          <m:sSupPr/>
          <m:e>
            <m:r>
              <m:rPr>
                <m:sty m:val="p"/>
                <m:scr m:val="double-struck"/>
              </m:rPr>
              <m:t>ℝ</m:t>
            </m:r>
          </m:e>
          <m:sup>
            <m:r>
              <m:rPr/>
              <m:t>3</m:t>
            </m:r>
          </m:sup>
        </m:sSup>
      </m:oMath>
      <w:r>
        <w:rPr>
          <w:rFonts w:ascii="Times New Roman" w:hAnsi="Times New Roman" w:eastAsia="Times New Roman"/>
        </w:rPr>
        <w:t xml:space="preserve"> captures three market-regime indicators:</w:t>
      </w:r>
    </w:p>
    <w:p w14:paraId="00000040">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Empirical Mode Decomposition (EMD) Trend: The first Intrinsic Mode Function (IMF) of the price series, computed using a rolling window of 252 trading days. At each date t, EMD is re-estimated using only observations in [t-251, t] to avoid look-ahead bias. Mirror boundary conditions (63 points at each end) are applied to mitigate endpoint effects.</w:t>
      </w:r>
    </w:p>
    <w:p w14:paraId="00000041">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The current volatility level relative to its historical distribution, indicating whether the market is in a high or low volatility regime.</w:t>
      </w:r>
    </w:p>
    <w:p w14:paraId="00000042">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A measure of the consistency of recent price movements, distinguishing trending from mean-reverting markets.</w:t>
      </w:r>
    </w:p>
    <w:p w14:paraId="0000004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These three features were selected to capture the key dimensions of market state that are likely to affect optimal threshold selection. The discrete threshold set </w:t>
      </w:r>
      <m:oMath>
        <m:r>
          <m:rPr>
            <m:sty m:val="p"/>
            <m:scr m:val="script"/>
          </m:rPr>
          <m:t>T</m:t>
        </m:r>
        <m:r>
          <m:rPr>
            <m:sty m:val="p"/>
          </m:rPr>
          <m:t>={</m:t>
        </m:r>
        <m:r>
          <m:rPr/>
          <m:t>0.35</m:t>
        </m:r>
        <m:r>
          <m:rPr>
            <m:sty m:val="p"/>
          </m:rPr>
          <m:t>,</m:t>
        </m:r>
        <m:r>
          <m:rPr/>
          <m:t>0.45</m:t>
        </m:r>
        <m:r>
          <m:rPr>
            <m:sty m:val="p"/>
          </m:rPr>
          <m:t>,</m:t>
        </m:r>
        <m:r>
          <m:rPr/>
          <m:t>0.50</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rPr>
        <w:t xml:space="preserve"> spans a range from aggressive (low threshold, high trade frequency) to conservative (high threshold, low trade frequency). The threshold </w:t>
      </w:r>
      <m:oMath>
        <m:r>
          <m:rPr/>
          <m:t>τ</m:t>
        </m:r>
        <m:r>
          <m:rPr>
            <m:sty m:val="p"/>
          </m:rPr>
          <m:t>=</m:t>
        </m:r>
        <m:r>
          <m:rPr/>
          <m:t>1.00</m:t>
        </m:r>
      </m:oMath>
      <w:r>
        <w:rPr>
          <w:rFonts w:ascii="Times New Roman" w:hAnsi="Times New Roman" w:eastAsia="Times New Roman"/>
        </w:rPr>
        <w:t xml:space="preserve"> corresponds to the “no-trade baseline” (never taking a position), serving as a conservative default.</w:t>
      </w:r>
    </w:p>
    <w:p w14:paraId="0000004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3.3 Contextual Bandit Formulation</w:t>
      </w:r>
    </w:p>
    <w:p w14:paraId="0000004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Cambria Math" w:hAnsi="Cambria Math" w:eastAsia="Cambria Math"/>
        </w:rPr>
        <w:t>We formulate the threshold-selection problem as a contextual bandit. At each time t:</w:t>
      </w:r>
    </w:p>
    <w:p w14:paraId="00000046">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Cambria Math" w:hAnsi="Cambria Math" w:eastAsia="Cambria Math"/>
        </w:rPr>
        <w:t>Observe Context: The agent observes the context vector c_t representing the current market state.</w:t>
      </w:r>
    </w:p>
    <w:p w14:paraId="00000047">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rPr>
        <w:t xml:space="preserve">Select Action: The agent selects an action </w:t>
      </w:r>
      <m:oMath>
        <m:sSub>
          <m:sSubPr/>
          <m:e>
            <m:r>
              <m:rPr/>
              <m:t>a</m:t>
            </m:r>
          </m:e>
          <m:sub>
            <m:r>
              <m:rPr/>
              <m:t>t</m:t>
            </m:r>
          </m:sub>
        </m:sSub>
        <m:r>
          <m:rPr>
            <m:sty m:val="p"/>
          </m:rPr>
          <m:t>∈{</m:t>
        </m:r>
        <m:r>
          <m:rPr/>
          <m:t>1</m:t>
        </m:r>
        <m:r>
          <m:rPr>
            <m:sty m:val="p"/>
          </m:rPr>
          <m:t>,…,</m:t>
        </m:r>
        <m:r>
          <m:rPr/>
          <m:t>K</m:t>
        </m:r>
        <m:r>
          <m:rPr>
            <m:sty m:val="p"/>
          </m:rPr>
          <m:t>}</m:t>
        </m:r>
      </m:oMath>
      <w:r>
        <w:rPr>
          <w:rFonts w:ascii="Times New Roman" w:hAnsi="Times New Roman" w:eastAsia="Times New Roman"/>
        </w:rPr>
        <w:t xml:space="preserve">, corresponding to one of the </w:t>
      </w:r>
      <m:oMath>
        <m:r>
          <m:rPr/>
          <m:t>K</m:t>
        </m:r>
      </m:oMath>
      <w:r>
        <w:rPr>
          <w:rFonts w:ascii="Times New Roman" w:hAnsi="Times New Roman" w:eastAsia="Times New Roman"/>
        </w:rPr>
        <w:t xml:space="preserve"> thresholds in </w:t>
      </w:r>
      <m:oMath>
        <m:r>
          <m:rPr>
            <m:sty m:val="p"/>
            <m:scr m:val="script"/>
          </m:rPr>
          <m:t>T</m:t>
        </m:r>
      </m:oMath>
      <w:r>
        <w:rPr>
          <w:rFonts w:ascii="Times New Roman" w:hAnsi="Times New Roman" w:eastAsia="Times New Roman"/>
        </w:rPr>
        <w:t>.</w:t>
      </w:r>
    </w:p>
    <w:p w14:paraId="00000048">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Cambria Math" w:hAnsi="Cambria Math" w:eastAsia="Cambria Math"/>
        </w:rPr>
        <w:t>Receive Reward: The agent receives a reward r_t based on the trading performance obtained with the selected threshold.</w:t>
      </w:r>
    </w:p>
    <w:p w14:paraId="0000004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 objective is to maximize cumulative reward </w:t>
      </w:r>
      <m:oMath>
        <m:nary>
          <m:naryPr>
            <m:chr m:val="∑"/>
            <m:limLoc m:val="undOvr"/>
          </m:naryPr>
          <m:sub>
            <m:r>
              <m:rPr/>
              <m:t>t</m:t>
            </m:r>
            <m:r>
              <m:rPr>
                <m:sty m:val="p"/>
              </m:rPr>
              <m:t>=</m:t>
            </m:r>
            <m:r>
              <m:rPr/>
              <m:t>1</m:t>
            </m:r>
          </m:sub>
          <m:sup>
            <m:r>
              <m:rPr/>
              <m:t>T</m:t>
            </m:r>
          </m:sup>
          <m:e>
            <m:sSub>
              <m:sSubPr/>
              <m:e>
                <m:r>
                  <m:rPr/>
                  <m:t>r</m:t>
                </m:r>
              </m:e>
              <m:sub>
                <m:r>
                  <m:rPr/>
                  <m:t>t</m:t>
                </m:r>
              </m:sub>
            </m:sSub>
          </m:e>
        </m:nary>
      </m:oMath>
      <w:r>
        <w:rPr>
          <w:rFonts w:ascii="Times New Roman" w:hAnsi="Times New Roman" w:eastAsia="Times New Roman"/>
        </w:rPr>
        <w:t xml:space="preserve"> over the evaluation period. We use the LinUCB algorithm (Li et al., 2010) with disjoint linear models, where the expected reward for action </w:t>
      </w:r>
      <m:oMath>
        <m:r>
          <m:rPr/>
          <m:t>k</m:t>
        </m:r>
      </m:oMath>
      <w:r>
        <w:rPr>
          <w:rFonts w:ascii="Times New Roman" w:hAnsi="Times New Roman" w:eastAsia="Times New Roman"/>
        </w:rPr>
        <w:t xml:space="preserve"> is modeled as </w:t>
      </w:r>
      <m:oMath>
        <m:r>
          <m:rPr>
            <m:sty m:val="p"/>
            <m:scr m:val="double-struck"/>
          </m:rPr>
          <m:t>E</m:t>
        </m:r>
        <m:d>
          <m:dPr>
            <m:begChr m:val="["/>
            <m:sepChr m:val=""/>
            <m:endChr m:val="]"/>
          </m:dPr>
          <m:e>
            <m:sSub>
              <m:sSubPr/>
              <m:e>
                <m:r>
                  <m:rPr/>
                  <m:t>r</m:t>
                </m:r>
              </m:e>
              <m:sub>
                <m:r>
                  <m:rPr/>
                  <m:t>t</m:t>
                </m:r>
              </m:sub>
            </m:sSub>
            <m:r>
              <m:rPr>
                <m:sty m:val="p"/>
              </m:rPr>
              <m:t>∣</m:t>
            </m:r>
            <m:sSub>
              <m:sSubPr/>
              <m:e>
                <m:r>
                  <m:rPr/>
                  <m:t>a</m:t>
                </m:r>
              </m:e>
              <m:sub>
                <m:r>
                  <m:rPr/>
                  <m:t>t</m:t>
                </m:r>
              </m:sub>
            </m:sSub>
            <m:r>
              <m:rPr>
                <m:sty m:val="p"/>
              </m:rPr>
              <m:t>=</m:t>
            </m:r>
            <m:r>
              <m:rPr/>
              <m:t>k</m:t>
            </m:r>
            <m:r>
              <m:rPr>
                <m:sty m:val="p"/>
              </m:rPr>
              <m:t>,</m:t>
            </m:r>
            <m:sSub>
              <m:sSubPr/>
              <m:e>
                <m:r>
                  <m:rPr>
                    <m:sty m:val="b"/>
                  </m:rPr>
                  <m:t>c</m:t>
                </m:r>
              </m:e>
              <m:sub>
                <m:r>
                  <m:rPr/>
                  <m:t>t</m:t>
                </m:r>
              </m:sub>
            </m:sSub>
          </m:e>
        </m:d>
        <m:r>
          <m:rPr>
            <m:sty m:val="p"/>
          </m:rPr>
          <m:t>=</m:t>
        </m:r>
        <m:sSubSup>
          <m:sSubSupPr/>
          <m:e>
            <m:r>
              <m:rPr>
                <m:sty m:val="b"/>
              </m:rPr>
              <m:t>θ</m:t>
            </m:r>
          </m:e>
          <m:sub>
            <m:r>
              <m:rPr/>
              <m:t>k</m:t>
            </m:r>
          </m:sub>
          <m:sup>
            <m:r>
              <m:rPr>
                <m:sty m:val="p"/>
                <m:scr m:val="sans-serif"/>
              </m:rPr>
              <m:t>T</m:t>
            </m:r>
          </m:sup>
        </m:sSubSup>
        <m:sSub>
          <m:sSubPr/>
          <m:e>
            <m:r>
              <m:rPr>
                <m:sty m:val="b"/>
              </m:rPr>
              <m:t>c</m:t>
            </m:r>
          </m:e>
          <m:sub>
            <m:r>
              <m:rPr/>
              <m:t>t</m:t>
            </m:r>
          </m:sub>
        </m:sSub>
      </m:oMath>
      <w:r>
        <w:rPr>
          <w:rFonts w:ascii="Times New Roman" w:hAnsi="Times New Roman" w:eastAsia="Times New Roman"/>
        </w:rPr>
        <w:t>.</w:t>
      </w:r>
    </w:p>
    <w:p w14:paraId="0000004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LinUCB algorithm balances exploration and exploitation by selecting actions according to:</w:t>
      </w:r>
    </w:p>
    <w:p w14:paraId="0000004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LinUCB action is </w:t>
      </w:r>
      <m:oMath>
        <m:sSub>
          <m:sSubPr/>
          <m:e>
            <m:r>
              <m:rPr/>
              <m:t>a</m:t>
            </m:r>
          </m:e>
          <m:sub>
            <m:r>
              <m:rPr/>
              <m:t>t</m:t>
            </m:r>
          </m:sub>
        </m:sSub>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t>A</m:t>
            </m:r>
          </m:e>
          <m:sub>
            <m:r>
              <m:rPr/>
              <m:t>k</m:t>
            </m:r>
          </m:sub>
        </m:sSub>
        <m:r>
          <m:rPr>
            <m:sty m:val="p"/>
          </m:rPr>
          <m:t>=</m:t>
        </m:r>
        <m:sSub>
          <m:sSubPr/>
          <m:e>
            <m:r>
              <m:rPr/>
              <m:t>I</m:t>
            </m:r>
          </m:e>
          <m:sub>
            <m:r>
              <m:rPr/>
              <m:t>d</m:t>
            </m:r>
          </m:sub>
        </m:sSub>
        <m:r>
          <m:rPr>
            <m:sty m:val="p"/>
          </m:rPr>
          <m:t>+</m:t>
        </m:r>
        <m:nary>
          <m:naryPr>
            <m:chr m:val="∑"/>
            <m:limLoc m:val="undOvr"/>
            <m:supHide m:val="1"/>
          </m:naryPr>
          <m:sub>
            <m:r>
              <m:rPr/>
              <m:t>τ</m:t>
            </m:r>
            <m:r>
              <m:rPr>
                <m:sty m:val="p"/>
              </m:rPr>
              <m:t>:</m:t>
            </m:r>
            <m:sSub>
              <m:sSubPr/>
              <m:e>
                <m:r>
                  <m:rPr/>
                  <m:t>a</m:t>
                </m:r>
              </m:e>
              <m:sub>
                <m:r>
                  <m:rPr/>
                  <m:t>τ</m:t>
                </m:r>
              </m:sub>
            </m:sSub>
            <m:r>
              <m:rPr>
                <m:sty m:val="p"/>
              </m:rPr>
              <m:t>=</m:t>
            </m:r>
            <m:r>
              <m:rPr/>
              <m:t>k</m:t>
            </m:r>
          </m:sub>
          <m:sup>
            <m:r>
              <m:rPr/>
              <m:t>​</m:t>
            </m:r>
          </m:sup>
          <m:e>
            <m:sSub>
              <m:sSubPr/>
              <m:e>
                <m:r>
                  <m:rPr>
                    <m:sty m:val="b"/>
                  </m:rPr>
                  <m:t>c</m:t>
                </m:r>
              </m:e>
              <m:sub>
                <m:r>
                  <m:rPr/>
                  <m:t>τ</m:t>
                </m:r>
              </m:sub>
            </m:sSub>
          </m:e>
        </m:nary>
        <m:sSubSup>
          <m:sSubSupPr/>
          <m:e>
            <m:r>
              <m:rPr>
                <m:sty m:val="b"/>
              </m:rPr>
              <m:t>c</m:t>
            </m:r>
          </m:e>
          <m:sub>
            <m:r>
              <m:rPr/>
              <m:t>τ</m:t>
            </m:r>
          </m:sub>
          <m:sup>
            <m:r>
              <m:rPr>
                <m:sty m:val="p"/>
                <m:scr m:val="sans-serif"/>
              </m:rPr>
              <m:t>T</m:t>
            </m:r>
          </m:sup>
        </m:sSubSup>
      </m:oMath>
      <w:r>
        <w:rPr>
          <w:rFonts w:ascii="Times New Roman" w:hAnsi="Times New Roman" w:eastAsia="Times New Roman"/>
        </w:rPr>
        <w:t xml:space="preserve"> is the design matrix for action </w:t>
      </w:r>
      <m:oMath>
        <m:r>
          <m:rPr/>
          <m:t>k</m:t>
        </m:r>
      </m:oMath>
      <w:r>
        <w:rPr>
          <w:rFonts w:ascii="Times New Roman" w:hAnsi="Times New Roman" w:eastAsia="Times New Roman"/>
        </w:rPr>
        <w:t xml:space="preserve">, and </w:t>
      </w:r>
      <m:oMath>
        <m:r>
          <m:rPr/>
          <m:t>α</m:t>
        </m:r>
        <m:r>
          <m:rPr>
            <m:sty m:val="p"/>
          </m:rPr>
          <m:t>&gt;</m:t>
        </m:r>
        <m:r>
          <m:rPr/>
          <m:t>0</m:t>
        </m:r>
      </m:oMath>
      <w:r>
        <w:rPr>
          <w:rFonts w:ascii="Times New Roman" w:hAnsi="Times New Roman" w:eastAsia="Times New Roman"/>
        </w:rPr>
        <w:t xml:space="preserve"> is the exploration parameter. We set </w:t>
      </w:r>
      <m:oMath>
        <m:r>
          <m:rPr/>
          <m:t>α</m:t>
        </m:r>
        <m:r>
          <m:rPr>
            <m:sty m:val="p"/>
          </m:rPr>
          <m:t>=</m:t>
        </m:r>
        <m:r>
          <m:rPr/>
          <m:t>0.3</m:t>
        </m:r>
      </m:oMath>
      <w:r>
        <w:rPr>
          <w:rFonts w:ascii="Times New Roman" w:hAnsi="Times New Roman" w:eastAsia="Times New Roman"/>
        </w:rPr>
        <w:t xml:space="preserve"> based on preliminary experiments.</w:t>
      </w:r>
    </w:p>
    <w:p w14:paraId="0000004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3.4 Zero-Shot Transfer</w:t>
      </w:r>
    </w:p>
    <w:p w14:paraId="0000004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the zero-shot transfer setting, a policy π_S trained on source asset S is deployed on target asset T without any target-side learning. This is the most challenging transfer scenario, as the policy must generalize from the source context distribution to the target context distribution without adaptation.</w:t>
      </w:r>
    </w:p>
    <w:p w14:paraId="0000004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Formally, the transferred policy on target </w:t>
      </w:r>
      <m:oMath>
        <m:r>
          <m:rPr/>
          <m:t>T</m:t>
        </m:r>
      </m:oMath>
      <w:r>
        <w:rPr>
          <w:rFonts w:ascii="Times New Roman" w:hAnsi="Times New Roman" w:eastAsia="Times New Roman"/>
        </w:rPr>
        <w:t xml:space="preserve"> is </w:t>
      </w:r>
      <m:oMath>
        <m:sSub>
          <m:sSubPr/>
          <m:e>
            <m:r>
              <m:rPr/>
              <m:t>π</m:t>
            </m:r>
          </m:e>
          <m:sub>
            <m:r>
              <m:rPr/>
              <m:t>T</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bSup>
                  <m:sSubSupPr/>
                  <m:e>
                    <m:r>
                      <m:rPr/>
                      <m:t>a</m:t>
                    </m:r>
                  </m:e>
                  <m:sub>
                    <m:r>
                      <m:rPr/>
                      <m:t>t</m:t>
                    </m:r>
                  </m:sub>
                  <m:sup>
                    <m:r>
                      <m:rPr>
                        <m:sty m:val="p"/>
                      </m:rPr>
                      <m:t>∗</m:t>
                    </m:r>
                  </m:sup>
                </m:sSubSup>
              </m:sub>
            </m:sSub>
          </m:e>
        </m:d>
      </m:oMath>
      <w:r>
        <w:rPr>
          <w:rFonts w:ascii="Times New Roman" w:hAnsi="Times New Roman" w:eastAsia="Times New Roman"/>
        </w:rPr>
        <w:t xml:space="preserve">, where </w:t>
      </w:r>
      <m:oMath>
        <m:sSubSup>
          <m:sSubSupPr/>
          <m:e>
            <m:r>
              <m:rPr/>
              <m:t>a</m:t>
            </m:r>
          </m:e>
          <m:sub>
            <m:r>
              <m:rPr/>
              <m:t>t</m:t>
            </m:r>
          </m:sub>
          <m:sup>
            <m:r>
              <m:rPr>
                <m:sty m:val="p"/>
              </m:rPr>
              <m:t>∗</m:t>
            </m:r>
          </m:sup>
        </m:sSubSup>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p>
              <m:sSupPr/>
              <m:e>
                <m:d>
                  <m:dPr>
                    <m:sepChr m:val=""/>
                  </m:dPr>
                  <m:e>
                    <m:sSubSup>
                      <m:sSubSupPr/>
                      <m:e>
                        <m:r>
                          <m:rPr>
                            <m:sty m:val="b"/>
                          </m:rPr>
                          <m:t>θ</m:t>
                        </m:r>
                      </m:e>
                      <m:sub>
                        <m:r>
                          <m:rPr/>
                          <m:t>k</m:t>
                        </m:r>
                      </m:sub>
                      <m:sup>
                        <m:r>
                          <m:rPr/>
                          <m:t>S</m:t>
                        </m:r>
                      </m:sup>
                    </m:sSubSup>
                  </m:e>
                </m:d>
              </m:e>
              <m:sup>
                <m:r>
                  <m:rPr>
                    <m:sty m:val="p"/>
                    <m:scr m:val="sans-serif"/>
                  </m:rPr>
                  <m:t>T</m:t>
                </m:r>
              </m:sup>
            </m:s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p>
                  <m:sSupPr/>
                  <m:e>
                    <m:d>
                      <m:dPr>
                        <m:sepChr m:val=""/>
                      </m:dPr>
                      <m:e>
                        <m:sSubSup>
                          <m:sSubSupPr/>
                          <m:e>
                            <m:r>
                              <m:rPr/>
                              <m:t>A</m:t>
                            </m:r>
                          </m:e>
                          <m:sub>
                            <m:r>
                              <m:rPr/>
                              <m:t>k</m:t>
                            </m:r>
                          </m:sub>
                          <m:sup>
                            <m:r>
                              <m:rPr/>
                              <m:t>S</m:t>
                            </m:r>
                          </m:sup>
                        </m:sSubSup>
                      </m:e>
                    </m:d>
                  </m:e>
                  <m:sup>
                    <m:r>
                      <m:rPr>
                        <m:sty m:val="p"/>
                      </m:rPr>
                      <m:t>−</m:t>
                    </m:r>
                    <m:r>
                      <m:rPr/>
                      <m:t>1</m:t>
                    </m:r>
                  </m:sup>
                </m:sSup>
                <m:sSub>
                  <m:sSubPr/>
                  <m:e>
                    <m:r>
                      <m:rPr>
                        <m:sty m:val="b"/>
                      </m:rPr>
                      <m:t>c</m:t>
                    </m:r>
                  </m:e>
                  <m:sub>
                    <m:r>
                      <m:rPr/>
                      <m:t>t</m:t>
                    </m:r>
                  </m:sub>
                </m:sSub>
              </m:e>
            </m:rad>
          </m:e>
        </m:d>
      </m:oMath>
      <w:r>
        <w:rPr>
          <w:rFonts w:ascii="Times New Roman" w:hAnsi="Times New Roman" w:eastAsia="Times New Roman"/>
        </w:rPr>
        <w:t>.</w:t>
      </w:r>
    </w:p>
    <w:p w14:paraId="0000004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sty m:val="b"/>
              </m:rPr>
              <m:t>θ</m:t>
            </m:r>
          </m:e>
          <m:sub>
            <m:r>
              <m:rPr/>
              <m:t>k</m:t>
            </m:r>
          </m:sub>
          <m:sup>
            <m:r>
              <m:rPr/>
              <m:t>S</m:t>
            </m:r>
          </m:sup>
        </m:sSubSup>
      </m:oMath>
      <w:r>
        <w:rPr>
          <w:rFonts w:ascii="Times New Roman" w:hAnsi="Times New Roman" w:eastAsia="Times New Roman"/>
        </w:rPr>
        <w:t xml:space="preserve"> and </w:t>
      </w:r>
      <m:oMath>
        <m:sSubSup>
          <m:sSubSupPr/>
          <m:e>
            <m:r>
              <m:rPr/>
              <m:t>A</m:t>
            </m:r>
          </m:e>
          <m:sub>
            <m:r>
              <m:rPr/>
              <m:t>k</m:t>
            </m:r>
          </m:sub>
          <m:sup>
            <m:r>
              <m:rPr/>
              <m:t>S</m:t>
            </m:r>
          </m:sup>
        </m:sSubSup>
      </m:oMath>
      <w:r>
        <w:rPr>
          <w:rFonts w:ascii="Times New Roman" w:hAnsi="Times New Roman" w:eastAsia="Times New Roman"/>
        </w:rPr>
        <w:t xml:space="preserve"> are the parameters learned on the source asset.</w:t>
      </w:r>
    </w:p>
    <w:p w14:paraId="0000005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3.5 The Collapse Question</w:t>
      </w:r>
    </w:p>
    <w:p w14:paraId="00000051">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now formalize the collapse phenomenon that motivates our work.</w:t>
      </w:r>
    </w:p>
    <w:p w14:paraId="00000052">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t>Definition 1 (Severe Collapse). A policy π exhibits severe collapse on target T if:</w:t>
      </w:r>
    </w:p>
    <w:p w14:paraId="00000053">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 xml:space="preserve">Modal-Action Share: </w:t>
      </w:r>
      <m:oMath>
        <m:sSub>
          <m:sSubPr/>
          <m:e>
            <m:r>
              <m:rPr>
                <m:sty m:val="p"/>
              </m:rPr>
              <m:t>max</m:t>
            </m:r>
          </m:e>
          <m:sub>
            <m:r>
              <m:rPr/>
              <m:t>k</m:t>
            </m:r>
          </m:sub>
        </m:sSub>
        <m:sSub>
          <m:sSubPr/>
          <m:e>
            <m:acc>
              <m:accPr/>
              <m:e>
                <m:r>
                  <m:rPr/>
                  <m:t>p</m:t>
                </m:r>
              </m:e>
            </m:acc>
          </m:e>
          <m:sub>
            <m:r>
              <m:rPr/>
              <m:t>k</m:t>
            </m:r>
          </m:sub>
        </m:sSub>
        <m:r>
          <m:rPr>
            <m:sty m:val="p"/>
          </m:rPr>
          <m:t>≥</m:t>
        </m:r>
        <m:r>
          <m:rPr/>
          <m:t>0.90</m:t>
        </m:r>
      </m:oMath>
      <w:r>
        <w:rPr>
          <w:rFonts w:ascii="Times New Roman" w:hAnsi="Times New Roman" w:eastAsia="Times New Roman"/>
        </w:rPr>
        <w:t xml:space="preserve">, where </w:t>
      </w:r>
      <m:oMath>
        <m:sSub>
          <m:sSubPr/>
          <m:e>
            <m:acc>
              <m:accPr/>
              <m:e>
                <m:r>
                  <m:rPr/>
                  <m:t>p</m:t>
                </m:r>
              </m:e>
            </m:acc>
          </m:e>
          <m:sub>
            <m:r>
              <m:rPr/>
              <m:t>k</m:t>
            </m:r>
          </m:sub>
        </m:sSub>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d>
          <m:dPr>
            <m:begChr m:val="["/>
            <m:sepChr m:val=""/>
            <m:endChr m:val="]"/>
          </m:dPr>
          <m:e>
            <m:sSub>
              <m:sSubPr/>
              <m:e>
                <m:r>
                  <m:rPr/>
                  <m:t>a</m:t>
                </m:r>
              </m:e>
              <m:sub>
                <m:r>
                  <m:rPr/>
                  <m:t>t</m:t>
                </m:r>
              </m:sub>
            </m:sSub>
            <m:r>
              <m:rPr>
                <m:sty m:val="p"/>
              </m:rPr>
              <m:t>=</m:t>
            </m:r>
            <m:r>
              <m:rPr/>
              <m:t>k</m:t>
            </m:r>
          </m:e>
        </m:d>
      </m:oMath>
      <w:r>
        <w:rPr>
          <w:rFonts w:ascii="Times New Roman" w:hAnsi="Times New Roman" w:eastAsia="Times New Roman"/>
        </w:rPr>
        <w:t xml:space="preserve"> is the empirical frequency of action </w:t>
      </w:r>
      <m:oMath>
        <m:r>
          <m:rPr/>
          <m:t>k</m:t>
        </m:r>
      </m:oMath>
      <w:r>
        <w:rPr>
          <w:rFonts w:ascii="Times New Roman" w:hAnsi="Times New Roman" w:eastAsia="Times New Roman"/>
        </w:rPr>
        <w:t>.</w:t>
      </w:r>
    </w:p>
    <w:p w14:paraId="00000054">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 xml:space="preserve">Normalized Entropy: </w:t>
      </w:r>
      <m:oMath>
        <m:f>
          <m:fPr/>
          <m:num>
            <m:r>
              <m:rPr/>
              <m:t>H</m:t>
            </m:r>
            <m:d>
              <m:dPr>
                <m:sepChr m:val=""/>
              </m:dPr>
              <m:e>
                <m:acc>
                  <m:accPr/>
                  <m:e>
                    <m:r>
                      <m:rPr>
                        <m:sty m:val="b"/>
                      </m:rPr>
                      <m:t>p</m:t>
                    </m:r>
                  </m:e>
                </m:acc>
              </m:e>
            </m:d>
          </m:num>
          <m:den>
            <m:r>
              <m:rPr>
                <m:sty m:val="p"/>
              </m:rPr>
              <m:t>log</m:t>
            </m:r>
            <m:r>
              <m:rPr/>
              <m:t>K</m:t>
            </m:r>
          </m:den>
        </m:f>
        <m:r>
          <m:rPr>
            <m:sty m:val="p"/>
          </m:rPr>
          <m:t>≤</m:t>
        </m:r>
        <m:r>
          <m:rPr/>
          <m:t>0.25</m:t>
        </m:r>
      </m:oMath>
      <w:r>
        <w:rPr>
          <w:rFonts w:ascii="Times New Roman" w:hAnsi="Times New Roman" w:eastAsia="Times New Roman"/>
        </w:rPr>
        <w:t xml:space="preserve">, where </w:t>
      </w:r>
      <m:oMath>
        <m:r>
          <m:rPr/>
          <m:t>H</m:t>
        </m:r>
        <m:d>
          <m:dPr>
            <m:sepChr m:val=""/>
          </m:dPr>
          <m:e>
            <m:acc>
              <m:accPr/>
              <m:e>
                <m:r>
                  <m:rPr>
                    <m:sty m:val="b"/>
                  </m:rPr>
                  <m:t>p</m:t>
                </m:r>
              </m:e>
            </m:acc>
          </m:e>
        </m:d>
        <m:r>
          <m:rPr>
            <m:sty m:val="p"/>
          </m:rPr>
          <m:t>=−</m:t>
        </m:r>
        <m:nary>
          <m:naryPr>
            <m:chr m:val="∑"/>
            <m:limLoc m:val="undOvr"/>
          </m:naryPr>
          <m:sub>
            <m:r>
              <m:rPr/>
              <m:t>k</m:t>
            </m:r>
            <m:r>
              <m:rPr>
                <m:sty m:val="p"/>
              </m:rPr>
              <m:t>=</m:t>
            </m:r>
            <m:r>
              <m:rPr/>
              <m:t>1</m:t>
            </m:r>
          </m:sub>
          <m:sup>
            <m:r>
              <m:rPr/>
              <m:t>K</m:t>
            </m:r>
          </m:sup>
          <m:e>
            <m:sSub>
              <m:sSubPr/>
              <m:e>
                <m:acc>
                  <m:accPr/>
                  <m:e>
                    <m:r>
                      <m:rPr/>
                      <m:t>p</m:t>
                    </m:r>
                  </m:e>
                </m:acc>
              </m:e>
              <m:sub>
                <m:r>
                  <m:rPr/>
                  <m:t>k</m:t>
                </m:r>
              </m:sub>
            </m:sSub>
          </m:e>
        </m:nary>
        <m:r>
          <m:rPr>
            <m:sty m:val="p"/>
          </m:rPr>
          <m:t>log</m:t>
        </m:r>
        <m:sSub>
          <m:sSubPr/>
          <m:e>
            <m:acc>
              <m:accPr/>
              <m:e>
                <m:r>
                  <m:rPr/>
                  <m:t>p</m:t>
                </m:r>
              </m:e>
            </m:acc>
          </m:e>
          <m:sub>
            <m:r>
              <m:rPr/>
              <m:t>k</m:t>
            </m:r>
          </m:sub>
        </m:sSub>
      </m:oMath>
      <w:r>
        <w:rPr>
          <w:rFonts w:ascii="Times New Roman" w:hAnsi="Times New Roman" w:eastAsia="Times New Roman"/>
        </w:rPr>
        <w:t xml:space="preserve"> is the entropy of the action distribution.</w:t>
      </w:r>
    </w:p>
    <w:p w14:paraId="00000055">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Severe collapse indicates that the policy has effectively degenerated into a static rule, selecting the same action for almost all contexts. This defeats the purpose of using a contextual bandit, which is to adapt the threshold based on market conditions.</w:t>
      </w:r>
    </w:p>
    <w:p w14:paraId="000000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2 (Source Degeneracy). A source policy </w:t>
      </w:r>
      <m:oMath>
        <m:sSub>
          <m:sSubPr/>
          <m:e>
            <m:r>
              <m:rPr/>
              <m:t>π</m:t>
            </m:r>
          </m:e>
          <m:sub>
            <m:r>
              <m:rPr/>
              <m:t>S</m:t>
            </m:r>
          </m:sub>
        </m:sSub>
      </m:oMath>
      <w:r>
        <w:rPr>
          <w:rFonts w:ascii="Times New Roman" w:hAnsi="Times New Roman" w:eastAsia="Times New Roman"/>
        </w:rPr>
        <w:t xml:space="preserve"> is degenerate if its modal-action share during source-side evaluation exceeds </w:t>
      </w:r>
      <m:oMath>
        <m:sSub>
          <m:sSubPr/>
          <m:e>
            <m:r>
              <m:rPr/>
              <m:t>γ</m:t>
            </m:r>
          </m:e>
          <m:sub>
            <m:r>
              <m:rPr/>
              <m:t>S</m:t>
            </m:r>
          </m:sub>
        </m:sSub>
      </m:oMath>
      <w:r>
        <w:rPr>
          <w:rFonts w:ascii="Times New Roman" w:hAnsi="Times New Roman" w:eastAsia="Times New Roman"/>
        </w:rPr>
        <w:t xml:space="preserve">. We use </w:t>
      </w:r>
      <m:oMath>
        <m:sSub>
          <m:sSubPr/>
          <m:e>
            <m:r>
              <m:rPr/>
              <m:t>γ</m:t>
            </m:r>
          </m:e>
          <m:sub>
            <m:r>
              <m:rPr/>
              <m:t>S</m:t>
            </m:r>
          </m:sub>
        </m:sSub>
        <m:r>
          <m:rPr>
            <m:sty m:val="p"/>
          </m:rPr>
          <m:t>=</m:t>
        </m:r>
        <m:r>
          <m:rPr/>
          <m:t>0.90</m:t>
        </m:r>
      </m:oMath>
      <w:r>
        <w:rPr>
          <w:rFonts w:ascii="Times New Roman" w:hAnsi="Times New Roman" w:eastAsia="Times New Roman"/>
        </w:rPr>
        <w:t xml:space="preserve"> throughout this paper.</w:t>
      </w:r>
    </w:p>
    <w:p w14:paraId="000000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our empirical sample, source degeneracy perfectly predicts target collapse. If the source policy already concentrates on a single action, it cannot adapt to different contexts on the target asset.</w:t>
      </w:r>
    </w:p>
    <w:p w14:paraId="0000005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3 (Behavioral Equivalence). A policy </w:t>
      </w:r>
      <m:oMath>
        <m:sSub>
          <m:sSubPr/>
          <m:e>
            <m:r>
              <m:rPr/>
              <m:t>π</m:t>
            </m:r>
          </m:e>
          <m:sub>
            <m:r>
              <m:rPr/>
              <m:t>S</m:t>
            </m:r>
          </m:sub>
        </m:sSub>
      </m:oMath>
      <w:r>
        <w:rPr>
          <w:rFonts w:ascii="Times New Roman" w:hAnsi="Times New Roman" w:eastAsia="Times New Roman"/>
        </w:rPr>
        <w:t xml:space="preserve"> is behaviorally equivalent to a static threshold </w:t>
      </w:r>
      <m:oMath>
        <m:sSub>
          <m:sSubPr/>
          <m:e>
            <m:r>
              <m:rPr/>
              <m:t>τ</m:t>
            </m:r>
          </m:e>
          <m:sub>
            <m:sSup>
              <m:sSupPr/>
              <m:e>
                <m:r>
                  <m:rPr/>
                  <m:t>k</m:t>
                </m:r>
              </m:e>
              <m:sup>
                <m:r>
                  <m:rPr>
                    <m:sty m:val="p"/>
                  </m:rPr>
                  <m:t>∗</m:t>
                </m:r>
              </m:sup>
            </m:sSup>
          </m:sub>
        </m:sSub>
      </m:oMath>
      <w:r>
        <w:rPr>
          <w:rFonts w:ascii="Times New Roman" w:hAnsi="Times New Roman" w:eastAsia="Times New Roman"/>
        </w:rPr>
        <w:t xml:space="preserve"> on target </w:t>
      </w:r>
      <m:oMath>
        <m:r>
          <m:rPr/>
          <m:t>T</m:t>
        </m:r>
      </m:oMath>
      <w:r>
        <w:rPr>
          <w:rFonts w:ascii="Times New Roman" w:hAnsi="Times New Roman" w:eastAsia="Times New Roman"/>
        </w:rPr>
        <w:t xml:space="preserve"> if </w:t>
      </w:r>
      <m:oMath>
        <m:sSub>
          <m:sSubPr/>
          <m:e>
            <m:r>
              <m:rPr/>
              <m:t>π</m:t>
            </m:r>
          </m:e>
          <m:sub>
            <m:r>
              <m:rPr/>
              <m:t>S</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r>
          <m:rPr/>
          <m:t> </m:t>
        </m:r>
        <m:r>
          <m:rPr>
            <m:sty m:val="p"/>
          </m:rPr>
          <m:t>∀</m:t>
        </m:r>
        <m:r>
          <m:rPr/>
          <m:t> </m:t>
        </m:r>
        <m:sSub>
          <m:sSubPr/>
          <m:e>
            <m:r>
              <m:rPr>
                <m:sty m:val="b"/>
              </m:rPr>
              <m:t>c</m:t>
            </m:r>
          </m:e>
          <m:sub>
            <m:r>
              <m:rPr/>
              <m:t>t</m:t>
            </m:r>
          </m:sub>
        </m:sSub>
        <m:r>
          <m:rPr>
            <m:sty m:val="p"/>
          </m:rPr>
          <m:t>∈</m:t>
        </m:r>
        <m:sSub>
          <m:sSubPr/>
          <m:e>
            <m:r>
              <m:rPr>
                <m:sty m:val="p"/>
                <m:scr m:val="script"/>
              </m:rPr>
              <m:t>C</m:t>
            </m:r>
          </m:e>
          <m:sub>
            <m:r>
              <m:rPr/>
              <m:t>T</m:t>
            </m:r>
          </m:sub>
        </m:sSub>
      </m:oMath>
      <w:r>
        <w:rPr>
          <w:rFonts w:ascii="Times New Roman" w:hAnsi="Times New Roman" w:eastAsia="Times New Roman"/>
        </w:rPr>
        <w:t>.</w:t>
      </w:r>
    </w:p>
    <w:p w14:paraId="000000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Here C_T is the set of all observed contexts on target T. Behavioral equivalence is a stronger condition than severe collapse. A policy can exhibit severe collapse without being behaviorally equivalent to any single threshold—it might occasionally select different actions for extreme contexts. However, in practice, severe collapse often implies approximate behavioral equivalence.</w:t>
      </w:r>
    </w:p>
    <w:p w14:paraId="0000005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 Algorithm: FCTT-DA</w:t>
      </w:r>
    </w:p>
    <w:p w14:paraId="0000005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4.1 Architecture</w:t>
      </w:r>
    </w:p>
    <w:p w14:paraId="0000005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Frozen Contextual Threshold Transfer with Degeneracy Audit (FCTT-DA) framework consists of three distinct modules designed to diagnose and mitigate cross-asset policy transfer failures.</w:t>
      </w:r>
    </w:p>
    <w:p w14:paraId="0000005D">
      <w:pPr>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5" w:lineRule="auto"/>
        <w:jc w:val="center"/>
        <w:rPr>
          <w:rFonts w:hint="eastAsia" w:ascii="Google Sans" w:hAnsi="Google Sans" w:eastAsia="Google Sans" w:cs="Google Sans"/>
          <w:color w:val="1F1F1F"/>
          <w:lang w:eastAsia="zh-CN"/>
        </w:rPr>
      </w:pPr>
      <w:r>
        <w:rPr>
          <w:rFonts w:hint="eastAsia" w:ascii="Times New Roman" w:hAnsi="Times New Roman" w:eastAsia="Times New Roman" w:cs="Google Sans"/>
          <w:color w:val="1F1F1F"/>
          <w:sz w:val="24"/>
          <w:lang w:eastAsia="zh-CN"/>
        </w:rPr>
        <w:drawing>
          <wp:inline distT="0" distB="0" distL="114300" distR="114300">
            <wp:extent cx="5941695" cy="7425055"/>
            <wp:effectExtent l="0" t="0" r="1905" b="17145"/>
            <wp:docPr id="2" name="图片 2" descr="ChatGPT Image 2026年7月13日 14_49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13日 14_49_59"/>
                    <pic:cNvPicPr>
                      <a:picLocks noChangeAspect="1"/>
                    </pic:cNvPicPr>
                  </pic:nvPicPr>
                  <pic:blipFill>
                    <a:blip r:embed="rId7"/>
                    <a:stretch>
                      <a:fillRect/>
                    </a:stretch>
                  </pic:blipFill>
                  <pic:spPr>
                    <a:xfrm>
                      <a:off x="0" y="0"/>
                      <a:ext cx="5941695" cy="7425055"/>
                    </a:xfrm>
                    <a:prstGeom prst="rect">
                      <a:avLst/>
                    </a:prstGeom>
                  </pic:spPr>
                </pic:pic>
              </a:graphicData>
            </a:graphic>
          </wp:inline>
        </w:drawing>
      </w:r>
    </w:p>
    <w:p w14:paraId="2B1A305E">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1: Local Predictor. For each asset, we train a gradient boosted tree (GBT) using walk-forward validation. The training window is </w:t>
      </w:r>
      <w:r>
        <w:rPr>
          <w:rFonts w:hint="eastAsia" w:eastAsia="宋体"/>
          <w:lang w:val="en-US" w:eastAsia="zh-CN"/>
        </w:rPr>
        <w:t>504</w:t>
      </w:r>
      <w:r>
        <w:rPr>
          <w:rFonts w:ascii="Times New Roman" w:hAnsi="Times New Roman" w:eastAsia="Times New Roman"/>
        </w:rPr>
        <w:t xml:space="preserve"> trading days (approximately two years), the test window is </w:t>
      </w:r>
      <w:r>
        <w:rPr>
          <w:rFonts w:hint="eastAsia" w:eastAsia="宋体"/>
          <w:lang w:val="en-US" w:eastAsia="zh-CN"/>
        </w:rPr>
        <w:t>63</w:t>
      </w:r>
      <w:r>
        <w:rPr>
          <w:rFonts w:ascii="Times New Roman" w:hAnsi="Times New Roman" w:eastAsia="Times New Roman"/>
        </w:rPr>
        <w:t xml:space="preserve"> trading days (approximately one quarter), and the step size is </w:t>
      </w:r>
      <w:r>
        <w:rPr>
          <w:rFonts w:hint="eastAsia" w:eastAsia="宋体"/>
          <w:lang w:val="en-US" w:eastAsia="zh-CN"/>
        </w:rPr>
        <w:t>63</w:t>
      </w:r>
      <w:r>
        <w:rPr>
          <w:rFonts w:ascii="Times New Roman" w:hAnsi="Times New Roman" w:eastAsia="Times New Roman"/>
        </w:rPr>
        <w:t xml:space="preserve"> days. This setup ensures that predictions are generated out-of-sample, mimicking real-world deployment conditions. The GBT model uses  technical, volatility, volume, and price-based features to predict the probability of a positive excess return over the next period. Hyperparameters are tuned via cross-validation within each training window.</w:t>
      </w:r>
    </w:p>
    <w:p w14:paraId="0000005F">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2: Frozen Contextual Threshold Policy. The threshold selection policy is a LinUCB algorithm with </w:t>
      </w:r>
      <w:r>
        <w:rPr>
          <w:rFonts w:ascii="Times New Roman" w:hAnsi="Times New Roman" w:eastAsia="Times New Roman"/>
          <w:lang w:val="en-US" w:eastAsia="zh-CN"/>
        </w:rPr>
        <w:t>α=0.3</w:t>
      </w:r>
      <w:r>
        <w:rPr>
          <w:rFonts w:ascii="Times New Roman" w:hAnsi="Times New Roman" w:eastAsia="Times New Roman"/>
        </w:rPr>
        <w:t xml:space="preserve"> and 3D context features: Empirical Mode Decomposition (EMD) trend, volatility quantile, and trend strength. The policy is trained on the source asset's training period and then frozen (no further learning) for transfer to target assets. The threshold set is </w:t>
      </w:r>
      <w:r>
        <w:rPr>
          <w:rFonts w:hint="eastAsia" w:ascii="Times New Roman" w:hAnsi="Times New Roman" w:eastAsia="Times New Roman"/>
        </w:rPr>
        <w:t>T={0.35,0.45,0.50,0.55,0.65,0.75,1.00}</w:t>
      </w:r>
      <w:r>
        <w:rPr>
          <w:rFonts w:ascii="Times New Roman" w:hAnsi="Times New Roman" w:eastAsia="Times New Roman"/>
        </w:rPr>
        <w:t>.</w:t>
      </w:r>
    </w:p>
    <w:p w14:paraId="00000060">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Module 3: Degeneracy Audit.</w:t>
      </w:r>
      <w:r>
        <w:rPr>
          <w:rFonts w:ascii="Times New Roman" w:hAnsi="Times New Roman" w:eastAsia="Times New Roman" w:cs="Google Sans"/>
          <w:color w:val="1F1F1F"/>
          <w:sz w:val="24"/>
          <w:rtl w:val="0"/>
        </w:rPr>
        <w:t xml:space="preserve"> Before deploying the transferred policy on a target asset, we perform pre-deployment diagnostics on the source policy. The audit includes three metrics:</w:t>
      </w:r>
    </w:p>
    <w:p w14:paraId="00000061">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b/>
          <w:bCs/>
          <w:color w:val="1F1F1F"/>
          <w:sz w:val="24"/>
          <w:rtl w:val="0"/>
        </w:rPr>
        <w:t>Normalized action entropy:</w:t>
      </w:r>
      <w:r>
        <w:rPr>
          <w:rFonts w:ascii="Times New Roman" w:hAnsi="Times New Roman" w:eastAsia="Times New Roman" w:cs="Google Sans"/>
          <w:color w:val="1F1F1F"/>
          <w:sz w:val="24"/>
          <w:rtl w:val="0"/>
        </w:rPr>
        <w:t xml:space="preserve"> </w:t>
      </w:r>
      <m:oMath>
        <m:r>
          <m:rPr/>
          <m:t>H</m:t>
        </m:r>
        <m:d>
          <m:dPr>
            <m:sepChr m:val=""/>
          </m:dPr>
          <m:e>
            <m:acc>
              <m:accPr/>
              <m:e>
                <m:r>
                  <m:rPr>
                    <m:sty m:val="b"/>
                  </m:rPr>
                  <m:t>p</m:t>
                </m:r>
              </m:e>
            </m:acc>
          </m:e>
        </m:d>
        <m:r>
          <m:rPr>
            <m:sty m:val="p"/>
          </m:rPr>
          <m:t>/log</m:t>
        </m:r>
        <m:r>
          <m:rPr/>
          <m:t>K</m:t>
        </m:r>
      </m:oMath>
      <w:r>
        <w:rPr>
          <w:rFonts w:ascii="Times New Roman" w:hAnsi="Times New Roman" w:eastAsia="Times New Roman" w:cs="Google Sans"/>
          <w:color w:val="1F1F1F"/>
          <w:sz w:val="24"/>
          <w:rtl w:val="0"/>
        </w:rPr>
        <w:t>, measuring the diversity of action selections.</w:t>
      </w:r>
    </w:p>
    <w:p w14:paraId="00000062">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b/>
          <w:bCs/>
          <w:color w:val="1F1F1F"/>
          <w:sz w:val="24"/>
          <w:rtl w:val="0"/>
        </w:rPr>
        <w:t>Modal-action share:</w:t>
      </w:r>
      <w:r>
        <w:rPr>
          <w:rFonts w:ascii="Times New Roman" w:hAnsi="Times New Roman" w:eastAsia="Times New Roman" w:cs="Google Sans"/>
          <w:color w:val="1F1F1F"/>
          <w:sz w:val="24"/>
          <w:rtl w:val="0"/>
        </w:rPr>
        <w:t xml:space="preserve"> </w:t>
      </w:r>
      <m:oMath>
        <m:limLow>
          <m:limLowPr/>
          <m:e>
            <m:r>
              <m:rPr>
                <m:sty m:val="p"/>
              </m:rPr>
              <m:t>max</m:t>
            </m:r>
          </m:e>
          <m:lim>
            <m:r>
              <m:rPr/>
              <m:t>k</m:t>
            </m:r>
          </m:lim>
        </m:limLow>
        <m:sSub>
          <m:sSubPr/>
          <m:e>
            <m:acc>
              <m:accPr/>
              <m:e>
                <m:r>
                  <m:rPr/>
                  <m:t>p</m:t>
                </m:r>
              </m:e>
            </m:acc>
          </m:e>
          <m:sub>
            <m:r>
              <m:rPr/>
              <m:t>k</m:t>
            </m:r>
          </m:sub>
        </m:sSub>
      </m:oMath>
      <w:r>
        <w:rPr>
          <w:rFonts w:ascii="Times New Roman" w:hAnsi="Times New Roman" w:eastAsia="Times New Roman" w:cs="Google Sans"/>
          <w:color w:val="1F1F1F"/>
          <w:sz w:val="24"/>
          <w:rtl w:val="0"/>
        </w:rPr>
        <w:t>, measuring the concentration on the most frequent action.</w:t>
      </w:r>
    </w:p>
    <w:p w14:paraId="00000063">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b/>
          <w:bCs/>
          <w:color w:val="1F1F1F"/>
          <w:sz w:val="24"/>
          <w:rtl w:val="0"/>
        </w:rPr>
        <w:t>Effective actions:</w:t>
      </w:r>
      <w:r>
        <w:rPr>
          <w:rFonts w:ascii="Times New Roman" w:hAnsi="Times New Roman" w:eastAsia="Times New Roman" w:cs="Google Sans"/>
          <w:color w:val="1F1F1F"/>
          <w:sz w:val="24"/>
          <w:rtl w:val="0"/>
        </w:rPr>
        <w:t xml:space="preserve"> </w:t>
      </w:r>
      <m:oMath>
        <m:r>
          <m:rPr/>
          <m:t>exp(H(p))</m:t>
        </m:r>
      </m:oMath>
      <w:r>
        <w:rPr>
          <w:rFonts w:ascii="Times New Roman" w:hAnsi="Times New Roman" w:eastAsia="Times New Roman" w:cs="Google Sans"/>
          <w:color w:val="1F1F1F"/>
          <w:sz w:val="24"/>
          <w:rtl w:val="0"/>
        </w:rPr>
        <w:t>, an alternative measure of action diversity.</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rejection rule is: if source modal share </w:t>
      </w:r>
      <m:oMath>
        <m:r>
          <m:rPr/>
          <m:t>&gt; 0.90</m:t>
        </m:r>
      </m:oMath>
      <w:r>
        <w:rPr>
          <w:rFonts w:ascii="Times New Roman" w:hAnsi="Times New Roman" w:eastAsia="Times New Roman" w:cs="Google Sans"/>
          <w:color w:val="1F1F1F"/>
          <w:sz w:val="24"/>
          <w:rtl w:val="0"/>
        </w:rPr>
        <w:t>, reject the transfer. This threshold is conservative, ensuring that only sufficiently diverse policies are transferred.</w:t>
      </w:r>
    </w:p>
    <w:p w14:paraId="0000006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4.2 Comparison Baselines</w:t>
      </w:r>
    </w:p>
    <w:p w14:paraId="0000006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evaluate the performance of FCTT-DA, we compare against three baseline approaches:</w:t>
      </w:r>
    </w:p>
    <w:p w14:paraId="00000067">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NoGating: A static threshold of 0.50 (also called "Ungated classifier"), representing the common practice of using a fixed decision rule without contextual adaptation.</w:t>
      </w:r>
    </w:p>
    <w:p w14:paraId="00000068">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Fixed-</w:t>
      </w:r>
      <m:oMath>
        <m:r>
          <m:rPr/>
          <m:t>T</m:t>
        </m:r>
      </m:oMath>
      <w:r>
        <w:rPr>
          <w:rFonts w:ascii="Times New Roman" w:hAnsi="Times New Roman" w:eastAsia="Times New Roman" w:cs="Google Sans"/>
          <w:b/>
          <w:bCs/>
          <w:color w:val="1F1F1F"/>
          <w:sz w:val="24"/>
          <w:rtl w:val="0"/>
        </w:rPr>
        <w:t>:</w:t>
      </w:r>
      <w:r>
        <w:rPr>
          <w:rFonts w:ascii="Times New Roman" w:hAnsi="Times New Roman" w:eastAsia="Times New Roman" w:cs="Google Sans"/>
          <w:color w:val="1F1F1F"/>
          <w:sz w:val="24"/>
          <w:rtl w:val="0"/>
        </w:rPr>
        <w:t xml:space="preserve"> Static thresholds at </w:t>
      </w:r>
      <m:oMath>
        <m:r>
          <m:rPr/>
          <m:t>τ</m:t>
        </m:r>
        <m:r>
          <m:rPr>
            <m:sty m:val="p"/>
          </m:rPr>
          <m:t>∈{</m:t>
        </m:r>
        <m:r>
          <m:rPr/>
          <m:t>0.35</m:t>
        </m:r>
        <m:r>
          <m:rPr>
            <m:sty m:val="p"/>
          </m:rPr>
          <m:t>,</m:t>
        </m:r>
        <m:r>
          <m:rPr/>
          <m:t>0.45</m:t>
        </m:r>
        <m:r>
          <m:rPr>
            <m:sty m:val="p"/>
          </m:rPr>
          <m:t>,</m:t>
        </m:r>
        <m:r>
          <m:rPr/>
          <m:t>0.55</m:t>
        </m:r>
        <m:r>
          <m:rPr>
            <m:sty m:val="p"/>
          </m:rPr>
          <m:t>,</m:t>
        </m:r>
        <m:r>
          <m:rPr/>
          <m:t>0.65</m:t>
        </m:r>
        <m:r>
          <m:rPr>
            <m:sty m:val="p"/>
          </m:rPr>
          <m:t>,</m:t>
        </m:r>
        <m:r>
          <m:rPr/>
          <m:t>0.75</m:t>
        </m:r>
        <m:r>
          <m:rPr/>
          <w:rPr>
            <w:rFonts w:hint="default"/>
            <w:lang w:val="en-US"/>
          </w:rPr>
          <m:t>,1.00</m:t>
        </m:r>
        <m:r>
          <m:rPr>
            <m:sty m:val="p"/>
          </m:rPr>
          <m:t>}</m:t>
        </m:r>
      </m:oMath>
      <w:r>
        <w:rPr>
          <w:rFonts w:ascii="Times New Roman" w:hAnsi="Times New Roman" w:eastAsia="Times New Roman" w:cs="Google Sans"/>
          <w:color w:val="1F1F1F"/>
          <w:sz w:val="24"/>
          <w:rtl w:val="0"/>
        </w:rPr>
        <w:t>, representing a grid search over possible fixed thresholds.</w:t>
      </w:r>
    </w:p>
    <w:p w14:paraId="00000069">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Behavioral-equivalent:</w:t>
      </w:r>
      <w:r>
        <w:rPr>
          <w:rFonts w:ascii="Times New Roman" w:hAnsi="Times New Roman" w:eastAsia="Times New Roman" w:cs="Google Sans"/>
          <w:color w:val="1F1F1F"/>
          <w:sz w:val="24"/>
          <w:rtl w:val="0"/>
        </w:rPr>
        <w:t xml:space="preserve"> The fixed threshold closest to the learned policy's behavior on the source asset, representing the best possible static approximation of the contextual policy.</w:t>
      </w:r>
    </w:p>
    <w:p w14:paraId="0000006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These baselines allow us to assess whether the contextual policy provides genuine value over simpler alternatives. If the contextual policy collapses to a static rule, it should perform no better than the behavioral-equivalent baseline.</w:t>
      </w:r>
    </w:p>
    <w:p w14:paraId="000000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4.3 Statistical Inference</w:t>
      </w:r>
    </w:p>
    <w:p w14:paraId="0000006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employ rigorous statistical methods to ensure the robustness of our findings:</w:t>
      </w:r>
    </w:p>
    <w:p w14:paraId="0000006D">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Stationary Bootstrap: We use the stationary bootstrap (Politis and Romano, 1994) with 2,000 replications and a mean block length of 10 periods. This method preserves the temporal dependence structure of the data while providing valid confidence intervals.</w:t>
      </w:r>
    </w:p>
    <w:p w14:paraId="0000006E">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Paired Tests:</w:t>
      </w:r>
      <w:r>
        <w:rPr>
          <w:rFonts w:ascii="Times New Roman" w:hAnsi="Times New Roman" w:eastAsia="Times New Roman" w:cs="Google Sans"/>
          <w:color w:val="1F1F1F"/>
          <w:sz w:val="24"/>
          <w:rtl w:val="0"/>
        </w:rPr>
        <w:t xml:space="preserve"> All comparisons are performed on the same return series, ensuring that differences are not driven by different market conditions. We use paired </w:t>
      </w:r>
      <m:oMath>
        <m:r>
          <m:rPr/>
          <m:t>t</m:t>
        </m:r>
      </m:oMath>
      <w:r>
        <w:rPr>
          <w:rFonts w:ascii="Times New Roman" w:hAnsi="Times New Roman" w:eastAsia="Times New Roman" w:cs="Google Sans"/>
          <w:color w:val="1F1F1F"/>
          <w:sz w:val="24"/>
          <w:rtl w:val="0"/>
        </w:rPr>
        <w:t>-tests for means and paired Wilcoxon tests for medians.</w:t>
      </w:r>
    </w:p>
    <w:p w14:paraId="0000006F">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False Discovery Rate Control:</w:t>
      </w:r>
      <w:r>
        <w:rPr>
          <w:rFonts w:ascii="Times New Roman" w:hAnsi="Times New Roman" w:eastAsia="Times New Roman" w:cs="Google Sans"/>
          <w:color w:val="1F1F1F"/>
          <w:sz w:val="24"/>
          <w:rtl w:val="0"/>
        </w:rPr>
        <w:t xml:space="preserve"> We apply the Benjamini-Hochberg procedure (Benjamini and Hochberg, 1995) at a </w:t>
      </w:r>
      <m:oMath>
        <m:r>
          <m:rPr/>
          <m:t>5%</m:t>
        </m:r>
      </m:oMath>
      <w:r>
        <w:rPr>
          <w:rFonts w:ascii="Times New Roman" w:hAnsi="Times New Roman" w:eastAsia="Times New Roman" w:cs="Google Sans"/>
          <w:color w:val="1F1F1F"/>
          <w:sz w:val="24"/>
          <w:rtl w:val="0"/>
        </w:rPr>
        <w:t xml:space="preserve"> false discovery rate to account for multiple testing across the </w:t>
      </w:r>
      <w:r>
        <w:rPr>
          <w:rFonts w:hint="eastAsia" w:eastAsia="宋体" w:cs="Google Sans"/>
          <w:color w:val="1F1F1F"/>
          <w:sz w:val="24"/>
          <w:rtl w:val="0"/>
          <w:lang w:val="en-US" w:eastAsia="zh-CN"/>
        </w:rPr>
        <w:t xml:space="preserve">228 </w:t>
      </w:r>
      <w:r>
        <w:rPr>
          <w:rFonts w:ascii="Times New Roman" w:hAnsi="Times New Roman" w:eastAsia="Times New Roman" w:cs="Google Sans"/>
          <w:color w:val="1F1F1F"/>
          <w:sz w:val="24"/>
          <w:rtl w:val="0"/>
        </w:rPr>
        <w:t>source-target pairs.</w:t>
      </w:r>
    </w:p>
    <w:p w14:paraId="00000070">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 Theoretical Analysis</w:t>
      </w:r>
    </w:p>
    <w:p w14:paraId="0000007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5.0 Scope and Assumptions</w:t>
      </w:r>
    </w:p>
    <w:p w14:paraId="0000007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Important Note:</w:t>
      </w:r>
      <w:r>
        <w:rPr>
          <w:rFonts w:ascii="Times New Roman" w:hAnsi="Times New Roman" w:eastAsia="Times New Roman" w:cs="Google Sans"/>
          <w:color w:val="1F1F1F"/>
          <w:sz w:val="24"/>
          <w:rtl w:val="0"/>
        </w:rPr>
        <w:t xml:space="preserve"> The theoretical results in this section apply to a </w:t>
      </w:r>
      <w:r>
        <w:rPr>
          <w:rFonts w:ascii="Times New Roman" w:hAnsi="Times New Roman" w:eastAsia="Times New Roman" w:cs="Google Sans"/>
          <w:b/>
          <w:bCs/>
          <w:color w:val="1F1F1F"/>
          <w:sz w:val="24"/>
          <w:rtl w:val="0"/>
        </w:rPr>
        <w:t>simplified policy</w:t>
      </w:r>
      <w:r>
        <w:rPr>
          <w:rFonts w:ascii="Times New Roman" w:hAnsi="Times New Roman" w:eastAsia="Times New Roman" w:cs="Google Sans"/>
          <w:color w:val="1F1F1F"/>
          <w:sz w:val="24"/>
          <w:rtl w:val="0"/>
        </w:rPr>
        <w:t xml:space="preserve"> that uses only the exploitation term of LinUCB. Specifically, we analyze a policy of the form:</w:t>
      </w:r>
    </w:p>
    <w:p w14:paraId="0000007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sty m:val="b"/>
              </m:rPr>
              <m:t>θ</m:t>
            </m:r>
          </m:e>
          <m:sub>
            <m:r>
              <m:rPr/>
              <m:t>k</m:t>
            </m:r>
          </m:sub>
        </m:sSub>
      </m:oMath>
      <w:r>
        <w:rPr>
          <w:rFonts w:ascii="Times New Roman" w:hAnsi="Times New Roman" w:eastAsia="Times New Roman"/>
        </w:rPr>
        <w:t xml:space="preserve"> are fixed weight vectors estimated from source data. This is equivalent to LinUCB with </w:t>
      </w:r>
      <m:oMath>
        <m:r>
          <m:rPr/>
          <m:t>α</m:t>
        </m:r>
        <m:r>
          <m:rPr>
            <m:sty m:val="p"/>
          </m:rPr>
          <m:t>=</m:t>
        </m:r>
        <m:r>
          <m:rPr/>
          <m:t>0</m:t>
        </m:r>
      </m:oMath>
      <w:r>
        <w:rPr>
          <w:rFonts w:ascii="Times New Roman" w:hAnsi="Times New Roman" w:eastAsia="Times New Roman"/>
        </w:rPr>
        <w:t xml:space="preserve"> (no exploration), or to a linear scoring policy </w:t>
      </w:r>
      <m:oMath>
        <m:r>
          <m:rPr/>
          <m:t>π</m:t>
        </m:r>
        <m:d>
          <m:dPr>
            <m:sepChr m:val=""/>
          </m:dPr>
          <m:e>
            <m:r>
              <m:rPr>
                <m:sty m:val="b"/>
              </m:rPr>
              <m:t>x</m:t>
            </m:r>
          </m:e>
        </m:d>
        <m:r>
          <m:rPr>
            <m:sty m:val="p"/>
          </m:rPr>
          <m:t>=</m:t>
        </m:r>
        <m:limLow>
          <m:limLowPr/>
          <m:e>
            <m:r>
              <m:rPr>
                <m:sty m:val="p"/>
              </m:rPr>
              <m:t>argmax</m:t>
            </m:r>
          </m:e>
          <m:lim>
            <m:r>
              <m:rPr/>
              <m:t>k</m:t>
            </m:r>
            <m:r>
              <m:rPr>
                <m:sty m:val="p"/>
              </m:rPr>
              <m:t>∈{</m:t>
            </m:r>
            <m:r>
              <m:rPr/>
              <m:t>1</m:t>
            </m:r>
            <m:r>
              <m:rPr>
                <m:sty m:val="p"/>
              </m:rPr>
              <m:t>,…,</m:t>
            </m:r>
            <m:r>
              <m:rPr/>
              <m:t>K</m:t>
            </m:r>
            <m:r>
              <m:rPr>
                <m:sty m:val="p"/>
              </m:rPr>
              <m:t>}</m:t>
            </m:r>
          </m:lim>
        </m:limLow>
        <m:r>
          <m:rPr/>
          <m:t> </m:t>
        </m:r>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w:t>
      </w:r>
    </w:p>
    <w:p w14:paraId="0000007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full LinUCB policy with exploration term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is used in the empirical analysis (Section 7), but its theoretical properties are more complex because of the nonlinear uncertainty term. Our empirical findings (Section 7.8.3) demonstrate that the collapse phenomenon persists regardless of whether the exploration term is included.</w:t>
      </w:r>
    </w:p>
    <w:p>
      <w:r>
        <w:t>The role of the alpha = 0 analysis is therefore mechanistic rather than universal. It isolates the exploitation geometry that creates dominant decision regions. For the full LinUCB score, the exploration bonus perturbs, rather than replaces, this geometry. Whenever the exploitation margin of the dominant action exceeds the largest alpha-scaled cross-action uncertainty-bonus difference, the argmax is unchanged and the alpha = 0 decision region is locally preserved. We do not claim that this sufficient margin condition holds everywhere for every alpha &gt; 0. Instead, Section 7.8.3 provides the empirical bridge: across the tested exploration parameters, including the main specification alpha = 0.3, degenerate sources remain collapsed. Thus the theory identifies a sufficient structural mechanism, while the ablation study verifies that the same mechanism remains behaviorally dominant in the full LinUCB implementation.</w:t>
      </w:r>
    </w:p>
    <w:p w14:paraId="0000007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5.1 Source Diversity and Target Collapse (Empirical Hypothesis)</w:t>
      </w:r>
    </w:p>
    <w:p w14:paraId="0000007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Proposition 1 (Empirical).</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In our experimental setting, source-side action concentration is associated with target-side collapse. Specifically:</w:t>
      </w:r>
    </w:p>
    <w:p w14:paraId="00000077">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Evidence: Table 2 shows that all four degenerate sources (SPY, QQQ, EEM, GLD) achieve a 100% collapse rate on all target assets, while the diverse sources (TLT, IWM) achieve a 0% collapse rate.</w:t>
      </w:r>
    </w:p>
    <w:p w14:paraId="00000078">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Interpretation:</w:t>
      </w:r>
      <w:r>
        <w:rPr>
          <w:rFonts w:ascii="Times New Roman" w:hAnsi="Times New Roman" w:eastAsia="Times New Roman" w:cs="Google Sans"/>
          <w:color w:val="1F1F1F"/>
          <w:sz w:val="24"/>
          <w:rtl w:val="0"/>
        </w:rPr>
        <w:t xml:space="preserve"> This empirical pattern suggests that source-side action concentration is a useful screening diagnostic for predicting transfer failure. However, we do not claim this is a universal theoretical necessity—it is an empirical regularity observed in our data.</w:t>
      </w:r>
    </w:p>
    <w:p w14:paraId="00000079">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Limitations: The empirical relationship may not generalize to all possible source–target combinations; the specific collapse threshold (0.90) is somewhat arbitrary; and the finding is conditional on our feature set and sample period.</w:t>
      </w:r>
    </w:p>
    <w:p w14:paraId="0000007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5.2 Decision Region Geometry (Geometric Intuition)</w:t>
      </w:r>
    </w:p>
    <w:p w14:paraId="0000007B">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i/>
          <w:iCs/>
          <w:color w:val="1F1F1F"/>
        </w:rPr>
      </w:pPr>
      <w:r>
        <w:rPr>
          <w:rFonts w:ascii="Times New Roman" w:hAnsi="Times New Roman" w:eastAsia="Times New Roman"/>
        </w:rPr>
        <w:t xml:space="preserve">Proposition 2 (Geometric Intuition). For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the decision regions are convex polyhedral cones.</w:t>
      </w:r>
    </w:p>
    <w:p w14:paraId="0000007C">
      <w:pPr>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Setup: Consider a </w:t>
      </w:r>
      <m:oMath>
        <m:r>
          <m:rPr/>
          <m:t>K</m:t>
        </m:r>
      </m:oMath>
      <w:r>
        <w:rPr>
          <w:rFonts w:ascii="Times New Roman" w:hAnsi="Times New Roman" w:eastAsia="Times New Roman"/>
        </w:rPr>
        <w:t xml:space="preserve">-action policy with weight vectors </w:t>
      </w:r>
      <m:oMath>
        <m:sSub>
          <m:sSubPr/>
          <m:e>
            <m:r>
              <m:rPr>
                <m:sty m:val="b"/>
              </m:rPr>
              <m:t>θ</m:t>
            </m:r>
          </m:e>
          <m:sub>
            <m:r>
              <m:rPr/>
              <m:t>1</m:t>
            </m:r>
          </m:sub>
        </m:sSub>
        <m:r>
          <m:rPr>
            <m:sty m:val="p"/>
          </m:rPr>
          <m:t>,…,</m:t>
        </m:r>
        <m:sSub>
          <m:sSubPr/>
          <m:e>
            <m:r>
              <m:rPr>
                <m:sty m:val="b"/>
              </m:rPr>
              <m:t>θ</m:t>
            </m:r>
          </m:e>
          <m:sub>
            <m:r>
              <m:rPr/>
              <m:t>K</m:t>
            </m:r>
          </m:sub>
        </m:sSub>
        <m:r>
          <m:rPr>
            <m:sty m:val="p"/>
          </m:rPr>
          <m:t>∈</m:t>
        </m:r>
        <m:sSup>
          <m:sSupPr/>
          <m:e>
            <m:r>
              <m:rPr>
                <m:sty m:val="p"/>
                <m:scr m:val="double-struck"/>
              </m:rPr>
              <m:t>ℝ</m:t>
            </m:r>
          </m:e>
          <m:sup>
            <m:r>
              <m:rPr/>
              <m:t>d</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x</m:t>
        </m:r>
        <m:r>
          <m:rPr>
            <m:sty m:val="p"/>
          </m:rPr>
          <m:t>∈</m:t>
        </m:r>
        <m:sSup>
          <m:sSupPr/>
          <m:e>
            <m:r>
              <m:rPr>
                <m:sty m:val="p"/>
                <m:scr m:val="double-struck"/>
              </m:rPr>
              <m:t>ℝ</m:t>
            </m:r>
          </m:e>
          <m:sup>
            <m:r>
              <m:rPr/>
              <m:t>d</m:t>
            </m:r>
          </m:sup>
        </m:sSup>
        <m:r>
          <m:rPr>
            <m:sty m:val="p"/>
          </m:rPr>
          <m:t>:</m:t>
        </m:r>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07D">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0000007E">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For each </w:t>
      </w:r>
      <m:oMath>
        <m:r>
          <m:rPr/>
          <m:t>j</m:t>
        </m:r>
        <m:r>
          <m:rPr>
            <m:sty m:val="p"/>
          </m:rPr>
          <m:t>≠</m:t>
        </m:r>
        <m:r>
          <m:rPr/>
          <m:t>k</m:t>
        </m:r>
      </m:oMath>
      <w:r>
        <w:rPr>
          <w:rFonts w:ascii="Times New Roman" w:hAnsi="Times New Roman" w:eastAsia="Times New Roman"/>
        </w:rPr>
        <w:t xml:space="preserve">, the constraint </w:t>
      </w:r>
      <m:oMath>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oMath>
      <w:r>
        <w:rPr>
          <w:rFonts w:ascii="Times New Roman" w:hAnsi="Times New Roman" w:eastAsia="Times New Roman"/>
        </w:rPr>
        <w:t xml:space="preserve"> defines the half-space </w:t>
      </w:r>
      <m:oMath>
        <m:r>
          <m:rPr>
            <m:sty m:val="p"/>
          </m:rPr>
          <m:t>{</m:t>
        </m:r>
        <m:r>
          <m:rPr>
            <m:sty m:val="b"/>
          </m:rPr>
          <m:t>x</m:t>
        </m:r>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x</m:t>
        </m:r>
        <m:r>
          <m:rPr>
            <m:sty m:val="p"/>
          </m:rPr>
          <m:t>≥</m:t>
        </m:r>
        <m:r>
          <m:rPr/>
          <m:t>0</m:t>
        </m:r>
        <m:r>
          <m:rPr>
            <m:sty m:val="p"/>
          </m:rPr>
          <m:t>}</m:t>
        </m:r>
      </m:oMath>
      <w:r>
        <w:rPr>
          <w:rFonts w:ascii="Times New Roman" w:hAnsi="Times New Roman" w:eastAsia="Times New Roman"/>
        </w:rPr>
        <w:t>.</w:t>
      </w:r>
    </w:p>
    <w:p w14:paraId="0000007F">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The intersection of closed half-spaces containing the origin is a convex polyhedral cone.</w:t>
      </w:r>
    </w:p>
    <w:p w14:paraId="00000080">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Cambria Math" w:hAnsi="Cambria Math" w:eastAsia="Cambria Math"/>
        </w:rPr>
        <w:t>Each R_k is the intersection of K−1 half-spaces, and hence is a convex polyhedral cone.</w:t>
      </w:r>
    </w:p>
    <w:p w14:paraId="00000081">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If the target context cloud is entirely contained within one decision region, the policy selects the same action for all target contexts.</w:t>
      </w:r>
    </w:p>
    <w:p w14:paraId="00000082">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Important Caveat: This result applies only to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xml:space="preserve">. The full LinUCB policy has nonlinear decision boundaries because of the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term.</w:t>
      </w:r>
    </w:p>
    <w:p w14:paraId="000000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5.3 Behavioral Equivalence (Formal)</w:t>
      </w:r>
    </w:p>
    <w:p w14:paraId="247FE9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Proposition 3 (Behavioral Equivalence). If a policy </w:t>
      </w:r>
      <m:oMath>
        <m:r>
          <m:rPr/>
          <m:t>π</m:t>
        </m:r>
      </m:oMath>
      <w:r>
        <w:rPr>
          <w:rFonts w:ascii="Times New Roman" w:hAnsi="Times New Roman" w:eastAsia="Times New Roman"/>
        </w:rPr>
        <w:t xml:space="preserve"> selects the same action </w:t>
      </w:r>
      <m:oMath>
        <m:sSup>
          <m:sSupPr/>
          <m:e>
            <m:r>
              <m:rPr/>
              <m:t>k</m:t>
            </m:r>
          </m:e>
          <m:sup>
            <m:r>
              <m:rPr>
                <m:sty m:val="p"/>
              </m:rPr>
              <m:t>∗</m:t>
            </m:r>
          </m:sup>
        </m:sSup>
      </m:oMath>
      <w:r>
        <w:rPr>
          <w:rFonts w:ascii="Times New Roman" w:hAnsi="Times New Roman" w:eastAsia="Times New Roman"/>
        </w:rPr>
        <w:t xml:space="preserve"> for every context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w:t>
      </w: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oMath>
      <w:r>
        <w:rPr>
          <w:rFonts w:ascii="Times New Roman" w:hAnsi="Times New Roman" w:eastAsia="Times New Roman"/>
        </w:rPr>
        <w:t xml:space="preserve"> for any signal-based metric </w:t>
      </w:r>
      <m:oMath>
        <m:r>
          <m:rPr/>
          <m:t>M</m:t>
        </m:r>
      </m:oMath>
      <w:r>
        <w:rPr>
          <w:rFonts w:ascii="Times New Roman" w:hAnsi="Times New Roman" w:eastAsia="Times New Roman"/>
        </w:rPr>
        <w:t xml:space="preserve"> that depends only on the action sequence.</w:t>
      </w:r>
    </w:p>
    <w:p w14:paraId="5CF9827D">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m:oMathPara>
        <m:oMathParaPr>
          <m:jc m:val="center"/>
        </m:oMathParaP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r>
            <m:rPr>
              <m:sty m:val="p"/>
            </m:rPr>
            <m:t>,</m:t>
          </m:r>
        </m:oMath>
      </m:oMathPara>
    </w:p>
    <w:p w14:paraId="00000086">
      <w:pPr>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28D33143">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If </w:t>
      </w:r>
      <m:oMath>
        <m:r>
          <m:rPr/>
          <m:t>π</m:t>
        </m:r>
        <m:d>
          <m:dPr>
            <m:sepChr m:val=""/>
          </m:dPr>
          <m:e>
            <m:r>
              <m:rPr>
                <m:sty m:val="b"/>
              </m:rPr>
              <m:t>x</m:t>
            </m:r>
          </m:e>
        </m:d>
        <m:r>
          <m:rPr>
            <m:sty m:val="p"/>
          </m:rPr>
          <m:t>=</m:t>
        </m:r>
        <m:sSup>
          <m:sSupPr/>
          <m:e>
            <m:r>
              <m:rPr/>
              <m:t>k</m:t>
            </m:r>
          </m:e>
          <m:sup>
            <m:r>
              <m:rPr>
                <m:sty m:val="p"/>
              </m:rPr>
              <m:t>∗</m:t>
            </m:r>
          </m:sup>
        </m:sSup>
      </m:oMath>
      <w:r>
        <w:rPr>
          <w:rFonts w:ascii="Times New Roman" w:hAnsi="Times New Roman" w:eastAsia="Times New Roman"/>
        </w:rPr>
        <w:t xml:space="preserve"> for all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the signal sequence is </w:t>
      </w:r>
      <m:oMath>
        <m:sSub>
          <m:sSubPr/>
          <m:e>
            <m:r>
              <m:rPr/>
              <m:t>s</m:t>
            </m:r>
          </m:e>
          <m:sub>
            <m:r>
              <m:rPr/>
              <m:t>t</m:t>
            </m:r>
          </m:sub>
        </m:sSub>
        <m:d>
          <m:dPr>
            <m:sepChr m:val=""/>
          </m:dPr>
          <m:e>
            <m:r>
              <m:rPr/>
              <m:t>π</m:t>
            </m:r>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oMath>
      <w:r>
        <w:rPr>
          <w:rFonts w:ascii="Times New Roman" w:hAnsi="Times New Roman" w:eastAsia="Times New Roman"/>
        </w:rPr>
        <w:t xml:space="preserve"> for every </w:t>
      </w:r>
      <m:oMath>
        <m:r>
          <m:rPr/>
          <m:t>t</m:t>
        </m:r>
      </m:oMath>
      <w:r>
        <w:rPr>
          <w:rFonts w:ascii="Times New Roman" w:hAnsi="Times New Roman" w:eastAsia="Times New Roman"/>
        </w:rPr>
        <w:t>.</w:t>
      </w:r>
    </w:p>
    <w:p w14:paraId="0AF40F7C">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t>This is identical to the signal sequence generated by the static threshold associated with action k*.</w:t>
      </w:r>
    </w:p>
    <w:p w14:paraId="00000089">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t>Therefore, any metric depending only on signals (returns, Sharpe, turnover, etc.) must be identical. This proves the claim.</w:t>
      </w:r>
    </w:p>
    <w:p w14:paraId="47226AC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t>Corollary 3.1. If π collapses to action k* on target T, then:</w:t>
      </w:r>
    </w:p>
    <w:p w14:paraId="4273A291">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Sharpe ratio matches: </w:t>
      </w:r>
      <m:oMath>
        <m:r>
          <m:rPr>
            <m:sty m:val="p"/>
          </m:rPr>
          <m:t>Sharpe</m:t>
        </m:r>
        <m:d>
          <m:dPr>
            <m:sepChr m:val=""/>
          </m:dPr>
          <m:e>
            <m:r>
              <m:rPr/>
              <m:t>π</m:t>
            </m:r>
            <m:r>
              <m:rPr>
                <m:sty m:val="p"/>
              </m:rPr>
              <m:t>,</m:t>
            </m:r>
            <m:r>
              <m:rPr/>
              <m:t>T</m:t>
            </m:r>
          </m:e>
        </m:d>
        <m:r>
          <m:rPr>
            <m:sty m:val="p"/>
          </m:rPr>
          <m:t>=Sharpe</m:t>
        </m:r>
        <m:d>
          <m:dPr>
            <m:sepChr m:val=""/>
          </m:dPr>
          <m:e>
            <m:sSub>
              <m:sSubPr/>
              <m:e>
                <m:r>
                  <m:rPr/>
                  <m:t>τ</m:t>
                </m:r>
              </m:e>
              <m:sub>
                <m:sSup>
                  <m:sSupPr/>
                  <m:e>
                    <m:r>
                      <m:rPr/>
                      <m:t>k</m:t>
                    </m:r>
                  </m:e>
                  <m:sup>
                    <m:r>
                      <m:rPr>
                        <m:sty m:val="p"/>
                      </m:rPr>
                      <m:t>∗</m:t>
                    </m:r>
                  </m:sup>
                </m:sSup>
              </m:sub>
            </m:sSub>
            <m:r>
              <m:rPr>
                <m:sty m:val="p"/>
              </m:rPr>
              <m:t>,</m:t>
            </m:r>
            <m:r>
              <m:rPr/>
              <m:t>T</m:t>
            </m:r>
          </m:e>
        </m:d>
      </m:oMath>
      <w:r>
        <w:rPr>
          <w:rFonts w:ascii="Times New Roman" w:hAnsi="Times New Roman" w:eastAsia="Times New Roman"/>
        </w:rPr>
        <w:t>.</w:t>
      </w:r>
    </w:p>
    <w:p w14:paraId="7597AF4C">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Returns match: </w:t>
      </w:r>
      <m:oMath>
        <m:sSub>
          <m:sSubPr/>
          <m:e>
            <m:r>
              <m:rPr/>
              <m:t>r</m:t>
            </m:r>
          </m:e>
          <m:sub>
            <m:r>
              <m:rPr/>
              <m:t>t</m:t>
            </m:r>
          </m:sub>
        </m:sSub>
        <m:d>
          <m:dPr>
            <m:sepChr m:val=""/>
          </m:dPr>
          <m:e>
            <m:r>
              <m:rPr/>
              <m:t>π</m:t>
            </m:r>
          </m:e>
        </m:d>
        <m:r>
          <m:rPr>
            <m:sty m:val="p"/>
          </m:rPr>
          <m:t>=</m:t>
        </m:r>
        <m:sSub>
          <m:sSubPr/>
          <m:e>
            <m:r>
              <m:rPr/>
              <m:t>r</m:t>
            </m:r>
          </m:e>
          <m:sub>
            <m:r>
              <m:rPr/>
              <m:t>t</m:t>
            </m:r>
          </m:sub>
        </m:sSub>
        <m:d>
          <m:dPr>
            <m:sepChr m:val=""/>
          </m:dPr>
          <m:e>
            <m:sSub>
              <m:sSubPr/>
              <m:e>
                <m:r>
                  <m:rPr/>
                  <m:t>τ</m:t>
                </m:r>
              </m:e>
              <m:sub>
                <m:sSup>
                  <m:sSupPr/>
                  <m:e>
                    <m:r>
                      <m:rPr/>
                      <m:t>k</m:t>
                    </m:r>
                  </m:e>
                  <m:sup>
                    <m:r>
                      <m:rPr>
                        <m:sty m:val="p"/>
                      </m:rPr>
                      <m:t>∗</m:t>
                    </m:r>
                  </m:sup>
                </m:sSup>
              </m:sub>
            </m:sSub>
          </m:e>
        </m:d>
        <m:r>
          <m:rPr/>
          <m:t> </m:t>
        </m:r>
        <m:r>
          <m:rPr>
            <m:sty m:val="p"/>
          </m:rPr>
          <m:t>∀</m:t>
        </m:r>
        <m:r>
          <m:rPr/>
          <m:t>t</m:t>
        </m:r>
      </m:oMath>
      <w:r>
        <w:rPr>
          <w:rFonts w:ascii="Times New Roman" w:hAnsi="Times New Roman" w:eastAsia="Times New Roman"/>
        </w:rPr>
        <w:t>.</w:t>
      </w:r>
    </w:p>
    <w:p w14:paraId="29893325">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Turnover matches: </w:t>
      </w:r>
      <m:oMath>
        <m:r>
          <m:rPr>
            <m:sty m:val="p"/>
          </m:rPr>
          <m:t>Turnover</m:t>
        </m:r>
        <m:d>
          <m:dPr>
            <m:sepChr m:val=""/>
          </m:dPr>
          <m:e>
            <m:r>
              <m:rPr/>
              <m:t>π</m:t>
            </m:r>
          </m:e>
        </m:d>
        <m:r>
          <m:rPr>
            <m:sty m:val="p"/>
          </m:rPr>
          <m:t>=Turnover</m:t>
        </m:r>
        <m:d>
          <m:dPr>
            <m:sepChr m:val=""/>
          </m:dPr>
          <m:e>
            <m:sSub>
              <m:sSubPr/>
              <m:e>
                <m:r>
                  <m:rPr/>
                  <m:t>τ</m:t>
                </m:r>
              </m:e>
              <m:sub>
                <m:sSup>
                  <m:sSupPr/>
                  <m:e>
                    <m:r>
                      <m:rPr/>
                      <m:t>k</m:t>
                    </m:r>
                  </m:e>
                  <m:sup>
                    <m:r>
                      <m:rPr>
                        <m:sty m:val="p"/>
                      </m:rPr>
                      <m:t>∗</m:t>
                    </m:r>
                  </m:sup>
                </m:sSup>
              </m:sub>
            </m:sSub>
          </m:e>
        </m:d>
      </m:oMath>
      <w:r>
        <w:rPr>
          <w:rFonts w:ascii="Times New Roman" w:hAnsi="Times New Roman" w:eastAsia="Times New Roman"/>
        </w:rPr>
        <w:t>.</w:t>
      </w:r>
    </w:p>
    <w:p w14:paraId="0000008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Testing Behavioral Equivalence:</w:t>
      </w:r>
      <w:r>
        <w:rPr>
          <w:rFonts w:ascii="Times New Roman" w:hAnsi="Times New Roman" w:eastAsia="Times New Roman" w:cs="Google Sans"/>
          <w:color w:val="1F1F1F"/>
          <w:sz w:val="24"/>
          <w:rtl w:val="0"/>
        </w:rPr>
        <w:t xml:space="preserve"> To verify that a policy has collapsed to a static threshold, we recommend checking:</w:t>
      </w:r>
    </w:p>
    <w:p w14:paraId="0000008F">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center"/>
      </w:pPr>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w:p>
    <w:p w14:paraId="00000091">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center"/>
      </w:pPr>
      <m:oMath>
        <m:r>
          <m:rPr>
            <m:sty m:val="p"/>
          </m:rPr>
          <m:t>HammingDistance</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r>
          <m:rPr/>
          <m:t>1</m:t>
        </m:r>
        <m:r>
          <m:rPr>
            <m:sty m:val="p"/>
          </m:rPr>
          <m:t>−SignalMatch</m:t>
        </m:r>
        <m:d>
          <m:dPr>
            <m:sepChr m:val=""/>
          </m:dPr>
          <m:e>
            <m:r>
              <m:rPr/>
              <m:t>π</m:t>
            </m:r>
            <m:r>
              <m:rPr>
                <m:sty m:val="p"/>
              </m:rPr>
              <m:t>,</m:t>
            </m:r>
            <m:sSup>
              <m:sSupPr/>
              <m:e>
                <m:r>
                  <m:rPr/>
                  <m:t>τ</m:t>
                </m:r>
              </m:e>
              <m:sup>
                <m:r>
                  <m:rPr>
                    <m:sty m:val="p"/>
                  </m:rPr>
                  <m:t>∗</m:t>
                </m:r>
              </m:sup>
            </m:sSup>
          </m:e>
        </m:d>
      </m:oMath>
    </w:p>
    <w:p w14:paraId="00235C4D">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center"/>
      </w:pPr>
      <m:oMath>
        <m:r>
          <m:rPr>
            <m:sty m:val="p"/>
          </m:rPr>
          <m:t>ExposureGap</m:t>
        </m:r>
        <m:d>
          <m:dPr>
            <m:sepChr m:val=""/>
          </m:dPr>
          <m:e>
            <m:r>
              <m:rPr/>
              <m:t>π</m:t>
            </m:r>
            <m:r>
              <m:rPr>
                <m:sty m:val="p"/>
              </m:rPr>
              <m:t>,</m:t>
            </m:r>
            <m:sSup>
              <m:sSupPr/>
              <m:e>
                <m:r>
                  <m:rPr/>
                  <m:t>τ</m:t>
                </m:r>
              </m:e>
              <m:sup>
                <m:r>
                  <m:rPr>
                    <m:sty m:val="p"/>
                  </m:rPr>
                  <m:t>∗</m:t>
                </m:r>
              </m:sup>
            </m:sSup>
          </m:e>
        </m:d>
        <m:r>
          <m:rPr>
            <m:sty m:val="p"/>
          </m:rPr>
          <m:t>=</m:t>
        </m:r>
        <m:d>
          <m:dPr>
            <m:begChr m:val="|"/>
            <m:sepChr m:val=""/>
            <m:endChr m:val="|"/>
          </m:dPr>
          <m:e>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r>
                  <m:rPr/>
                  <m:t>π</m:t>
                </m:r>
              </m:e>
            </m:d>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sSup>
                  <m:sSupPr/>
                  <m:e>
                    <m:r>
                      <m:rPr/>
                      <m:t>τ</m:t>
                    </m:r>
                  </m:e>
                  <m:sup>
                    <m:r>
                      <m:rPr>
                        <m:sty m:val="p"/>
                      </m:rPr>
                      <m:t>∗</m:t>
                    </m:r>
                  </m:sup>
                </m:sSup>
              </m:e>
            </m:d>
          </m:e>
        </m:d>
      </m:oMath>
    </w:p>
    <w:p w14:paraId="2592F97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center"/>
      </w:pPr>
      <m:oMath>
        <m:r>
          <m:rPr>
            <m:sty m:val="p"/>
          </m:rPr>
          <m:t>TurnoverGap</m:t>
        </m:r>
        <m:d>
          <m:dPr>
            <m:sepChr m:val=""/>
          </m:dPr>
          <m:e>
            <m:r>
              <m:rPr/>
              <m:t>π</m:t>
            </m:r>
            <m:r>
              <m:rPr>
                <m:sty m:val="p"/>
              </m:rPr>
              <m:t>,</m:t>
            </m:r>
            <m:sSup>
              <m:sSupPr/>
              <m:e>
                <m:r>
                  <m:rPr/>
                  <m:t>τ</m:t>
                </m:r>
              </m:e>
              <m:sup>
                <m:r>
                  <m:rPr>
                    <m:sty m:val="p"/>
                  </m:rPr>
                  <m:t>∗</m:t>
                </m:r>
              </m:sup>
            </m:sSup>
          </m:e>
        </m:d>
        <m:r>
          <m:rPr>
            <m:sty m:val="p"/>
          </m:rPr>
          <m:t>=</m:t>
        </m:r>
        <m:d>
          <m:dPr>
            <m:begChr m:val="|"/>
            <m:sepChr m:val=""/>
            <m:endChr m:val="|"/>
          </m:dPr>
          <m:e>
            <m:r>
              <m:rPr>
                <m:sty m:val="p"/>
              </m:rPr>
              <m:t>Turnover</m:t>
            </m:r>
            <m:d>
              <m:dPr>
                <m:sepChr m:val=""/>
              </m:dPr>
              <m:e>
                <m:r>
                  <m:rPr/>
                  <m:t>π</m:t>
                </m:r>
              </m:e>
            </m:d>
            <m:r>
              <m:rPr>
                <m:sty m:val="p"/>
              </m:rPr>
              <m:t>−Turnover</m:t>
            </m:r>
            <m:d>
              <m:dPr>
                <m:sepChr m:val=""/>
              </m:dPr>
              <m:e>
                <m:sSup>
                  <m:sSupPr/>
                  <m:e>
                    <m:r>
                      <m:rPr/>
                      <m:t>τ</m:t>
                    </m:r>
                  </m:e>
                  <m:sup>
                    <m:r>
                      <m:rPr>
                        <m:sty m:val="p"/>
                      </m:rPr>
                      <m:t>∗</m:t>
                    </m:r>
                  </m:sup>
                </m:sSup>
              </m:e>
            </m:d>
          </m:e>
        </m:d>
        <m:r>
          <m:rPr>
            <m:sty m:val="p"/>
          </m:rPr>
          <m:t>,</m:t>
        </m:r>
        <m:r>
          <m:rPr/>
          <m:t> </m:t>
        </m:r>
        <m:r>
          <m:rPr>
            <m:sty m:val="p"/>
          </m:rPr>
          <m:t>Turnover</m:t>
        </m:r>
        <m:d>
          <m:dPr>
            <m:sepChr m:val=""/>
          </m:dPr>
          <m:e>
            <m:r>
              <m:rPr/>
              <m:t>π</m:t>
            </m:r>
          </m:e>
        </m:d>
        <m:r>
          <m:rPr>
            <m:sty m:val="p"/>
          </m:rPr>
          <m:t>=</m:t>
        </m:r>
        <m:f>
          <m:fPr/>
          <m:num>
            <m:r>
              <m:rPr/>
              <m:t>1</m:t>
            </m:r>
          </m:num>
          <m:den>
            <m:r>
              <m:rPr/>
              <m:t>T</m:t>
            </m:r>
            <m:r>
              <m:rPr>
                <m:sty m:val="p"/>
              </m:rPr>
              <m:t>−</m:t>
            </m:r>
            <m:r>
              <m:rPr/>
              <m:t>1</m:t>
            </m:r>
          </m:den>
        </m:f>
        <m:nary>
          <m:naryPr>
            <m:chr m:val="∑"/>
            <m:limLoc m:val="undOvr"/>
          </m:naryPr>
          <m:sub>
            <m:r>
              <m:rPr/>
              <m:t>t</m:t>
            </m:r>
            <m:r>
              <m:rPr>
                <m:sty m:val="p"/>
              </m:rPr>
              <m:t>=</m:t>
            </m:r>
            <m:r>
              <m:rPr/>
              <m:t>2</m:t>
            </m:r>
          </m:sub>
          <m:sup>
            <m:r>
              <m:rPr/>
              <m:t>T</m:t>
            </m:r>
          </m:sup>
          <m:e>
            <m:d>
              <m:dPr>
                <m:begChr m:val="|"/>
                <m:sepChr m:val=""/>
                <m:endChr m:val="|"/>
              </m:dPr>
              <m:e>
                <m:sSub>
                  <m:sSubPr/>
                  <m:e>
                    <m:r>
                      <m:rPr/>
                      <m:t>s</m:t>
                    </m:r>
                  </m:e>
                  <m:sub>
                    <m:r>
                      <m:rPr/>
                      <m:t>t</m:t>
                    </m:r>
                  </m:sub>
                </m:sSub>
                <m:d>
                  <m:dPr>
                    <m:sepChr m:val=""/>
                  </m:dPr>
                  <m:e>
                    <m:r>
                      <m:rPr/>
                      <m:t>π</m:t>
                    </m:r>
                  </m:e>
                </m:d>
                <m:r>
                  <m:rPr>
                    <m:sty m:val="p"/>
                  </m:rPr>
                  <m:t>−</m:t>
                </m:r>
                <m:sSub>
                  <m:sSubPr/>
                  <m:e>
                    <m:r>
                      <m:rPr/>
                      <m:t>s</m:t>
                    </m:r>
                  </m:e>
                  <m:sub>
                    <m:r>
                      <m:rPr/>
                      <m:t>t</m:t>
                    </m:r>
                    <m:r>
                      <m:rPr>
                        <m:sty m:val="p"/>
                      </m:rPr>
                      <m:t>−</m:t>
                    </m:r>
                    <m:r>
                      <m:rPr/>
                      <m:t>1</m:t>
                    </m:r>
                  </m:sub>
                </m:sSub>
                <m:d>
                  <m:dPr>
                    <m:sepChr m:val=""/>
                  </m:dPr>
                  <m:e>
                    <m:r>
                      <m:rPr/>
                      <m:t>π</m:t>
                    </m:r>
                  </m:e>
                </m:d>
              </m:e>
            </m:d>
          </m:e>
        </m:nary>
      </m:oMath>
    </w:p>
    <w:p w14:paraId="0000009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i/>
          <w:sz w:val="22"/>
        </w:rPr>
        <w:t>Note: SignalMatch and HammingDistance are complementary measures. ExposureGap and TurnoverGap are auxiliary diagnostics only: small gaps do not by themselves establish behavioral equivalence. We classify approximate behavioral equivalence when SignalMatch(π, τ*) &gt; 0.99 (equivalently, HammingDistance(π, τ*) &lt; 0.01), with ExposureGap and TurnoverGap reported as supporting checks.</w:t>
      </w:r>
    </w:p>
    <w:p w14:paraId="0000009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5.4 Practical Diagnostic Rules</w:t>
      </w:r>
    </w:p>
    <w:p w14:paraId="0000009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Based on the theoretical analysis and empirical findings, we propose the following diagnostic rules:</w:t>
      </w:r>
    </w:p>
    <w:p w14:paraId="00000096">
      <w:pPr>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1 (Source Screening):</w:t>
      </w:r>
      <w:r>
        <w:rPr>
          <w:rFonts w:ascii="Times New Roman" w:hAnsi="Times New Roman" w:eastAsia="Times New Roman" w:cs="Google Sans"/>
          <w:color w:val="1F1F1F"/>
          <w:sz w:val="24"/>
          <w:rtl w:val="0"/>
        </w:rPr>
        <w:t xml:space="preserve"> Before transferring a policy, compute the source-side modal share:</w:t>
      </w:r>
    </w:p>
    <w:p w14:paraId="6B84CD21">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sSub>
            <m:sSubPr/>
            <m:e>
              <m:r>
                <m:rPr>
                  <m:sty m:val="p"/>
                </m:rPr>
                <m:t>ModalShare</m:t>
              </m:r>
            </m:e>
            <m:sub>
              <m:r>
                <m:rPr/>
                <m:t>S</m:t>
              </m:r>
            </m:sub>
          </m:sSub>
          <m:r>
            <m:rPr>
              <m:sty m:val="p"/>
            </m:rPr>
            <m:t>=</m:t>
          </m:r>
          <m:sSub>
            <m:sSubPr/>
            <m:e>
              <m:r>
                <m:rPr>
                  <m:sty m:val="p"/>
                </m:rPr>
                <m:t>max</m:t>
              </m:r>
            </m:e>
            <m:sub>
              <m:r>
                <m:rPr/>
                <m:t>k</m:t>
              </m:r>
              <m:r>
                <m:rPr>
                  <m:sty m:val="p"/>
                </m:rPr>
                <m:t>∈{</m:t>
              </m:r>
              <m:r>
                <m:rPr/>
                <m:t>1</m:t>
              </m:r>
              <m:r>
                <m:rPr>
                  <m:sty m:val="p"/>
                </m:rPr>
                <m:t>,…,</m:t>
              </m:r>
              <m:r>
                <m:rPr/>
                <m:t>K</m:t>
              </m:r>
              <m:r>
                <m:rPr>
                  <m:sty m:val="p"/>
                </m:rPr>
                <m:t>}</m:t>
              </m:r>
            </m:sub>
          </m:sSub>
          <m:f>
            <m:fPr/>
            <m:num>
              <m:r>
                <m:rPr/>
                <m:t>1</m:t>
              </m:r>
            </m:num>
            <m:den>
              <m:sSub>
                <m:sSubPr/>
                <m:e>
                  <m:r>
                    <m:rPr/>
                    <m:t>T</m:t>
                  </m:r>
                </m:e>
                <m:sub>
                  <m:r>
                    <m:rPr/>
                    <m:t>S</m:t>
                  </m:r>
                </m:sub>
              </m:sSub>
            </m:den>
          </m:f>
          <m:nary>
            <m:naryPr>
              <m:chr m:val="∑"/>
              <m:limLoc m:val="undOvr"/>
            </m:naryPr>
            <m:sub>
              <m:r>
                <m:rPr/>
                <m:t>t</m:t>
              </m:r>
              <m:r>
                <m:rPr>
                  <m:sty m:val="p"/>
                </m:rPr>
                <m:t>=</m:t>
              </m:r>
              <m:r>
                <m:rPr/>
                <m:t>1</m:t>
              </m:r>
            </m:sub>
            <m:sup>
              <m:sSub>
                <m:sSubPr/>
                <m:e>
                  <m:r>
                    <m:rPr/>
                    <m:t>T</m:t>
                  </m:r>
                </m:e>
                <m:sub>
                  <m:r>
                    <m:rPr/>
                    <m:t>S</m:t>
                  </m:r>
                </m:sub>
              </m:sSub>
            </m:sup>
            <m:e>
              <m:r>
                <m:rPr>
                  <m:sty m:val="p"/>
                  <m:scr m:val="double-struck"/>
                </m:rPr>
                <m:t>1</m:t>
              </m:r>
            </m:e>
          </m:nary>
          <m:d>
            <m:dPr>
              <m:begChr m:val="["/>
              <m:sepChr m:val=""/>
              <m:endChr m:val="]"/>
            </m:dPr>
            <m:e>
              <m:sSub>
                <m:sSubPr/>
                <m:e>
                  <m:r>
                    <m:rPr/>
                    <m:t>a</m:t>
                  </m:r>
                </m:e>
                <m:sub>
                  <m:r>
                    <m:rPr/>
                    <m:t>t</m:t>
                  </m:r>
                </m:sub>
              </m:sSub>
              <m:r>
                <m:rPr>
                  <m:sty m:val="p"/>
                </m:rPr>
                <m:t>=</m:t>
              </m:r>
              <m:r>
                <m:rPr/>
                <m:t>k</m:t>
              </m:r>
            </m:e>
          </m:d>
        </m:oMath>
      </m:oMathPara>
    </w:p>
    <w:p w14:paraId="00000097">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sSub>
          <m:sSubPr/>
          <m:e>
            <m:r>
              <m:rPr>
                <m:sty m:val="p"/>
              </m:rPr>
              <m:t>ModalShare</m:t>
            </m:r>
          </m:e>
          <m:sub>
            <m:r>
              <m:rPr/>
              <m:t>S</m:t>
            </m:r>
          </m:sub>
        </m:sSub>
        <m:r>
          <m:rPr>
            <m:sty m:val="p"/>
          </m:rPr>
          <m:t>≥</m:t>
        </m:r>
        <m:r>
          <m:rPr/>
          <m:t>0.90</m:t>
        </m:r>
      </m:oMath>
      <w:r>
        <w:rPr>
          <w:rFonts w:ascii="Times New Roman" w:hAnsi="Times New Roman" w:eastAsia="Times New Roman"/>
        </w:rPr>
        <w:t>, the policy is highly likely to collapse on target assets and should be rejected.</w:t>
      </w:r>
    </w:p>
    <w:p w14:paraId="70B27A5D">
      <w:pPr>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2 (Transfer Verification):</w:t>
      </w:r>
      <w:r>
        <w:rPr>
          <w:rFonts w:ascii="Times New Roman" w:hAnsi="Times New Roman" w:eastAsia="Times New Roman" w:cs="Google Sans"/>
          <w:color w:val="1F1F1F"/>
          <w:sz w:val="24"/>
          <w:rtl w:val="0"/>
        </w:rPr>
        <w:t xml:space="preserve"> After transferring a policy, verify behavioral equivalence:</w:t>
      </w:r>
    </w:p>
    <w:p w14:paraId="5FE9A9E2">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m:oMathPara>
    </w:p>
    <w:p w14:paraId="0000009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r>
          <m:rPr>
            <m:sty m:val="p"/>
          </m:rPr>
          <m:t>SignalMatch</m:t>
        </m:r>
        <m:d>
          <m:dPr>
            <m:sepChr m:val=""/>
          </m:dPr>
          <m:e>
            <m:r>
              <m:rPr/>
              <m:t>π</m:t>
            </m:r>
            <m:r>
              <m:rPr>
                <m:sty m:val="p"/>
              </m:rPr>
              <m:t>,</m:t>
            </m:r>
            <m:sSup>
              <m:sSupPr/>
              <m:e>
                <m:r>
                  <m:rPr/>
                  <m:t>τ</m:t>
                </m:r>
              </m:e>
              <m:sup>
                <m:r>
                  <m:rPr>
                    <m:sty m:val="p"/>
                  </m:rPr>
                  <m:t>∗</m:t>
                </m:r>
              </m:sup>
            </m:sSup>
          </m:e>
        </m:d>
        <m:r>
          <m:rPr>
            <m:sty m:val="p"/>
          </m:rPr>
          <m:t>&gt;</m:t>
        </m:r>
        <m:r>
          <m:rPr/>
          <m:t>0.99</m:t>
        </m:r>
      </m:oMath>
      <w:r>
        <w:rPr>
          <w:rFonts w:ascii="Times New Roman" w:hAnsi="Times New Roman" w:eastAsia="Times New Roman"/>
        </w:rPr>
        <w:t>, the policy has effectively collapsed.</w:t>
      </w:r>
    </w:p>
    <w:p w14:paraId="3D70E188">
      <w:pPr>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3 (Economic Significance):</w:t>
      </w:r>
      <w:r>
        <w:rPr>
          <w:rFonts w:ascii="Times New Roman" w:hAnsi="Times New Roman" w:eastAsia="Times New Roman" w:cs="Google Sans"/>
          <w:color w:val="1F1F1F"/>
          <w:sz w:val="24"/>
          <w:rtl w:val="0"/>
        </w:rPr>
        <w:t xml:space="preserve"> Compare the transferred policy against the behavioral-equivalent threshold:</w:t>
      </w:r>
    </w:p>
    <w:p w14:paraId="0000009A">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ind w:left="105" w:leftChars="0"/>
        <w:jc w:val="center"/>
      </w:pPr>
      <m:oMathPara>
        <m:oMath>
          <m:r>
            <m:rPr/>
            <m:t>Δ</m:t>
          </m:r>
          <m:r>
            <m:rPr>
              <m:sty m:val="p"/>
            </m:rPr>
            <m:t>Sharpe=Sharpe</m:t>
          </m:r>
          <m:d>
            <m:dPr>
              <m:sepChr m:val=""/>
            </m:dPr>
            <m:e>
              <m:r>
                <m:rPr/>
                <m:t>π</m:t>
              </m:r>
            </m:e>
          </m:d>
          <m:r>
            <m:rPr>
              <m:sty m:val="p"/>
            </m:rPr>
            <m:t>−Sharpe</m:t>
          </m:r>
          <m:d>
            <m:dPr>
              <m:sepChr m:val=""/>
            </m:dPr>
            <m:e>
              <m:sSub>
                <m:sSubPr/>
                <m:e>
                  <m:r>
                    <m:rPr/>
                    <m:t>τ</m:t>
                  </m:r>
                </m:e>
                <m:sub>
                  <m:sSup>
                    <m:sSupPr/>
                    <m:e>
                      <m:r>
                        <m:rPr/>
                        <m:t>k</m:t>
                      </m:r>
                    </m:e>
                    <m:sup>
                      <m:r>
                        <m:rPr>
                          <m:sty m:val="p"/>
                        </m:rPr>
                        <m:t>∗</m:t>
                      </m:r>
                    </m:sup>
                  </m:sSup>
                </m:sub>
              </m:sSub>
            </m:e>
          </m:d>
        </m:oMath>
      </m:oMathPara>
    </w:p>
    <w:p w14:paraId="0000009B">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If </w:t>
      </w:r>
      <m:oMath>
        <m:d>
          <m:dPr>
            <m:begChr m:val="|"/>
            <m:sepChr m:val=""/>
            <m:endChr m:val="|"/>
          </m:dPr>
          <m:e>
            <m:r>
              <m:rPr/>
              <m:t>Δ</m:t>
            </m:r>
            <m:r>
              <m:rPr>
                <m:sty m:val="p"/>
              </m:rPr>
              <m:t>Sharpe</m:t>
            </m:r>
          </m:e>
        </m:d>
        <m:r>
          <m:rPr>
            <m:sty m:val="p"/>
          </m:rPr>
          <m:t>&lt;</m:t>
        </m:r>
        <m:r>
          <m:rPr/>
          <m:t>0.01</m:t>
        </m:r>
      </m:oMath>
      <w:r>
        <w:rPr>
          <w:rFonts w:ascii="Times New Roman" w:hAnsi="Times New Roman" w:eastAsia="Times New Roman"/>
        </w:rPr>
        <w:t xml:space="preserve"> and turnover is similar, the policy provides no contextual benefit.</w:t>
      </w:r>
    </w:p>
    <w:p w14:paraId="0000009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5.5 Summary of Theoretical Claims</w:t>
      </w:r>
    </w:p>
    <w:p w14:paraId="0000009D">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What we claim:</w:t>
      </w:r>
    </w:p>
    <w:p w14:paraId="0000009E">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Source-side action concentration is empirically associated with target-side collapse (Proposition 1).</w:t>
      </w:r>
    </w:p>
    <w:p w14:paraId="0000009F">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Linear scoring policies have convex polyhedral decision regions (Proposition 2).</w:t>
      </w:r>
    </w:p>
    <w:p w14:paraId="000000A0">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Collapsed policies are behaviorally equivalent to static thresholds (Proposition 3).</w:t>
      </w:r>
    </w:p>
    <w:p w14:paraId="000000A1">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Practical diagnostic rules can detect collapse before deployment.</w:t>
      </w:r>
    </w:p>
    <w:p w14:paraId="000000A2">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What we do NOT claim:</w:t>
      </w:r>
    </w:p>
    <w:p w14:paraId="000000A3">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 diversity is a universal theoretical necessity for transfer success under all environments.</w:t>
      </w:r>
    </w:p>
    <w:p w14:paraId="000000A4">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Full LinUCB policies have strictly polyhedral decision regions.</w:t>
      </w:r>
    </w:p>
    <w:p w14:paraId="000000A5">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Sharpe ratio equality implies behavioral equivalence.</w:t>
      </w:r>
    </w:p>
    <w:p w14:paraId="000000A6">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color w:val="1F1F1F"/>
          <w:sz w:val="24"/>
          <w:rtl w:val="0"/>
        </w:rPr>
        <w:t>The findings generalize beyond our experimental setting without empirical verification.</w:t>
      </w:r>
    </w:p>
    <w:p w14:paraId="000000A7">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 Experimental Design</w:t>
      </w:r>
    </w:p>
    <w:p w14:paraId="000000A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 Data</w:t>
      </w:r>
    </w:p>
    <w:p w14:paraId="000000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6.1.1 Asset Universe</w:t>
      </w:r>
    </w:p>
    <w:p w14:paraId="000000AA">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Source Assets (6):</w:t>
      </w:r>
    </w:p>
    <w:p w14:paraId="000000AB">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SPY:</w:t>
      </w:r>
      <w:r>
        <w:rPr>
          <w:rFonts w:ascii="Times New Roman" w:hAnsi="Times New Roman" w:eastAsia="Times New Roman" w:cs="Google Sans"/>
          <w:color w:val="1F1F1F"/>
          <w:sz w:val="24"/>
          <w:rtl w:val="0"/>
        </w:rPr>
        <w:t xml:space="preserve"> SPDR S&amp;P 500 ETF Trust</w:t>
      </w:r>
    </w:p>
    <w:p w14:paraId="000000AC">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QQQ:</w:t>
      </w:r>
      <w:r>
        <w:rPr>
          <w:rFonts w:ascii="Times New Roman" w:hAnsi="Times New Roman" w:eastAsia="Times New Roman" w:cs="Google Sans"/>
          <w:color w:val="1F1F1F"/>
          <w:sz w:val="24"/>
          <w:rtl w:val="0"/>
        </w:rPr>
        <w:t xml:space="preserve"> Invesco QQQ Trust</w:t>
      </w:r>
    </w:p>
    <w:p w14:paraId="000000AD">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IWM:</w:t>
      </w:r>
      <w:r>
        <w:rPr>
          <w:rFonts w:ascii="Times New Roman" w:hAnsi="Times New Roman" w:eastAsia="Times New Roman" w:cs="Google Sans"/>
          <w:color w:val="1F1F1F"/>
          <w:sz w:val="24"/>
          <w:rtl w:val="0"/>
        </w:rPr>
        <w:t xml:space="preserve"> iShares Russell 2000 ETF</w:t>
      </w:r>
    </w:p>
    <w:p w14:paraId="000000AE">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EEM:</w:t>
      </w:r>
      <w:r>
        <w:rPr>
          <w:rFonts w:ascii="Times New Roman" w:hAnsi="Times New Roman" w:eastAsia="Times New Roman" w:cs="Google Sans"/>
          <w:color w:val="1F1F1F"/>
          <w:sz w:val="24"/>
          <w:rtl w:val="0"/>
        </w:rPr>
        <w:t xml:space="preserve"> iShares MSCI Emerging Markets ETF</w:t>
      </w:r>
    </w:p>
    <w:p w14:paraId="000000AF">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TLT:</w:t>
      </w:r>
      <w:r>
        <w:rPr>
          <w:rFonts w:ascii="Times New Roman" w:hAnsi="Times New Roman" w:eastAsia="Times New Roman" w:cs="Google Sans"/>
          <w:color w:val="1F1F1F"/>
          <w:sz w:val="24"/>
          <w:rtl w:val="0"/>
        </w:rPr>
        <w:t xml:space="preserve"> iShares 20+ Year Treasury Bond ETF</w:t>
      </w:r>
    </w:p>
    <w:p w14:paraId="000000B0">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GLD:</w:t>
      </w:r>
      <w:r>
        <w:rPr>
          <w:rFonts w:ascii="Times New Roman" w:hAnsi="Times New Roman" w:eastAsia="Times New Roman" w:cs="Google Sans"/>
          <w:color w:val="1F1F1F"/>
          <w:sz w:val="24"/>
          <w:rtl w:val="0"/>
        </w:rPr>
        <w:t xml:space="preserve"> SPDR Gold Shares</w:t>
      </w:r>
    </w:p>
    <w:p w14:paraId="000000B1">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Target Assets (39):</w:t>
      </w:r>
    </w:p>
    <w:p w14:paraId="000000B2">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i/>
          <w:iCs/>
          <w:color w:val="1F1F1F"/>
          <w:sz w:val="24"/>
          <w:rtl w:val="0"/>
        </w:rPr>
        <w:t>US Equity ETFs (11):</w:t>
      </w:r>
      <w:r>
        <w:rPr>
          <w:rFonts w:ascii="Times New Roman" w:hAnsi="Times New Roman" w:eastAsia="Times New Roman" w:cs="Google Sans"/>
          <w:color w:val="1F1F1F"/>
          <w:sz w:val="24"/>
          <w:rtl w:val="0"/>
        </w:rPr>
        <w:t xml:space="preserve"> VTI, VOO, IVV, SCHB, SPTM, ITOT, VONE, IWB, SCHX, MGC, SPLG</w:t>
      </w:r>
    </w:p>
    <w:p w14:paraId="000000B3">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International Equity ETFs (7):</w:t>
      </w:r>
      <w:r>
        <w:rPr>
          <w:rFonts w:ascii="Times New Roman" w:hAnsi="Times New Roman" w:eastAsia="Times New Roman" w:cs="Google Sans"/>
          <w:color w:val="1F1F1F"/>
          <w:sz w:val="24"/>
          <w:rtl w:val="0"/>
        </w:rPr>
        <w:t xml:space="preserve"> EFA, EFG, IEFA, SCHF, VEA, IEUR, SPDW</w:t>
      </w:r>
    </w:p>
    <w:p w14:paraId="000000B4">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Fixed Income ETFs (6):</w:t>
      </w:r>
      <w:r>
        <w:rPr>
          <w:rFonts w:ascii="Times New Roman" w:hAnsi="Times New Roman" w:eastAsia="Times New Roman" w:cs="Google Sans"/>
          <w:color w:val="1F1F1F"/>
          <w:sz w:val="24"/>
          <w:rtl w:val="0"/>
        </w:rPr>
        <w:t xml:space="preserve"> AGG, BND, SCHZ, VTEB, MUB, LQD</w:t>
      </w:r>
    </w:p>
    <w:p w14:paraId="000000B5">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Commodity ETFs (5):</w:t>
      </w:r>
      <w:r>
        <w:rPr>
          <w:rFonts w:ascii="Times New Roman" w:hAnsi="Times New Roman" w:eastAsia="Times New Roman" w:cs="Google Sans"/>
          <w:color w:val="1F1F1F"/>
          <w:sz w:val="24"/>
          <w:rtl w:val="0"/>
        </w:rPr>
        <w:t xml:space="preserve"> DBC, GSG, PDBC, USO, UNG</w:t>
      </w:r>
    </w:p>
    <w:p w14:paraId="000000B6">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Real Estate ETFs (3):</w:t>
      </w:r>
      <w:r>
        <w:rPr>
          <w:rFonts w:ascii="Times New Roman" w:hAnsi="Times New Roman" w:eastAsia="Times New Roman" w:cs="Google Sans"/>
          <w:color w:val="1F1F1F"/>
          <w:sz w:val="24"/>
          <w:rtl w:val="0"/>
        </w:rPr>
        <w:t xml:space="preserve"> VNQ, IYR, SCHH</w:t>
      </w:r>
    </w:p>
    <w:p w14:paraId="000000B7">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Currency ETFs (3):</w:t>
      </w:r>
      <w:r>
        <w:rPr>
          <w:rFonts w:ascii="Times New Roman" w:hAnsi="Times New Roman" w:eastAsia="Times New Roman" w:cs="Google Sans"/>
          <w:color w:val="1F1F1F"/>
          <w:sz w:val="24"/>
          <w:rtl w:val="0"/>
        </w:rPr>
        <w:t xml:space="preserve"> UUP, FXE, FXY</w:t>
      </w:r>
    </w:p>
    <w:p w14:paraId="000000B8">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i/>
          <w:iCs/>
          <w:color w:val="1F1F1F"/>
          <w:sz w:val="24"/>
          <w:rtl w:val="0"/>
        </w:rPr>
        <w:t>Crypto Assets (4):</w:t>
      </w:r>
      <w:r>
        <w:rPr>
          <w:rFonts w:ascii="Times New Roman" w:hAnsi="Times New Roman" w:eastAsia="Times New Roman" w:cs="Google Sans"/>
          <w:color w:val="1F1F1F"/>
          <w:sz w:val="24"/>
          <w:rtl w:val="0"/>
        </w:rPr>
        <w:t xml:space="preserve"> BTC-USD, ETH-USD, LTC-USD, XRP-USD</w:t>
      </w:r>
    </w:p>
    <w:p w14:paraId="000000B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6.1.2 Data Sources and Access</w:t>
      </w:r>
    </w:p>
    <w:p w14:paraId="000000BA">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Equity/ETF Data:</w:t>
      </w:r>
      <w:r>
        <w:rPr>
          <w:rFonts w:ascii="Times New Roman" w:hAnsi="Times New Roman" w:eastAsia="Times New Roman" w:cs="Google Sans"/>
          <w:color w:val="1F1F1F"/>
          <w:sz w:val="24"/>
          <w:rtl w:val="0"/>
        </w:rPr>
        <w:t xml:space="preserve"> Yahoo Finance API (Adjusted close prices)</w:t>
      </w:r>
    </w:p>
    <w:p w14:paraId="000000BB">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Cryptocurrency Data: Public Yahoo Finance and CoinGecko</w:t>
      </w:r>
    </w:p>
    <w:p w14:paraId="000000BC">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Access Date:</w:t>
      </w:r>
      <w:r>
        <w:rPr>
          <w:rFonts w:ascii="Times New Roman" w:hAnsi="Times New Roman" w:eastAsia="Times New Roman" w:cs="Google Sans"/>
          <w:color w:val="1F1F1F"/>
          <w:sz w:val="24"/>
          <w:rtl w:val="0"/>
        </w:rPr>
        <w:t xml:space="preserve"> January 15, 2026</w:t>
      </w:r>
    </w:p>
    <w:p w14:paraId="000000BD">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Data Period:</w:t>
      </w:r>
      <w:r>
        <w:rPr>
          <w:rFonts w:ascii="Times New Roman" w:hAnsi="Times New Roman" w:eastAsia="Times New Roman" w:cs="Google Sans"/>
          <w:color w:val="1F1F1F"/>
          <w:sz w:val="24"/>
          <w:rtl w:val="0"/>
        </w:rPr>
        <w:t xml:space="preserve"> January 1, 2015 – December 31, 2024</w:t>
      </w:r>
    </w:p>
    <w:p w14:paraId="000000BE">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Frequency:</w:t>
      </w:r>
      <w:r>
        <w:rPr>
          <w:rFonts w:ascii="Times New Roman" w:hAnsi="Times New Roman" w:eastAsia="Times New Roman" w:cs="Google Sans"/>
          <w:color w:val="1F1F1F"/>
          <w:sz w:val="24"/>
          <w:rtl w:val="0"/>
        </w:rPr>
        <w:t xml:space="preserve"> Daily (close-to-close returns)</w:t>
      </w:r>
    </w:p>
    <w:p w14:paraId="000000B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6.1.3 Data Processing</w:t>
      </w:r>
    </w:p>
    <w:p w14:paraId="000000C0">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Price Adjustments:</w:t>
      </w:r>
      <w:r>
        <w:rPr>
          <w:rFonts w:ascii="Times New Roman" w:hAnsi="Times New Roman" w:eastAsia="Times New Roman" w:cs="Google Sans"/>
          <w:color w:val="1F1F1F"/>
          <w:sz w:val="24"/>
          <w:rtl w:val="0"/>
        </w:rPr>
        <w:t xml:space="preserve"> All prices are adjusted for stock splits and dividends. We use Adjusted Close prices for return computation.</w:t>
      </w:r>
    </w:p>
    <w:p w14:paraId="000000C1">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Missing Values:</w:t>
      </w:r>
      <w:r>
        <w:rPr>
          <w:rFonts w:ascii="Times New Roman" w:hAnsi="Times New Roman" w:eastAsia="Times New Roman" w:cs="Google Sans"/>
          <w:color w:val="1F1F1F"/>
          <w:sz w:val="24"/>
          <w:rtl w:val="0"/>
        </w:rPr>
        <w:t xml:space="preserve"> Forward-fill missing values (up to 5 consecutive days). Drop assets with </w:t>
      </w:r>
      <m:oMath>
        <m:r>
          <m:rPr/>
          <m:t>&gt; 10%</m:t>
        </m:r>
      </m:oMath>
      <w:r>
        <w:rPr>
          <w:rFonts w:ascii="Times New Roman" w:hAnsi="Times New Roman" w:eastAsia="Times New Roman" w:cs="Google Sans"/>
          <w:color w:val="1F1F1F"/>
          <w:sz w:val="24"/>
          <w:rtl w:val="0"/>
        </w:rPr>
        <w:t xml:space="preserve"> missing values in any rolling window.</w:t>
      </w:r>
    </w:p>
    <w:p w14:paraId="000000C2">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Liquidity Filter:</w:t>
      </w:r>
      <w:r>
        <w:rPr>
          <w:rFonts w:ascii="Times New Roman" w:hAnsi="Times New Roman" w:eastAsia="Times New Roman" w:cs="Google Sans"/>
          <w:color w:val="1F1F1F"/>
          <w:sz w:val="24"/>
          <w:rtl w:val="0"/>
        </w:rPr>
        <w:t xml:space="preserve"> Minimum average daily volume of 1 million shares (for ETFs). No volume filter for crypto assets.</w:t>
      </w:r>
    </w:p>
    <w:p w14:paraId="000000C3">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Calendar Alignment:</w:t>
      </w:r>
      <w:r>
        <w:rPr>
          <w:rFonts w:ascii="Times New Roman" w:hAnsi="Times New Roman" w:eastAsia="Times New Roman" w:cs="Google Sans"/>
          <w:color w:val="1F1F1F"/>
          <w:sz w:val="24"/>
          <w:rtl w:val="0"/>
        </w:rPr>
        <w:t xml:space="preserve"> US trading days are used as the reference calendar. Crypto prices are mapped to the nearest US trading day; non-trading days are excluded from analysis.</w:t>
      </w:r>
    </w:p>
    <w:p w14:paraId="000000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 Features (20)</w:t>
      </w:r>
    </w:p>
    <w:p w14:paraId="000000C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6.2.1 Feature Definitions</w:t>
      </w:r>
    </w:p>
    <w:p w14:paraId="000000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We compute  technical, volatility, volume, and price-based features for each asset:</w:t>
      </w:r>
    </w:p>
    <w:p w14:paraId="01120B23">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b/>
          <w:bCs/>
        </w:rPr>
        <w:t>Multi-Horizon Returns (6):</w:t>
      </w:r>
      <w:r>
        <w:rPr>
          <w:rFonts w:ascii="Times New Roman" w:hAnsi="Times New Roman" w:eastAsia="Times New Roman"/>
        </w:rPr>
        <w:t xml:space="preserve"> Return over the past </w:t>
      </w:r>
      <m:oMath>
        <m:r>
          <m:rPr/>
          <m:t>h</m:t>
        </m:r>
        <m:r>
          <m:rPr>
            <m:sty m:val="p"/>
          </m:rPr>
          <m:t>∈{</m:t>
        </m:r>
        <m:r>
          <m:rPr/>
          <m:t>1</m:t>
        </m:r>
        <m:r>
          <m:rPr>
            <m:sty m:val="p"/>
          </m:rPr>
          <m:t>,</m:t>
        </m:r>
        <m:r>
          <m:rPr/>
          <m:t>5</m:t>
        </m:r>
        <m:r>
          <m:rPr>
            <m:sty m:val="p"/>
          </m:rPr>
          <m:t>,</m:t>
        </m:r>
        <m:r>
          <m:rPr/>
          <m:t>10</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trading days: </w:t>
      </w:r>
      <m:oMath>
        <m:sSubSup>
          <m:sSubSupPr/>
          <m:e>
            <m:r>
              <m:rPr/>
              <m:t>R</m:t>
            </m:r>
          </m:e>
          <m:sub>
            <m:r>
              <m:rPr/>
              <m:t>t</m:t>
            </m:r>
          </m:sub>
          <m:sup>
            <m:d>
              <m:dPr>
                <m:sepChr m:val=""/>
              </m:dPr>
              <m:e>
                <m:r>
                  <m:rPr/>
                  <m:t>h</m:t>
                </m:r>
              </m:e>
            </m:d>
          </m:sup>
        </m:sSubSup>
        <m:r>
          <m:rPr>
            <m:sty m:val="p"/>
          </m:rPr>
          <m:t>=</m:t>
        </m:r>
        <m:sSub>
          <m:sSubPr/>
          <m:e>
            <m:r>
              <m:rPr/>
              <m:t>P</m:t>
            </m:r>
          </m:e>
          <m:sub>
            <m:r>
              <m:rPr/>
              <m:t>t</m:t>
            </m:r>
          </m:sub>
        </m:sSub>
        <m:r>
          <m:rPr>
            <m:sty m:val="p"/>
          </m:rPr>
          <m:t>/</m:t>
        </m:r>
        <m:sSub>
          <m:sSubPr/>
          <m:e>
            <m:r>
              <m:rPr/>
              <m:t>P</m:t>
            </m:r>
          </m:e>
          <m:sub>
            <m:r>
              <m:rPr/>
              <m:t>t</m:t>
            </m:r>
            <m:r>
              <m:rPr>
                <m:sty m:val="p"/>
              </m:rPr>
              <m:t>−</m:t>
            </m:r>
            <m:r>
              <m:rPr/>
              <m:t>h</m:t>
            </m:r>
          </m:sub>
        </m:sSub>
        <m:r>
          <m:rPr>
            <m:sty m:val="p"/>
          </m:rPr>
          <m:t>−</m:t>
        </m:r>
        <m:r>
          <m:rPr/>
          <m:t>1</m:t>
        </m:r>
      </m:oMath>
      <w:r>
        <w:rPr>
          <w:rFonts w:ascii="Times New Roman" w:hAnsi="Times New Roman" w:eastAsia="Times New Roman"/>
        </w:rPr>
        <w:t>.</w:t>
      </w:r>
    </w:p>
    <w:p w14:paraId="25FB6842">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Realized Volatility (3):</w:t>
      </w:r>
      <w:r>
        <w:rPr>
          <w:rFonts w:ascii="Times New Roman" w:hAnsi="Times New Roman" w:eastAsia="Times New Roman"/>
        </w:rPr>
        <w:t xml:space="preserve"> For </w:t>
      </w:r>
      <m:oMath>
        <m:r>
          <m:rPr/>
          <m:t>h</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w:t>
      </w:r>
      <m:oMath>
        <m:sSubSup>
          <m:sSubSupPr/>
          <m:e>
            <m:r>
              <m:rPr/>
              <m:t>σ</m:t>
            </m:r>
          </m:e>
          <m:sub>
            <m:r>
              <m:rPr/>
              <m:t>t</m:t>
            </m:r>
          </m:sub>
          <m:sup>
            <m:d>
              <m:dPr>
                <m:sepChr m:val=""/>
              </m:dPr>
              <m:e>
                <m:r>
                  <m:rPr/>
                  <m:t>h</m:t>
                </m:r>
              </m:e>
            </m:d>
          </m:sup>
        </m:sSubSup>
        <m:r>
          <m:rPr>
            <m:sty m:val="p"/>
          </m:rPr>
          <m:t>=</m:t>
        </m:r>
        <m:rad>
          <m:radPr>
            <m:degHide m:val="1"/>
          </m:radPr>
          <m:deg/>
          <m:e>
            <m:f>
              <m:fPr/>
              <m:num>
                <m:r>
                  <m:rPr/>
                  <m:t>252</m:t>
                </m:r>
              </m:num>
              <m:den>
                <m:r>
                  <m:rPr/>
                  <m:t>h</m:t>
                </m:r>
              </m:den>
            </m:f>
            <m:nary>
              <m:naryPr>
                <m:chr m:val="∑"/>
                <m:limLoc m:val="undOvr"/>
              </m:naryPr>
              <m:sub>
                <m:r>
                  <m:rPr/>
                  <m:t>i</m:t>
                </m:r>
                <m:r>
                  <m:rPr>
                    <m:sty m:val="p"/>
                  </m:rPr>
                  <m:t>=</m:t>
                </m:r>
                <m:r>
                  <m:rPr/>
                  <m:t>1</m:t>
                </m:r>
              </m:sub>
              <m:sup>
                <m:r>
                  <m:rPr/>
                  <m:t>h</m:t>
                </m:r>
              </m:sup>
              <m:e>
                <m:sSubSup>
                  <m:sSubSupPr/>
                  <m:e>
                    <m:r>
                      <m:rPr/>
                      <m:t>r</m:t>
                    </m:r>
                  </m:e>
                  <m:sub>
                    <m:r>
                      <m:rPr/>
                      <m:t>t</m:t>
                    </m:r>
                    <m:r>
                      <m:rPr>
                        <m:sty m:val="p"/>
                      </m:rPr>
                      <m:t>−</m:t>
                    </m:r>
                    <m:r>
                      <m:rPr/>
                      <m:t>i</m:t>
                    </m:r>
                    <m:r>
                      <m:rPr>
                        <m:sty m:val="p"/>
                      </m:rPr>
                      <m:t>+</m:t>
                    </m:r>
                    <m:r>
                      <m:rPr/>
                      <m:t>1</m:t>
                    </m:r>
                  </m:sub>
                  <m:sup>
                    <m:r>
                      <m:rPr/>
                      <m:t>2</m:t>
                    </m:r>
                  </m:sup>
                </m:sSubSup>
              </m:e>
            </m:nary>
          </m:e>
        </m:rad>
      </m:oMath>
      <w:r>
        <w:rPr>
          <w:rFonts w:ascii="Times New Roman" w:hAnsi="Times New Roman" w:eastAsia="Times New Roman"/>
        </w:rPr>
        <w:t>.</w:t>
      </w:r>
    </w:p>
    <w:p w14:paraId="57B412B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Volatility Ratio (1):</w:t>
      </w:r>
      <w:r>
        <w:rPr>
          <w:rFonts w:ascii="Times New Roman" w:hAnsi="Times New Roman" w:eastAsia="Times New Roman"/>
        </w:rPr>
        <w:t xml:space="preserve"> </w:t>
      </w:r>
      <m:oMath>
        <m:sSub>
          <m:sSubPr/>
          <m:e>
            <m:r>
              <m:rPr>
                <m:sty m:val="p"/>
              </m:rPr>
              <m:t>VR</m:t>
            </m:r>
          </m:e>
          <m:sub>
            <m:r>
              <m:rPr/>
              <m:t>t</m:t>
            </m:r>
          </m:sub>
        </m:sSub>
        <m:r>
          <m:rPr>
            <m:sty m:val="p"/>
          </m:rPr>
          <m:t>=</m:t>
        </m:r>
        <m:sSubSup>
          <m:sSubSupPr/>
          <m:e>
            <m:r>
              <m:rPr/>
              <m:t>σ</m:t>
            </m:r>
          </m:e>
          <m:sub>
            <m:r>
              <m:rPr/>
              <m:t>t</m:t>
            </m:r>
          </m:sub>
          <m:sup>
            <m:d>
              <m:dPr>
                <m:sepChr m:val=""/>
              </m:dPr>
              <m:e>
                <m:r>
                  <m:rPr/>
                  <m:t>21</m:t>
                </m:r>
              </m:e>
            </m:d>
          </m:sup>
        </m:sSubSup>
        <m:r>
          <m:rPr>
            <m:sty m:val="p"/>
          </m:rPr>
          <m:t>/</m:t>
        </m:r>
        <m:sSubSup>
          <m:sSubSupPr/>
          <m:e>
            <m:r>
              <m:rPr/>
              <m:t>σ</m:t>
            </m:r>
          </m:e>
          <m:sub>
            <m:r>
              <m:rPr/>
              <m:t>t</m:t>
            </m:r>
          </m:sub>
          <m:sup>
            <m:d>
              <m:dPr>
                <m:sepChr m:val=""/>
              </m:dPr>
              <m:e>
                <m:r>
                  <m:rPr/>
                  <m:t>252</m:t>
                </m:r>
              </m:e>
            </m:d>
          </m:sup>
        </m:sSubSup>
      </m:oMath>
      <w:r>
        <w:rPr>
          <w:rFonts w:ascii="Times New Roman" w:hAnsi="Times New Roman" w:eastAsia="Times New Roman"/>
        </w:rPr>
        <w:t>.</w:t>
      </w:r>
    </w:p>
    <w:p w14:paraId="1162FA81">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SMA Ratios (2):</w:t>
      </w:r>
      <w:r>
        <w:rPr>
          <w:rFonts w:ascii="Times New Roman" w:hAnsi="Times New Roman" w:eastAsia="Times New Roman"/>
        </w:rPr>
        <w:t xml:space="preserve"> For </w:t>
      </w:r>
      <m:oMath>
        <m:r>
          <m:rPr/>
          <m:t>n</m:t>
        </m:r>
        <m:r>
          <m:rPr>
            <m:sty m:val="p"/>
          </m:rPr>
          <m:t>∈{</m:t>
        </m:r>
        <m:r>
          <m:rPr/>
          <m:t>50</m:t>
        </m:r>
        <m:r>
          <m:rPr>
            <m:sty m:val="p"/>
          </m:rPr>
          <m:t>,</m:t>
        </m:r>
        <m:r>
          <m:rPr/>
          <m:t>200</m:t>
        </m:r>
        <m:r>
          <m:rPr>
            <m:sty m:val="p"/>
          </m:rPr>
          <m:t>}</m:t>
        </m:r>
      </m:oMath>
      <w:r>
        <w:rPr>
          <w:rFonts w:ascii="Times New Roman" w:hAnsi="Times New Roman" w:eastAsia="Times New Roman"/>
        </w:rPr>
        <w:t xml:space="preserve">, </w:t>
      </w:r>
      <m:oMath>
        <m:sSubSup>
          <m:sSubSupPr/>
          <m:e>
            <m:r>
              <m:rPr>
                <m:sty m:val="p"/>
              </m:rPr>
              <m:t>SMA</m:t>
            </m:r>
          </m:e>
          <m:sub>
            <m:r>
              <m:rPr/>
              <m:t>t</m:t>
            </m:r>
          </m:sub>
          <m:sup>
            <m:d>
              <m:dPr>
                <m:sepChr m:val=""/>
              </m:dPr>
              <m:e>
                <m:r>
                  <m:rPr/>
                  <m:t>n</m:t>
                </m:r>
              </m:e>
            </m:d>
          </m:sup>
        </m:sSubSup>
        <m:r>
          <m:rPr>
            <m:sty m:val="p"/>
          </m:rPr>
          <m:t>=</m:t>
        </m:r>
        <m:sSub>
          <m:sSubPr/>
          <m:e>
            <m:r>
              <m:rPr/>
              <m:t>P</m:t>
            </m:r>
          </m:e>
          <m:sub>
            <m:r>
              <m:rPr/>
              <m:t>t</m:t>
            </m:r>
          </m:sub>
        </m:sSub>
        <m:r>
          <m:rPr>
            <m:sty m:val="p"/>
          </m:rPr>
          <m:t>/</m:t>
        </m:r>
        <m:d>
          <m:dPr>
            <m:sepChr m:val=""/>
          </m:dPr>
          <m:e>
            <m:f>
              <m:fPr/>
              <m:num>
                <m:r>
                  <m:rPr/>
                  <m:t>1</m:t>
                </m:r>
              </m:num>
              <m:den>
                <m:r>
                  <m:rPr/>
                  <m:t>n</m:t>
                </m:r>
              </m:den>
            </m:f>
            <m:nary>
              <m:naryPr>
                <m:chr m:val="∑"/>
                <m:limLoc m:val="undOvr"/>
              </m:naryPr>
              <m:sub>
                <m:r>
                  <m:rPr/>
                  <m:t>i</m:t>
                </m:r>
                <m:r>
                  <m:rPr>
                    <m:sty m:val="p"/>
                  </m:rPr>
                  <m:t>=</m:t>
                </m:r>
                <m:r>
                  <m:rPr/>
                  <m:t>0</m:t>
                </m:r>
              </m:sub>
              <m:sup>
                <m:r>
                  <m:rPr/>
                  <m:t>n</m:t>
                </m:r>
                <m:r>
                  <m:rPr>
                    <m:sty m:val="p"/>
                  </m:rPr>
                  <m:t>−</m:t>
                </m:r>
                <m:r>
                  <m:rPr/>
                  <m:t>1</m:t>
                </m:r>
              </m:sup>
              <m:e>
                <m:sSub>
                  <m:sSubPr/>
                  <m:e>
                    <m:r>
                      <m:rPr/>
                      <m:t>P</m:t>
                    </m:r>
                  </m:e>
                  <m:sub>
                    <m:r>
                      <m:rPr/>
                      <m:t>t</m:t>
                    </m:r>
                    <m:r>
                      <m:rPr>
                        <m:sty m:val="p"/>
                      </m:rPr>
                      <m:t>−</m:t>
                    </m:r>
                    <m:r>
                      <m:rPr/>
                      <m:t>i</m:t>
                    </m:r>
                  </m:sub>
                </m:sSub>
              </m:e>
            </m:nary>
          </m:e>
        </m:d>
      </m:oMath>
      <w:r>
        <w:rPr>
          <w:rFonts w:ascii="Times New Roman" w:hAnsi="Times New Roman" w:eastAsia="Times New Roman"/>
        </w:rPr>
        <w:t>.</w:t>
      </w:r>
    </w:p>
    <w:p w14:paraId="000000CB">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RSI (1):</w:t>
      </w:r>
      <w:r>
        <w:rPr>
          <w:rFonts w:ascii="Times New Roman" w:hAnsi="Times New Roman" w:eastAsia="Times New Roman" w:cs="Google Sans"/>
          <w:color w:val="1F1F1F"/>
          <w:sz w:val="24"/>
          <w:rtl w:val="0"/>
        </w:rPr>
        <w:t xml:space="preserve"> 14-day Relative Strength Index.</w:t>
      </w:r>
    </w:p>
    <w:p w14:paraId="000000CC">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MACD (1):</w:t>
      </w:r>
      <w:r>
        <w:rPr>
          <w:rFonts w:ascii="Times New Roman" w:hAnsi="Times New Roman" w:eastAsia="Times New Roman" w:cs="Google Sans"/>
          <w:color w:val="1F1F1F"/>
          <w:sz w:val="24"/>
          <w:rtl w:val="0"/>
        </w:rPr>
        <w:t xml:space="preserve"> Moving Average Convergence Divergence.</w:t>
      </w:r>
    </w:p>
    <w:p w14:paraId="000000C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Bollinger Bands (2):</w:t>
      </w:r>
      <w:r>
        <w:rPr>
          <w:rFonts w:ascii="Times New Roman" w:hAnsi="Times New Roman" w:eastAsia="Times New Roman" w:cs="Google Sans"/>
          <w:color w:val="1F1F1F"/>
          <w:sz w:val="24"/>
          <w:rtl w:val="0"/>
        </w:rPr>
        <w:t xml:space="preserve"> Distance from upper and lower Bollinger Bands (20-day, 2 std).</w:t>
      </w:r>
    </w:p>
    <w:p w14:paraId="000000CE">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Volume Features (2):</w:t>
      </w:r>
      <w:r>
        <w:rPr>
          <w:rFonts w:ascii="Times New Roman" w:hAnsi="Times New Roman" w:eastAsia="Times New Roman" w:cs="Google Sans"/>
          <w:color w:val="1F1F1F"/>
          <w:sz w:val="24"/>
          <w:rtl w:val="0"/>
        </w:rPr>
        <w:t xml:space="preserve"> Volume relative to 20-day average, and 20-day volume volatility.</w:t>
      </w:r>
    </w:p>
    <w:p w14:paraId="000000CF">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Microstructure Features (2):</w:t>
      </w:r>
      <w:r>
        <w:rPr>
          <w:rFonts w:ascii="Times New Roman" w:hAnsi="Times New Roman" w:eastAsia="Times New Roman" w:cs="Google Sans"/>
          <w:color w:val="1F1F1F"/>
          <w:sz w:val="24"/>
          <w:rtl w:val="0"/>
        </w:rPr>
        <w:t xml:space="preserve"> High-low range relative to close, and close-to-close vs. high-low volatility ratio.</w:t>
      </w:r>
    </w:p>
    <w:p w14:paraId="000000D0">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6.2.2 Feature Standardization</w:t>
      </w:r>
    </w:p>
    <w:p w14:paraId="254BA8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All features are standardized using rolling </w:t>
      </w:r>
      <m:oMath>
        <m:r>
          <m:rPr/>
          <m:t>z</m:t>
        </m:r>
      </m:oMath>
      <w:r>
        <w:rPr>
          <w:rFonts w:ascii="Times New Roman" w:hAnsi="Times New Roman" w:eastAsia="Times New Roman"/>
        </w:rPr>
        <w:t>-scores:</w:t>
      </w:r>
    </w:p>
    <w:p w14:paraId="48BAF9A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t>μ</m:t>
            </m:r>
          </m:e>
          <m:sub>
            <m:r>
              <m:rPr/>
              <m:t>t</m:t>
            </m:r>
            <m:r>
              <m:rPr>
                <m:sty m:val="p"/>
              </m:rPr>
              <m:t>,</m:t>
            </m:r>
            <m:r>
              <m:rPr/>
              <m:t>j</m:t>
            </m:r>
          </m:sub>
          <m:sup>
            <m:d>
              <m:dPr>
                <m:sepChr m:val=""/>
              </m:dPr>
              <m:e>
                <m:r>
                  <m:rPr/>
                  <m:t>252</m:t>
                </m:r>
              </m:e>
            </m:d>
          </m:sup>
        </m:sSubSup>
      </m:oMath>
      <w:r>
        <w:rPr>
          <w:rFonts w:ascii="Times New Roman" w:hAnsi="Times New Roman" w:eastAsia="Times New Roman"/>
        </w:rPr>
        <w:t xml:space="preserve"> and </w:t>
      </w:r>
      <m:oMath>
        <m:sSubSup>
          <m:sSubSupPr/>
          <m:e>
            <m:r>
              <m:rPr/>
              <m:t>σ</m:t>
            </m:r>
          </m:e>
          <m:sub>
            <m:r>
              <m:rPr/>
              <m:t>t</m:t>
            </m:r>
            <m:r>
              <m:rPr>
                <m:sty m:val="p"/>
              </m:rPr>
              <m:t>,</m:t>
            </m:r>
            <m:r>
              <m:rPr/>
              <m:t>j</m:t>
            </m:r>
          </m:sub>
          <m:sup>
            <m:d>
              <m:dPr>
                <m:sepChr m:val=""/>
              </m:dPr>
              <m:e>
                <m:r>
                  <m:rPr/>
                  <m:t>252</m:t>
                </m:r>
              </m:e>
            </m:d>
          </m:sup>
        </m:sSubSup>
      </m:oMath>
      <w:r>
        <w:rPr>
          <w:rFonts w:ascii="Times New Roman" w:hAnsi="Times New Roman" w:eastAsia="Times New Roman"/>
        </w:rPr>
        <w:t xml:space="preserve"> are the rolling mean and standard deviation of feature </w:t>
      </w:r>
      <m:oMath>
        <m:r>
          <m:rPr/>
          <m:t>j</m:t>
        </m:r>
      </m:oMath>
      <w:r>
        <w:rPr>
          <w:rFonts w:ascii="Times New Roman" w:hAnsi="Times New Roman" w:eastAsia="Times New Roman"/>
        </w:rPr>
        <w:t xml:space="preserve"> over the previous 252 trading days.</w:t>
      </w:r>
    </w:p>
    <w:p w14:paraId="000000D3">
      <w:pPr>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Look-Ahead Prevention:</w:t>
      </w:r>
      <w:r>
        <w:rPr>
          <w:rFonts w:ascii="Times New Roman" w:hAnsi="Times New Roman" w:eastAsia="Times New Roman" w:cs="Google Sans"/>
          <w:color w:val="1F1F1F"/>
          <w:sz w:val="24"/>
          <w:rtl w:val="0"/>
        </w:rPr>
        <w:t xml:space="preserve"> All features use only past data (no future information). Standardization uses an expanding window for the first </w:t>
      </w:r>
      <m:oMath>
        <m:r>
          <m:rPr/>
          <m:t>252</m:t>
        </m:r>
      </m:oMath>
      <w:r>
        <w:rPr>
          <w:rFonts w:ascii="Times New Roman" w:hAnsi="Times New Roman" w:eastAsia="Times New Roman" w:cs="Google Sans"/>
          <w:color w:val="1F1F1F"/>
          <w:sz w:val="24"/>
          <w:rtl w:val="0"/>
        </w:rPr>
        <w:t xml:space="preserve"> days.</w:t>
      </w:r>
    </w:p>
    <w:p w14:paraId="000000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6.2.3 Context Features for LinUCB</w:t>
      </w:r>
    </w:p>
    <w:p w14:paraId="000000D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3 context features for the bandit are:</w:t>
      </w:r>
    </w:p>
    <w:p w14:paraId="000000D6">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Empirical Mode Decomposition (EMD) Trend: First intrinsic mode function of the rolling window of price observations computed using Empirical Mode Decomposition to capture short-term momentum.</w:t>
      </w:r>
    </w:p>
    <w:p w14:paraId="000000D7">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Current volatility relative to historical distribution, computed as a percentile rank over a 252-day rolling window to identify regimes.</w:t>
      </w:r>
    </w:p>
    <w:p w14:paraId="000000D8">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Consistency of recent price movements, computed as the ratio of directional movement to total movement.</w:t>
      </w:r>
    </w:p>
    <w:p w14:paraId="000000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 Protocol</w:t>
      </w:r>
    </w:p>
    <w:p w14:paraId="000000D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6.3.1 Walk-Forward Validation</w:t>
      </w:r>
    </w:p>
    <w:p w14:paraId="000000DB">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Training Window:</w:t>
      </w:r>
      <w:r>
        <w:rPr>
          <w:rFonts w:ascii="Times New Roman" w:hAnsi="Times New Roman" w:eastAsia="Times New Roman" w:cs="Google Sans"/>
          <w:color w:val="1F1F1F"/>
          <w:sz w:val="24"/>
          <w:rtl w:val="0"/>
        </w:rPr>
        <w:t xml:space="preserve"> </w:t>
      </w:r>
      <m:oMath>
        <m:r>
          <m:rPr/>
          <w:rPr>
            <w:rFonts w:hint="eastAsia"/>
          </w:rPr>
          <m:t>504 trading days, approximately two years.</m:t>
        </m:r>
      </m:oMath>
    </w:p>
    <w:p w14:paraId="000000DC">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Test Window:</w:t>
      </w:r>
      <w:r>
        <w:rPr>
          <w:rFonts w:ascii="Times New Roman" w:hAnsi="Times New Roman" w:eastAsia="Times New Roman" w:cs="Google Sans"/>
          <w:color w:val="1F1F1F"/>
          <w:sz w:val="24"/>
          <w:rtl w:val="0"/>
        </w:rPr>
        <w:t xml:space="preserve"> </w:t>
      </w:r>
      <m:oMath>
        <m:r>
          <m:rPr/>
          <w:rPr>
            <w:rFonts w:hint="eastAsia"/>
          </w:rPr>
          <m:t>63 trading days, approximately one quarter.</m:t>
        </m:r>
      </m:oMath>
    </w:p>
    <w:p w14:paraId="000000DD">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Step Size: 63 trading days.</w:t>
      </w:r>
    </w:p>
    <w:p w14:paraId="000000DE">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Procedure: Train the GBT on days t−503,…,t; generate predictions for days t+1,…,t+63; then step forward by 63 days and repeat.</w:t>
      </w:r>
    </w:p>
    <w:p w14:paraId="000000D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6.3.2 GBT Predictor</w:t>
      </w:r>
    </w:p>
    <w:p w14:paraId="000000E0">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Algorithm:</w:t>
      </w:r>
      <w:r>
        <w:rPr>
          <w:rFonts w:ascii="Times New Roman" w:hAnsi="Times New Roman" w:eastAsia="Times New Roman" w:cs="Google Sans"/>
          <w:color w:val="1F1F1F"/>
          <w:sz w:val="24"/>
          <w:rtl w:val="0"/>
        </w:rPr>
        <w:t xml:space="preserve"> XGBoost (Gradient Boosted Trees)</w:t>
      </w:r>
    </w:p>
    <w:p w14:paraId="000000E1">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Hyperparameters:</w:t>
      </w:r>
      <w:r>
        <w:rPr>
          <w:rFonts w:ascii="Times New Roman" w:hAnsi="Times New Roman" w:eastAsia="Times New Roman" w:cs="Google Sans"/>
          <w:color w:val="1F1F1F"/>
          <w:sz w:val="24"/>
          <w:rtl w:val="0"/>
        </w:rPr>
        <w:t xml:space="preserve"> n_estimators: 100, max_depth: 5, learning_rate: 0.1, subsample: 0.8, colsample_bytree: 0.8, min_child_weight: 5, random_state: 42.</w:t>
      </w:r>
    </w:p>
    <w:p w14:paraId="000000E2">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Label Definition: </w:t>
      </w:r>
      <m:oMath>
        <m:sSub>
          <m:sSubPr/>
          <m:e>
            <m:r>
              <m:rPr/>
              <m:t>y</m:t>
            </m:r>
          </m:e>
          <m:sub>
            <m:r>
              <m:rPr/>
              <m:t>t</m:t>
            </m:r>
          </m:sub>
        </m:sSub>
        <m:r>
          <m:rPr>
            <m:sty m:val="p"/>
          </m:rPr>
          <m:t>=</m:t>
        </m:r>
        <m:r>
          <m:rPr>
            <m:sty m:val="p"/>
            <m:scr m:val="double-struck"/>
          </m:rPr>
          <m:t>1</m:t>
        </m:r>
        <m:d>
          <m:dPr>
            <m:begChr m:val="["/>
            <m:sepChr m:val=""/>
            <m:endChr m:val="]"/>
          </m:dPr>
          <m:e>
            <m:sSub>
              <m:sSubPr/>
              <m:e>
                <m:r>
                  <m:rPr/>
                  <m:t>r</m:t>
                </m:r>
              </m:e>
              <m:sub>
                <m:r>
                  <m:rPr/>
                  <m:t>t</m:t>
                </m:r>
                <m:r>
                  <m:rPr>
                    <m:sty m:val="p"/>
                  </m:rPr>
                  <m:t>+</m:t>
                </m:r>
                <m:r>
                  <m:rPr/>
                  <m:t>1</m:t>
                </m:r>
              </m:sub>
            </m:sSub>
            <m:r>
              <m:rPr>
                <m:sty m:val="p"/>
              </m:rPr>
              <m:t>−</m:t>
            </m:r>
            <m:sSub>
              <m:sSubPr/>
              <m:e>
                <m:r>
                  <m:rPr/>
                  <m:t>r</m:t>
                </m:r>
              </m:e>
              <m:sub>
                <m:r>
                  <m:rPr/>
                  <m:t>f</m:t>
                </m:r>
                <m:r>
                  <m:rPr>
                    <m:sty m:val="p"/>
                  </m:rPr>
                  <m:t>,</m:t>
                </m:r>
                <m:r>
                  <m:rPr/>
                  <m:t>t</m:t>
                </m:r>
              </m:sub>
            </m:sSub>
            <m:r>
              <m:rPr>
                <m:sty m:val="p"/>
              </m:rPr>
              <m:t>&gt;</m:t>
            </m:r>
            <m:r>
              <m:rPr/>
              <m:t>0</m:t>
            </m:r>
          </m:e>
        </m:d>
      </m:oMath>
      <w:r>
        <w:rPr>
          <w:rFonts w:ascii="Times New Roman" w:hAnsi="Times New Roman" w:eastAsia="Times New Roman"/>
        </w:rPr>
        <w:t xml:space="preserve">, where </w:t>
      </w:r>
      <m:oMath>
        <m:sSub>
          <m:sSubPr/>
          <m:e>
            <m:r>
              <m:rPr/>
              <m:t>r</m:t>
            </m:r>
          </m:e>
          <m:sub>
            <m:r>
              <m:rPr/>
              <m:t>f</m:t>
            </m:r>
            <m:r>
              <m:rPr>
                <m:sty m:val="p"/>
              </m:rPr>
              <m:t>,</m:t>
            </m:r>
            <m:r>
              <m:rPr/>
              <m:t>t</m:t>
            </m:r>
          </m:sub>
        </m:sSub>
      </m:oMath>
      <w:r>
        <w:rPr>
          <w:rFonts w:ascii="Times New Roman" w:hAnsi="Times New Roman" w:eastAsia="Times New Roman"/>
        </w:rPr>
        <w:t xml:space="preserve"> is the one-month T-bill rate.</w:t>
      </w:r>
    </w:p>
    <w:p w14:paraId="000000E3">
      <w:pPr>
        <w:keepNext w:val="0"/>
        <w:keepLines w:val="0"/>
        <w:widowControl/>
        <w:suppressLineNumbers w:val="0"/>
        <w:jc w:val="left"/>
        <w:rPr>
          <w:rFonts w:hint="default"/>
          <w:lang w:val="en-US"/>
        </w:rPr>
      </w:pPr>
      <w:r>
        <w:rPr>
          <w:rFonts w:ascii="Times New Roman" w:hAnsi="Times New Roman" w:eastAsia="Times New Roman"/>
        </w:rPr>
        <w:t xml:space="preserve">Prediction Output: </w:t>
      </w:r>
      <m:oMath>
        <m:sSub>
          <m:sSubPr/>
          <m:e>
            <m:acc>
              <m:accPr/>
              <m:e>
                <m:r>
                  <m:rPr/>
                  <m:t>p</m:t>
                </m:r>
              </m:e>
            </m:acc>
          </m:e>
          <m:sub>
            <m:r>
              <m:rPr/>
              <m:t>t</m:t>
            </m:r>
          </m:sub>
        </m:sSub>
        <m:r>
          <m:rPr>
            <m:sty m:val="p"/>
          </m:rPr>
          <m:t>=Pr</m:t>
        </m:r>
        <m:d>
          <m:dPr>
            <m:sepChr m:val=""/>
          </m:dPr>
          <m:e>
            <m:sSub>
              <m:sSubPr/>
              <m:e>
                <m:r>
                  <m:rPr/>
                  <m:t>y</m:t>
                </m:r>
              </m:e>
              <m:sub>
                <m:r>
                  <m:rPr/>
                  <m:t>t</m:t>
                </m:r>
              </m:sub>
            </m:sSub>
            <m:r>
              <m:rPr>
                <m:sty m:val="p"/>
              </m:rPr>
              <m:t>=</m:t>
            </m:r>
            <m:r>
              <m:rPr/>
              <m:t>1</m:t>
            </m:r>
            <m:r>
              <m:rPr>
                <m:sty m:val="p"/>
              </m:rPr>
              <m:t>∣</m:t>
            </m:r>
            <m:sSub>
              <m:sSubPr/>
              <m:e>
                <m:r>
                  <m:rPr>
                    <m:sty m:val="b"/>
                  </m:rPr>
                  <m:t>x</m:t>
                </m:r>
              </m:e>
              <m:sub>
                <m:r>
                  <m:rPr/>
                  <m:t>t</m:t>
                </m:r>
              </m:sub>
            </m:sSub>
          </m:e>
        </m:d>
        <m:r>
          <m:rPr>
            <m:sty m:val="p"/>
          </m:rPr>
          <m:t>∈</m:t>
        </m:r>
        <m:d>
          <m:dPr>
            <m:begChr m:val="["/>
            <m:sepChr m:val=""/>
            <m:endChr m:val="]"/>
          </m:dPr>
          <m:e>
            <m:r>
              <m:rPr/>
              <m:t>0</m:t>
            </m:r>
            <m:r>
              <m:rPr>
                <m:sty m:val="p"/>
              </m:rPr>
              <m:t>,</m:t>
            </m:r>
            <m:r>
              <m:rPr/>
              <m:t>1</m:t>
            </m:r>
          </m:e>
        </m:d>
      </m:oMath>
      <w:r>
        <w:rPr>
          <w:rFonts w:ascii="Times New Roman" w:hAnsi="Times New Roman" w:eastAsia="Times New Roman"/>
        </w:rPr>
        <w:t>.</w:t>
      </w:r>
    </w:p>
    <w:p w14:paraId="000000E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6.3.3 LinUCB Bandit</w:t>
      </w:r>
    </w:p>
    <w:p w14:paraId="000000E5">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Initialization: </w:t>
      </w:r>
      <m:oMath>
        <m:sSub>
          <m:sSubPr/>
          <m:e>
            <m:r>
              <m:rPr/>
              <m:t>A</m:t>
            </m:r>
          </m:e>
          <m:sub>
            <m:r>
              <m:rPr/>
              <m:t>k</m:t>
            </m:r>
          </m:sub>
        </m:sSub>
        <m:r>
          <m:rPr>
            <m:sty m:val="p"/>
          </m:rPr>
          <m:t>=</m:t>
        </m:r>
        <m:sSub>
          <m:sSubPr/>
          <m:e>
            <m:r>
              <m:rPr/>
              <m:t>I</m:t>
            </m:r>
          </m:e>
          <m:sub>
            <m:r>
              <m:rPr/>
              <m:t>d</m:t>
            </m:r>
          </m:sub>
        </m:sSub>
        <m:r>
          <m:rPr>
            <m:sty m:val="p"/>
          </m:rPr>
          <m:t>,</m:t>
        </m:r>
        <m:r>
          <m:rPr/>
          <m:t> </m:t>
        </m:r>
        <m:sSub>
          <m:sSubPr/>
          <m:e>
            <m:r>
              <m:rPr>
                <m:sty m:val="b"/>
              </m:rPr>
              <m:t>b</m:t>
            </m:r>
          </m:e>
          <m:sub>
            <m:r>
              <m:rPr/>
              <m:t>k</m:t>
            </m:r>
          </m:sub>
        </m:sSub>
        <m:r>
          <m:rPr>
            <m:sty m:val="p"/>
          </m:rPr>
          <m:t>=</m:t>
        </m:r>
        <m:r>
          <m:rPr>
            <m:sty m:val="b"/>
          </m:rPr>
          <m:t>0</m:t>
        </m:r>
      </m:oMath>
      <w:r>
        <w:rPr>
          <w:rFonts w:ascii="Times New Roman" w:hAnsi="Times New Roman" w:eastAsia="Times New Roman"/>
        </w:rPr>
        <w:t xml:space="preserve"> for each action </w:t>
      </w:r>
      <m:oMath>
        <m:r>
          <m:rPr/>
          <m:t>k</m:t>
        </m:r>
      </m:oMath>
      <w:r>
        <w:rPr>
          <w:rFonts w:ascii="Times New Roman" w:hAnsi="Times New Roman" w:eastAsia="Times New Roman"/>
        </w:rPr>
        <w:t>.</w:t>
      </w:r>
    </w:p>
    <w:p w14:paraId="000000E6">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Action Selection: </w:t>
      </w:r>
      <m:oMath>
        <m:sSub>
          <m:sSubPr/>
          <m:e>
            <m:r>
              <m:rPr/>
              <m:t>a</m:t>
            </m:r>
          </m:e>
          <m:sub>
            <m:r>
              <m:rPr/>
              <m:t>t</m:t>
            </m:r>
          </m:sub>
        </m:sSub>
        <m:r>
          <m:rPr>
            <m:sty m:val="p"/>
          </m:rPr>
          <m:t>=arg</m:t>
        </m:r>
        <m:sSub>
          <m:sSubPr/>
          <m:e>
            <m:r>
              <m:rPr>
                <m:sty m:val="p"/>
              </m:rPr>
              <m:t>max</m:t>
            </m:r>
          </m:e>
          <m:sub>
            <m:r>
              <m:rPr/>
              <m:t>k</m:t>
            </m:r>
          </m:sub>
        </m:sSub>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sty m:val="b"/>
              </m:rPr>
              <m:t>θ</m:t>
            </m:r>
          </m:e>
          <m:sub>
            <m:r>
              <m:rPr/>
              <m:t>k</m:t>
            </m:r>
          </m:sub>
        </m:sSub>
        <m:r>
          <m:rPr>
            <m:sty m:val="p"/>
          </m:rPr>
          <m:t>=</m:t>
        </m:r>
        <m:sSubSup>
          <m:sSubSupPr/>
          <m:e>
            <m:r>
              <m:rPr/>
              <m:t>A</m:t>
            </m:r>
          </m:e>
          <m:sub>
            <m:r>
              <m:rPr/>
              <m:t>k</m:t>
            </m:r>
          </m:sub>
          <m:sup>
            <m:r>
              <m:rPr>
                <m:sty m:val="p"/>
              </m:rPr>
              <m:t>−</m:t>
            </m:r>
            <m:r>
              <m:rPr/>
              <m:t>1</m:t>
            </m:r>
          </m:sup>
        </m:sSubSup>
        <m:sSub>
          <m:sSubPr/>
          <m:e>
            <m:r>
              <m:rPr>
                <m:sty m:val="b"/>
              </m:rPr>
              <m:t>b</m:t>
            </m:r>
          </m:e>
          <m:sub>
            <m:r>
              <m:rPr/>
              <m:t>k</m:t>
            </m:r>
          </m:sub>
        </m:sSub>
      </m:oMath>
      <w:r>
        <w:rPr>
          <w:rFonts w:ascii="Times New Roman" w:hAnsi="Times New Roman" w:eastAsia="Times New Roman"/>
        </w:rPr>
        <w:t>.</w:t>
      </w:r>
    </w:p>
    <w:p w14:paraId="000000E7">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Update Rule: </w:t>
      </w:r>
      <m:oMath>
        <m:sSub>
          <m:sSubPr/>
          <m:e>
            <m:r>
              <m:rPr/>
              <m:t>A</m:t>
            </m:r>
          </m:e>
          <m:sub>
            <m:r>
              <m:rPr/>
              <m:t>k</m:t>
            </m:r>
          </m:sub>
        </m:sSub>
        <m:r>
          <m:rPr>
            <m:sty m:val="p"/>
          </m:rPr>
          <m:t>←</m:t>
        </m:r>
        <m:sSub>
          <m:sSubPr/>
          <m:e>
            <m:r>
              <m:rPr/>
              <m:t>A</m:t>
            </m:r>
          </m:e>
          <m:sub>
            <m:r>
              <m:rPr/>
              <m:t>k</m:t>
            </m:r>
          </m:sub>
        </m:sSub>
        <m:r>
          <m:rPr>
            <m:sty m:val="p"/>
          </m:rPr>
          <m:t>+</m:t>
        </m:r>
        <m:sSub>
          <m:sSubPr/>
          <m:e>
            <m:r>
              <m:rPr>
                <m:sty m:val="b"/>
              </m:rPr>
              <m:t>c</m:t>
            </m:r>
          </m:e>
          <m:sub>
            <m:r>
              <m:rPr/>
              <m:t>t</m:t>
            </m:r>
          </m:sub>
        </m:sSub>
        <m:sSubSup>
          <m:sSubSupPr/>
          <m:e>
            <m:r>
              <m:rPr>
                <m:sty m:val="b"/>
              </m:rPr>
              <m:t>c</m:t>
            </m:r>
          </m:e>
          <m:sub>
            <m:r>
              <m:rPr/>
              <m:t>t</m:t>
            </m:r>
          </m:sub>
          <m:sup>
            <m:r>
              <m:rPr>
                <m:sty m:val="p"/>
                <m:scr m:val="sans-serif"/>
              </m:rPr>
              <m:t>T</m:t>
            </m:r>
          </m:sup>
        </m:sSubSup>
        <m:r>
          <m:rPr>
            <m:sty m:val="p"/>
          </m:rPr>
          <m:t>,</m:t>
        </m:r>
        <m:r>
          <m:rPr/>
          <m:t>  </m:t>
        </m:r>
        <m:sSub>
          <m:sSubPr/>
          <m:e>
            <m:r>
              <m:rPr>
                <m:sty m:val="b"/>
              </m:rPr>
              <m:t>b</m:t>
            </m:r>
          </m:e>
          <m:sub>
            <m:r>
              <m:rPr/>
              <m:t>k</m:t>
            </m:r>
          </m:sub>
        </m:sSub>
        <m:r>
          <m:rPr>
            <m:sty m:val="p"/>
          </m:rPr>
          <m:t>←</m:t>
        </m:r>
        <m:sSub>
          <m:sSubPr/>
          <m:e>
            <m:r>
              <m:rPr>
                <m:sty m:val="b"/>
              </m:rPr>
              <m:t>b</m:t>
            </m:r>
          </m:e>
          <m:sub>
            <m:r>
              <m:rPr/>
              <m:t>k</m:t>
            </m:r>
          </m:sub>
        </m:sSub>
        <m:r>
          <m:rPr>
            <m:sty m:val="p"/>
          </m:rPr>
          <m:t>+</m:t>
        </m:r>
        <m:sSub>
          <m:sSubPr/>
          <m:e>
            <m:r>
              <m:rPr/>
              <m:t>r</m:t>
            </m:r>
          </m:e>
          <m:sub>
            <m:r>
              <m:rPr/>
              <m:t>t</m:t>
            </m:r>
          </m:sub>
        </m:sSub>
        <m:sSub>
          <m:sSubPr/>
          <m:e>
            <m:r>
              <m:rPr>
                <m:sty m:val="b"/>
              </m:rPr>
              <m:t>c</m:t>
            </m:r>
          </m:e>
          <m:sub>
            <m:r>
              <m:rPr/>
              <m:t>t</m:t>
            </m:r>
          </m:sub>
        </m:sSub>
      </m:oMath>
      <w:r>
        <w:rPr>
          <w:rFonts w:ascii="Times New Roman" w:hAnsi="Times New Roman" w:eastAsia="Times New Roman"/>
        </w:rPr>
        <w:t xml:space="preserve"> for the selected action </w:t>
      </w:r>
      <m:oMath>
        <m:r>
          <m:rPr/>
          <m:t>k</m:t>
        </m:r>
      </m:oMath>
      <w:r>
        <w:rPr>
          <w:rFonts w:ascii="Times New Roman" w:hAnsi="Times New Roman" w:eastAsia="Times New Roman"/>
        </w:rPr>
        <w:t>.</w:t>
      </w:r>
    </w:p>
    <w:p w14:paraId="73ACA8A4">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05" w:leftChars="0"/>
      </w:pPr>
    </w:p>
    <w:p w14:paraId="000000E8">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Reward: </w:t>
      </w:r>
      <m:oMath>
        <m:sSub>
          <m:sSubPr/>
          <m:e>
            <m:acc>
              <m:accPr>
                <m:chr m:val="̃"/>
              </m:accPr>
              <m:e>
                <m:r>
                  <m:rPr/>
                  <m:t>r</m:t>
                </m:r>
              </m:e>
            </m:acc>
          </m:e>
          <m:sub>
            <m:r>
              <m:rPr/>
              <m:t>t</m:t>
            </m:r>
          </m:sub>
        </m:sSub>
        <m:r>
          <m:rPr>
            <m:sty m:val="p"/>
          </m:rPr>
          <m:t>=</m:t>
        </m:r>
        <m:sSub>
          <m:sSubPr/>
          <m:e>
            <m:r>
              <m:rPr/>
              <m:t>s</m:t>
            </m:r>
          </m:e>
          <m:sub>
            <m:r>
              <m:rPr/>
              <m:t>t</m:t>
            </m:r>
          </m:sub>
        </m:sSub>
        <m:sSub>
          <m:sSubPr/>
          <m:e>
            <m:r>
              <m:rPr/>
              <m:t>r</m:t>
            </m:r>
          </m:e>
          <m:sub>
            <m:r>
              <m:rPr/>
              <m:t>t</m:t>
            </m:r>
            <m:r>
              <m:rPr>
                <m:sty m:val="p"/>
              </m:rPr>
              <m:t>+</m:t>
            </m:r>
            <m:r>
              <m:rPr/>
              <m:t>1</m:t>
            </m:r>
          </m:sub>
        </m:sSub>
      </m:oMath>
      <w:r>
        <w:rPr>
          <w:rFonts w:ascii="Times New Roman" w:hAnsi="Times New Roman" w:eastAsia="Times New Roman"/>
        </w:rPr>
        <w:t xml:space="preserve">, where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is the trading signal and </w:t>
      </w:r>
      <m:oMath>
        <m:sSub>
          <m:sSubPr/>
          <m:e>
            <m:r>
              <m:rPr/>
              <m:t>r</m:t>
            </m:r>
          </m:e>
          <m:sub>
            <m:r>
              <m:rPr/>
              <m:t>t</m:t>
            </m:r>
            <m:r>
              <m:rPr>
                <m:sty m:val="p"/>
              </m:rPr>
              <m:t>+</m:t>
            </m:r>
            <m:r>
              <m:rPr/>
              <m:t>1</m:t>
            </m:r>
          </m:sub>
        </m:sSub>
      </m:oMath>
      <w:r>
        <w:rPr>
          <w:rFonts w:ascii="Times New Roman" w:hAnsi="Times New Roman" w:eastAsia="Times New Roman"/>
        </w:rPr>
        <w:t xml:space="preserve"> is the next-day return.</w:t>
      </w:r>
    </w:p>
    <w:p w14:paraId="000000E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6.3.4 Source Policy Training</w:t>
      </w:r>
    </w:p>
    <w:p w14:paraId="000000E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Train LinUCB on source assets using walk-forward windows, collect actions from all test windows, and compute diversity metrics. After training, freeze the entire bandit state </w:t>
      </w:r>
      <m:oMath>
        <m:r>
          <m:rPr>
            <m:sty m:val="p"/>
          </m:rPr>
          <m:t>{</m:t>
        </m:r>
        <m:sSub>
          <m:sSubPr/>
          <m:e>
            <m:r>
              <m:rPr/>
              <m:t>A</m:t>
            </m:r>
          </m:e>
          <m:sub>
            <m:r>
              <m:rPr/>
              <m:t>k</m:t>
            </m:r>
          </m:sub>
        </m:sSub>
        <m:r>
          <m:rPr>
            <m:sty m:val="p"/>
          </m:rPr>
          <m:t>,</m:t>
        </m:r>
        <m:sSub>
          <m:sSubPr/>
          <m:e>
            <m:r>
              <m:rPr>
                <m:sty m:val="b"/>
              </m:rPr>
              <m:t>b</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No further learning is allowed on target assets.</w:t>
      </w:r>
    </w:p>
    <w:p w14:paraId="000000E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6.3.5 Transfer Evaluation</w:t>
      </w:r>
    </w:p>
    <w:p w14:paraId="000000E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Apply the frozen source policy to target assets, generate signals for all target test windows, and compute performance metrics.</w:t>
      </w:r>
    </w:p>
    <w:p w14:paraId="000000E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6.4 Execution &amp; Reproducibility</w:t>
      </w:r>
    </w:p>
    <w:p w14:paraId="28FA00F3">
      <w:pPr>
        <w:keepNext w:val="0"/>
        <w:keepLines w:val="0"/>
        <w:widowControl/>
        <w:suppressLineNumbers w:val="0"/>
        <w:jc w:val="left"/>
      </w:pPr>
      <w:r>
        <w:rPr>
          <w:rFonts w:ascii="Times New Roman" w:hAnsi="Times New Roman" w:eastAsia="Times New Roman" w:cs="Google Sans"/>
          <w:b/>
          <w:bCs/>
          <w:color w:val="1F1F1F"/>
          <w:sz w:val="24"/>
          <w:rtl w:val="0"/>
        </w:rPr>
        <w:t>Hardware:</w:t>
      </w:r>
      <w:r>
        <w:rPr>
          <w:rFonts w:ascii="Times New Roman" w:hAnsi="Times New Roman" w:eastAsia="Times New Roman" w:cs="Google Sans"/>
          <w:color w:val="1F1F1F"/>
          <w:sz w:val="24"/>
          <w:rtl w:val="0"/>
        </w:rPr>
        <w:t xml:space="preserve"> 64 GB RAM, 16 CPU cores. macOS 13.0, Python 3.9.18. Runtime: </w:t>
      </w:r>
      <w:r>
        <w:rPr>
          <w:rFonts w:ascii="宋体" w:hAnsi="宋体" w:eastAsia="宋体" w:cs="宋体"/>
          <w:kern w:val="0"/>
          <w:sz w:val="24"/>
          <w:szCs w:val="24"/>
          <w:lang w:val="en-US" w:eastAsia="zh-CN" w:bidi="ar"/>
        </w:rPr>
        <w:t>approximately 4–6</w:t>
      </w:r>
    </w:p>
    <w:p w14:paraId="000000EE">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firstLine="120" w:firstLineChars="50"/>
      </w:pPr>
      <w:r>
        <w:rPr>
          <w:rFonts w:ascii="Times New Roman" w:hAnsi="Times New Roman" w:eastAsia="Times New Roman" w:cs="Google Sans"/>
          <w:color w:val="1F1F1F"/>
          <w:sz w:val="24"/>
          <w:rtl w:val="0"/>
        </w:rPr>
        <w:t>hours.</w:t>
      </w:r>
    </w:p>
    <w:p w14:paraId="000000EF">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Random Seed:</w:t>
      </w:r>
      <w:r>
        <w:rPr>
          <w:rFonts w:ascii="Times New Roman" w:hAnsi="Times New Roman" w:eastAsia="Times New Roman" w:cs="Google Sans"/>
          <w:color w:val="1F1F1F"/>
          <w:sz w:val="24"/>
          <w:rtl w:val="0"/>
        </w:rPr>
        <w:t xml:space="preserve"> Set NumPy and XGBoost random_seed = 42.</w:t>
      </w:r>
    </w:p>
    <w:p w14:paraId="000000F0">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Signal Execution:</w:t>
      </w:r>
      <w:r>
        <w:rPr>
          <w:rFonts w:ascii="Times New Roman" w:hAnsi="Times New Roman" w:eastAsia="Times New Roman" w:cs="Google Sans"/>
          <w:color w:val="1F1F1F"/>
          <w:sz w:val="24"/>
          <w:rtl w:val="0"/>
        </w:rPr>
        <w:t xml:space="preserve"> Signals are generated at the close of trading day </w:t>
      </w:r>
      <m:oMath>
        <m:r>
          <m:rPr/>
          <m:t>t</m:t>
        </m:r>
      </m:oMath>
      <w:r>
        <w:rPr>
          <w:rFonts w:ascii="Times New Roman" w:hAnsi="Times New Roman" w:eastAsia="Times New Roman" w:cs="Google Sans"/>
          <w:color w:val="1F1F1F"/>
          <w:sz w:val="24"/>
          <w:rtl w:val="0"/>
        </w:rPr>
        <w:t xml:space="preserve">; position returns are realized from </w:t>
      </w:r>
      <m:oMath>
        <m:r>
          <m:rPr/>
          <m:t>t</m:t>
        </m:r>
      </m:oMath>
      <w:r>
        <w:rPr>
          <w:rFonts w:ascii="Times New Roman" w:hAnsi="Times New Roman" w:eastAsia="Times New Roman" w:cs="Google Sans"/>
          <w:color w:val="1F1F1F"/>
          <w:sz w:val="24"/>
          <w:rtl w:val="0"/>
        </w:rPr>
        <w:t xml:space="preserve"> to </w:t>
      </w:r>
      <m:oMath>
        <m:r>
          <m:rPr/>
          <m:t>t+1</m:t>
        </m:r>
      </m:oMath>
      <w:r>
        <w:rPr>
          <w:rFonts w:ascii="Times New Roman" w:hAnsi="Times New Roman" w:eastAsia="Times New Roman" w:cs="Google Sans"/>
          <w:color w:val="1F1F1F"/>
          <w:sz w:val="24"/>
          <w:rtl w:val="0"/>
        </w:rPr>
        <w:t>. There is no same-day execution.</w:t>
      </w:r>
    </w:p>
    <w:p w14:paraId="000000F1">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 Results</w:t>
      </w:r>
    </w:p>
    <w:p w14:paraId="000000F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7.1 Source Diversity During Training</w:t>
      </w:r>
    </w:p>
    <w:p w14:paraId="000000F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begin by examining the diversity of policies trained on the six source assets: SPY, QQQ, EEM, IWM, TLT, and GLD. Table 1 reports the source policy diversity metrics computed over the walk-forward test periods.</w:t>
      </w:r>
    </w:p>
    <w:p w14:paraId="000000F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 Source Policy Diversity</w:t>
      </w:r>
    </w:p>
    <w:p w14:paraId="000000F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Diversity metrics for policies trained on the six source assets.</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i/>
          <w:iCs/>
          <w:color w:val="1F1F1F"/>
        </w:rPr>
      </w:pPr>
    </w:p>
    <w:tbl>
      <w:tblPr>
        <w:tblStyle w:val="1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47"/>
        <w:gridCol w:w="869"/>
        <w:gridCol w:w="1707"/>
        <w:gridCol w:w="1361"/>
        <w:gridCol w:w="1562"/>
        <w:gridCol w:w="1797"/>
        <w:gridCol w:w="1217"/>
      </w:tblGrid>
      <w:tr w14:paraId="1608943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Nobs​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(τ)</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Norm.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Effective Actions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Status</w:t>
            </w:r>
          </w:p>
        </w:tc>
      </w:tr>
      <w:tr w14:paraId="3A3FB5C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03D04B6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15392E6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26967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6E5CA9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3A7DE3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bl>
    <w:p w14:paraId="0000012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reveal a striking pattern: four of the six source policies (SPY, QQQ, EEM, GLD) completely degenerate during training, selecting a single action on </w:t>
      </w:r>
      <m:oMath>
        <m:r>
          <m:rPr/>
          <m:t>100%</m:t>
        </m:r>
      </m:oMath>
      <w:r>
        <w:rPr>
          <w:rFonts w:ascii="Times New Roman" w:hAnsi="Times New Roman" w:eastAsia="Times New Roman" w:cs="Google Sans"/>
          <w:color w:val="1F1F1F"/>
          <w:sz w:val="24"/>
          <w:rtl w:val="0"/>
        </w:rPr>
        <w:t xml:space="preserve"> of test observations. These policies achieve zero normalized entropy and exactly one effective action, indicating complete loss of contextual adaptation.</w:t>
      </w:r>
    </w:p>
    <w:p w14:paraId="000001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the TLT and IWM source policies maintain meaningful diversity. For example, TLT achieves a modal share of </w:t>
      </w:r>
      <m:oMath>
        <m:r>
          <m:rPr/>
          <m:t>0.73</m:t>
        </m:r>
      </m:oMath>
      <w:r>
        <w:rPr>
          <w:rFonts w:ascii="Times New Roman" w:hAnsi="Times New Roman" w:eastAsia="Times New Roman" w:cs="Google Sans"/>
          <w:color w:val="1F1F1F"/>
          <w:sz w:val="24"/>
          <w:rtl w:val="0"/>
        </w:rPr>
        <w:t xml:space="preserve">, a normalized entropy of </w:t>
      </w:r>
      <m:oMath>
        <m:r>
          <m:rPr/>
          <m:t>0.65</m:t>
        </m:r>
      </m:oMath>
      <w:r>
        <w:rPr>
          <w:rFonts w:ascii="Times New Roman" w:hAnsi="Times New Roman" w:eastAsia="Times New Roman" w:cs="Google Sans"/>
          <w:color w:val="1F1F1F"/>
          <w:sz w:val="24"/>
          <w:rtl w:val="0"/>
        </w:rPr>
        <w:t xml:space="preserve">, and </w:t>
      </w:r>
      <m:oMath>
        <m:r>
          <m:rPr/>
          <m:t>2.85</m:t>
        </m:r>
      </m:oMath>
      <w:r>
        <w:rPr>
          <w:rFonts w:ascii="Times New Roman" w:hAnsi="Times New Roman" w:eastAsia="Times New Roman" w:cs="Google Sans"/>
          <w:color w:val="1F1F1F"/>
          <w:sz w:val="24"/>
          <w:rtl w:val="0"/>
        </w:rPr>
        <w:t xml:space="preserve"> effective actions. This suggests that TLT's market dynamics—characterized by interest rate sensitivity and flight-to-quality behavior—provide a richer context for the bandit policy to learn adaptive thresholds.</w:t>
      </w:r>
    </w:p>
    <w:p w14:paraId="0000012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7.2 Source Diversity Predicts Target Collapse</w:t>
      </w:r>
    </w:p>
    <w:p w14:paraId="000001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2 reports the collapse rate by source, measuring the percentage of target assets on which each source policy exhibits severe collapse (modal share </w:t>
      </w:r>
      <m:oMath>
        <m:r>
          <m:rPr/>
          <m:t>&gt; 90%</m:t>
        </m:r>
      </m:oMath>
      <w:r>
        <w:rPr>
          <w:rFonts w:ascii="Times New Roman" w:hAnsi="Times New Roman" w:eastAsia="Times New Roman" w:cs="Google Sans"/>
          <w:color w:val="1F1F1F"/>
          <w:sz w:val="24"/>
          <w:rtl w:val="0"/>
        </w:rPr>
        <w:t xml:space="preserve"> and normalized entropy </w:t>
      </w:r>
      <m:oMath>
        <m:r>
          <m:rPr/>
          <m:t>&lt; 0.25</m:t>
        </m:r>
      </m:oMath>
      <w:r>
        <w:rPr>
          <w:rFonts w:ascii="Times New Roman" w:hAnsi="Times New Roman" w:eastAsia="Times New Roman" w:cs="Google Sans"/>
          <w:color w:val="1F1F1F"/>
          <w:sz w:val="24"/>
          <w:rtl w:val="0"/>
        </w:rPr>
        <w:t>).</w:t>
      </w:r>
    </w:p>
    <w:p w14:paraId="0000012C">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2: Source Degeneracy and Target Outcome</w:t>
      </w:r>
    </w:p>
    <w:p w14:paraId="0000012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Collapse outcomes across 228 target transfers (38 target assets per source</w:t>
      </w:r>
      <w:r>
        <w:rPr>
          <w:rFonts w:hint="eastAsia" w:eastAsia="宋体" w:cs="Google Sans"/>
          <w:i/>
          <w:iCs/>
          <w:color w:val="1F1F1F"/>
          <w:sz w:val="24"/>
          <w:rtl w:val="0"/>
          <w:lang w:val="en-US" w:eastAsia="zh-CN"/>
        </w:rPr>
        <w:t xml:space="preserve"> </w:t>
      </w:r>
      <w:r>
        <w:rPr>
          <w:rFonts w:hint="eastAsia" w:ascii="Times New Roman" w:hAnsi="Times New Roman" w:eastAsia="Times New Roman" w:cs="Google Sans"/>
          <w:i/>
          <w:iCs/>
          <w:color w:val="1F1F1F"/>
          <w:sz w:val="24"/>
          <w:rtl w:val="0"/>
        </w:rPr>
        <w:t>after excluding self</w:t>
      </w:r>
      <w:r>
        <w:rPr>
          <w:rFonts w:ascii="Times New Roman" w:hAnsi="Times New Roman" w:eastAsia="Times New Roman" w:cs="Google Sans"/>
          <w:i/>
          <w:iCs/>
          <w:color w:val="1F1F1F"/>
          <w:sz w:val="24"/>
          <w:rtl w:val="0"/>
        </w:rPr>
        <w:t>).</w:t>
      </w:r>
    </w:p>
    <w:tbl>
      <w:tblPr>
        <w:tblStyle w:val="1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26"/>
        <w:gridCol w:w="1481"/>
        <w:gridCol w:w="1153"/>
        <w:gridCol w:w="1099"/>
        <w:gridCol w:w="1459"/>
        <w:gridCol w:w="1883"/>
        <w:gridCol w:w="1459"/>
      </w:tblGrid>
      <w:tr w14:paraId="1960A7C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Status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Ntargets​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Entropy</w:t>
            </w:r>
          </w:p>
        </w:tc>
      </w:tr>
      <w:tr w14:paraId="4006098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r w14:paraId="31C02C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r>
      <w:tr w14:paraId="6D539DF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r>
      <w:tr w14:paraId="4574B26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r>
      <w:tr w14:paraId="5493ABD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3667EC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bl>
    <w:p w14:paraId="0000015F">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provide strong support for our theoretical prediction: source diversity is associated with successful transfer in our setting. Degenerate sources (SPY, QQQ, EEM, GLD) lead to universal target collapse, with </w:t>
      </w:r>
      <m:oMath>
        <m:r>
          <m:rPr/>
          <m:t>100%</m:t>
        </m:r>
      </m:oMath>
      <w:r>
        <w:rPr>
          <w:rFonts w:ascii="Times New Roman" w:hAnsi="Times New Roman" w:eastAsia="Times New Roman" w:cs="Google Sans"/>
          <w:color w:val="1F1F1F"/>
          <w:sz w:val="24"/>
          <w:rtl w:val="0"/>
        </w:rPr>
        <w:t xml:space="preserve"> of target assets exhibiting severe collapse. The mean modal share on target assets is </w:t>
      </w:r>
      <m:oMath>
        <m:r>
          <m:rPr/>
          <m:t>0.97−0.99</m:t>
        </m:r>
      </m:oMath>
      <w:r>
        <w:rPr>
          <w:rFonts w:ascii="Times New Roman" w:hAnsi="Times New Roman" w:eastAsia="Times New Roman" w:cs="Google Sans"/>
          <w:color w:val="1F1F1F"/>
          <w:sz w:val="24"/>
          <w:rtl w:val="0"/>
        </w:rPr>
        <w:t>, indicating that the transferred policies select the same action for almost all observations.</w:t>
      </w:r>
    </w:p>
    <w:p w14:paraId="0000016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diverse sources (TLT, IWM) maintain contextual adaptation on all target assets, with a </w:t>
      </w:r>
      <m:oMath>
        <m:r>
          <m:rPr/>
          <m:t>0%</m:t>
        </m:r>
      </m:oMath>
      <w:r>
        <w:rPr>
          <w:rFonts w:ascii="Times New Roman" w:hAnsi="Times New Roman" w:eastAsia="Times New Roman" w:cs="Google Sans"/>
          <w:color w:val="1F1F1F"/>
          <w:sz w:val="24"/>
          <w:rtl w:val="0"/>
        </w:rPr>
        <w:t xml:space="preserve"> collapse rate and a mean modal share of </w:t>
      </w:r>
      <m:oMath>
        <m:r>
          <m:rPr/>
          <m:t>0.71−0.73</m:t>
        </m:r>
      </m:oMath>
      <w:r>
        <w:rPr>
          <w:rFonts w:ascii="Times New Roman" w:hAnsi="Times New Roman" w:eastAsia="Times New Roman" w:cs="Google Sans"/>
          <w:color w:val="1F1F1F"/>
          <w:sz w:val="24"/>
          <w:rtl w:val="0"/>
        </w:rPr>
        <w:t>. These policies continue to select different thresholds based on market conditions, even when deployed on assets with different dynamics.</w:t>
      </w:r>
    </w:p>
    <w:p w14:paraId="0000016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7.3 TLT Source: Partial Concentration Without Collapse</w:t>
      </w:r>
    </w:p>
    <w:p w14:paraId="0000016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provides an interesting case study. While it does not collapse on any target (modal shares range from </w:t>
      </w:r>
      <m:oMath>
        <m:r>
          <m:rPr/>
          <m:t>68%−78%</m:t>
        </m:r>
      </m:oMath>
      <w:r>
        <w:rPr>
          <w:rFonts w:ascii="Times New Roman" w:hAnsi="Times New Roman" w:eastAsia="Times New Roman" w:cs="Google Sans"/>
          <w:color w:val="1F1F1F"/>
          <w:sz w:val="24"/>
          <w:rtl w:val="0"/>
        </w:rPr>
        <w:t xml:space="preserve">, all below the </w:t>
      </w:r>
      <m:oMath>
        <m:r>
          <m:rPr/>
          <m:t>90%</m:t>
        </m:r>
      </m:oMath>
      <w:r>
        <w:rPr>
          <w:rFonts w:ascii="Times New Roman" w:hAnsi="Times New Roman" w:eastAsia="Times New Roman" w:cs="Google Sans"/>
          <w:color w:val="1F1F1F"/>
          <w:sz w:val="24"/>
          <w:rtl w:val="0"/>
        </w:rPr>
        <w:t xml:space="preserve"> threshold), it still concentrates significantly on threshold </w:t>
      </w:r>
      <m:oMath>
        <m:r>
          <m:rPr/>
          <m:t>0.45</m:t>
        </m:r>
      </m:oMath>
      <w:r>
        <w:rPr>
          <w:rFonts w:ascii="Times New Roman" w:hAnsi="Times New Roman" w:eastAsia="Times New Roman" w:cs="Google Sans"/>
          <w:color w:val="1F1F1F"/>
          <w:sz w:val="24"/>
          <w:rtl w:val="0"/>
        </w:rPr>
        <w:t xml:space="preserve">, selecting this action on </w:t>
      </w:r>
      <m:oMath>
        <m:r>
          <m:rPr/>
          <m:t>73%</m:t>
        </m:r>
      </m:oMath>
      <w:r>
        <w:rPr>
          <w:rFonts w:ascii="Times New Roman" w:hAnsi="Times New Roman" w:eastAsia="Times New Roman" w:cs="Google Sans"/>
          <w:color w:val="1F1F1F"/>
          <w:sz w:val="24"/>
          <w:rtl w:val="0"/>
        </w:rPr>
        <w:t xml:space="preserve"> of observations across all targets.</w:t>
      </w:r>
    </w:p>
    <w:p w14:paraId="0000016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3 reports the performance of the TLT source policy on </w:t>
      </w:r>
      <m:oMath>
        <m:r>
          <m:rPr/>
          <m:t>39</m:t>
        </m:r>
      </m:oMath>
      <w:r>
        <w:rPr>
          <w:rFonts w:ascii="Times New Roman" w:hAnsi="Times New Roman" w:eastAsia="Times New Roman" w:cs="Google Sans"/>
          <w:color w:val="1F1F1F"/>
          <w:sz w:val="24"/>
          <w:rtl w:val="0"/>
        </w:rPr>
        <w:t xml:space="preserve"> target assets, comparing against the NoGating baseline (static </w:t>
      </w:r>
      <m:oMath>
        <m:r>
          <m:rPr/>
          <m:t>0.50</m:t>
        </m:r>
      </m:oMath>
      <w:r>
        <w:rPr>
          <w:rFonts w:ascii="Times New Roman" w:hAnsi="Times New Roman" w:eastAsia="Times New Roman" w:cs="Google Sans"/>
          <w:color w:val="1F1F1F"/>
          <w:sz w:val="24"/>
          <w:rtl w:val="0"/>
        </w:rPr>
        <w:t xml:space="preserve"> threshold) and the behavioral-equivalent baseline (static </w:t>
      </w:r>
      <m:oMath>
        <m:r>
          <m:rPr/>
          <m:t>0.45</m:t>
        </m:r>
      </m:oMath>
      <w:r>
        <w:rPr>
          <w:rFonts w:ascii="Times New Roman" w:hAnsi="Times New Roman" w:eastAsia="Times New Roman" w:cs="Google Sans"/>
          <w:color w:val="1F1F1F"/>
          <w:sz w:val="24"/>
          <w:rtl w:val="0"/>
        </w:rPr>
        <w:t xml:space="preserve"> threshold).</w:t>
      </w:r>
    </w:p>
    <w:p w14:paraId="0000016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3: TLT Source Policy Performance</w:t>
      </w:r>
    </w:p>
    <w:p w14:paraId="0000016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hint="eastAsia" w:ascii="Times New Roman" w:hAnsi="Times New Roman" w:eastAsia="Times New Roman"/>
        </w:rPr>
        <w:t>Table 3 reports the performance of the TLT source policy across 38 evaluated target assets.</w:t>
      </w:r>
    </w:p>
    <w:tbl>
      <w:tblPr>
        <w:tblStyle w:val="1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569"/>
        <w:gridCol w:w="2911"/>
        <w:gridCol w:w="2880"/>
      </w:tblGrid>
      <w:tr w14:paraId="4B030A7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Metric</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ZS6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ZS6 vs. Fixed-0.45</w:t>
            </w:r>
          </w:p>
        </w:tc>
      </w:tr>
      <w:tr w14:paraId="1B2F5EF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Sharpe Diff.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-0.004</w:t>
            </w:r>
          </w:p>
        </w:tc>
      </w:tr>
      <w:tr w14:paraId="7C9E97B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Std. Error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0.009</w:t>
            </w:r>
          </w:p>
        </w:tc>
      </w:tr>
      <w:tr w14:paraId="2161310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t</m:t>
              </m:r>
            </m:oMath>
            <w:r>
              <w:rPr>
                <w:rFonts w:ascii="Arial" w:hAnsi="Arial" w:eastAsia="Google Sans" w:cs="Google Sans"/>
                <w:b/>
                <w:bCs/>
                <w:color w:val="1F2D3D"/>
                <w:sz w:val="17"/>
                <w:shd w:val="clear" w:fill="auto"/>
                <w:rtl w:val="0"/>
              </w:rPr>
              <w:t>t-statistic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r>
      <w:tr w14:paraId="2AF54B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0.661</w:t>
            </w:r>
          </w:p>
        </w:tc>
      </w:tr>
      <w:tr w14:paraId="65D4A2D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Significant (5% FDR)</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166095D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CE082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Norm. Entropy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7A5473C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Effective Actions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r>
    </w:tbl>
    <w:p w14:paraId="0000018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modestly improves over the conventional </w:t>
      </w:r>
      <m:oMath>
        <m:r>
          <m:rPr/>
          <m:t>0.50</m:t>
        </m:r>
      </m:oMath>
      <w:r>
        <w:rPr>
          <w:rFonts w:ascii="Times New Roman" w:hAnsi="Times New Roman" w:eastAsia="Times New Roman" w:cs="Google Sans"/>
          <w:color w:val="1F1F1F"/>
          <w:sz w:val="24"/>
          <w:rtl w:val="0"/>
        </w:rPr>
        <w:t xml:space="preserve"> threshold, with a mean Sharpe ratio improvement of </w:t>
      </w:r>
      <m:oMath>
        <m:r>
          <m:rPr/>
          <m:t>+0.021</m:t>
        </m:r>
      </m:oMath>
      <w:r>
        <w:rPr>
          <w:rFonts w:ascii="Times New Roman" w:hAnsi="Times New Roman" w:eastAsia="Times New Roman" w:cs="Google Sans"/>
          <w:color w:val="1F1F1F"/>
          <w:sz w:val="24"/>
          <w:rtl w:val="0"/>
        </w:rPr>
        <w:t xml:space="preserve"> (</w:t>
      </w:r>
      <m:oMath>
        <m:r>
          <m:rPr/>
          <m:t>t = 2.63</m:t>
        </m:r>
      </m:oMath>
      <w:r>
        <w:rPr>
          <w:rFonts w:ascii="Times New Roman" w:hAnsi="Times New Roman" w:eastAsia="Times New Roman" w:cs="Google Sans"/>
          <w:color w:val="1F1F1F"/>
          <w:sz w:val="24"/>
          <w:rtl w:val="0"/>
        </w:rPr>
        <w:t xml:space="preserve">, </w:t>
      </w:r>
      <m:oMath>
        <m:r>
          <m:rPr/>
          <m:t>p = 0.012</m:t>
        </m:r>
      </m:oMath>
      <w:r>
        <w:rPr>
          <w:rFonts w:ascii="Times New Roman" w:hAnsi="Times New Roman" w:eastAsia="Times New Roman" w:cs="Google Sans"/>
          <w:color w:val="1F1F1F"/>
          <w:sz w:val="24"/>
          <w:rtl w:val="0"/>
        </w:rPr>
        <w:t>). This improvement is statistically significant but economically modest.</w:t>
      </w:r>
    </w:p>
    <w:p w14:paraId="0000018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However, when compared against the behavioral-equivalent baseline (static </w:t>
      </w:r>
      <m:oMath>
        <m:r>
          <m:rPr/>
          <m:t>0.45</m:t>
        </m:r>
      </m:oMath>
      <w:r>
        <w:rPr>
          <w:rFonts w:ascii="Times New Roman" w:hAnsi="Times New Roman" w:eastAsia="Times New Roman" w:cs="Google Sans"/>
          <w:color w:val="1F1F1F"/>
          <w:sz w:val="24"/>
          <w:rtl w:val="0"/>
        </w:rPr>
        <w:t xml:space="preserve"> threshold), the TLT source policy shows no significant advantage. The mean Sharpe difference is </w:t>
      </w:r>
      <m:oMath>
        <m:r>
          <m:rPr/>
          <m:t>−0.004</m:t>
        </m:r>
      </m:oMath>
      <w:r>
        <w:rPr>
          <w:rFonts w:ascii="Times New Roman" w:hAnsi="Times New Roman" w:eastAsia="Times New Roman" w:cs="Google Sans"/>
          <w:color w:val="1F1F1F"/>
          <w:sz w:val="24"/>
          <w:rtl w:val="0"/>
        </w:rPr>
        <w:t xml:space="preserve"> (</w:t>
      </w:r>
      <m:oMath>
        <m:r>
          <m:rPr/>
          <m:t>t = −0.44</m:t>
        </m:r>
      </m:oMath>
      <w:r>
        <w:rPr>
          <w:rFonts w:ascii="Times New Roman" w:hAnsi="Times New Roman" w:eastAsia="Times New Roman" w:cs="Google Sans"/>
          <w:color w:val="1F1F1F"/>
          <w:sz w:val="24"/>
          <w:rtl w:val="0"/>
        </w:rPr>
        <w:t xml:space="preserve">, </w:t>
      </w:r>
      <m:oMath>
        <m:r>
          <m:rPr/>
          <m:t>p = 0.661</m:t>
        </m:r>
      </m:oMath>
      <w:r>
        <w:rPr>
          <w:rFonts w:ascii="Times New Roman" w:hAnsi="Times New Roman" w:eastAsia="Times New Roman" w:cs="Google Sans"/>
          <w:color w:val="1F1F1F"/>
          <w:sz w:val="24"/>
          <w:rtl w:val="0"/>
        </w:rPr>
        <w:t xml:space="preserve">), indicating that the contextual policy performs no better than the static threshold it most resembles. Comparing against a naive baseline (e.g., </w:t>
      </w:r>
      <m:oMath>
        <m:r>
          <m:rPr/>
          <m:t>0.50</m:t>
        </m:r>
      </m:oMath>
      <w:r>
        <w:rPr>
          <w:rFonts w:ascii="Times New Roman" w:hAnsi="Times New Roman" w:eastAsia="Times New Roman" w:cs="Google Sans"/>
          <w:color w:val="1F1F1F"/>
          <w:sz w:val="24"/>
          <w:rtl w:val="0"/>
        </w:rPr>
        <w:t>) can be misleading, as the improvement may simply reflect a better choice of fixed threshold rather than genuine contextual adaptation.</w:t>
      </w:r>
    </w:p>
    <w:p w14:paraId="000001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7.4 Collapse Threshold Sensitivity</w:t>
      </w:r>
    </w:p>
    <w:p w14:paraId="0000018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To assess the robustness of our findings, we vary the collapse threshold from </w:t>
      </w:r>
      <m:oMath>
        <m:r>
          <m:rPr/>
          <m:t>70%</m:t>
        </m:r>
      </m:oMath>
      <w:r>
        <w:rPr>
          <w:rFonts w:ascii="Times New Roman" w:hAnsi="Times New Roman" w:eastAsia="Times New Roman" w:cs="Google Sans"/>
          <w:color w:val="1F1F1F"/>
          <w:sz w:val="24"/>
          <w:rtl w:val="0"/>
        </w:rPr>
        <w:t xml:space="preserve"> to </w:t>
      </w:r>
      <m:oMath>
        <m:r>
          <m:rPr/>
          <m:t>95%</m:t>
        </m:r>
      </m:oMath>
      <w:r>
        <w:rPr>
          <w:rFonts w:ascii="Times New Roman" w:hAnsi="Times New Roman" w:eastAsia="Times New Roman" w:cs="Google Sans"/>
          <w:color w:val="1F1F1F"/>
          <w:sz w:val="24"/>
          <w:rtl w:val="0"/>
        </w:rPr>
        <w:t xml:space="preserve"> and recompute the collapse rates.</w:t>
      </w:r>
    </w:p>
    <w:p w14:paraId="0000018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4: Collapse Rate vs. Modal Share Threshold</w:t>
      </w:r>
    </w:p>
    <w:p w14:paraId="0000018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Sensitivity of collapse classification to the modal share threshold.</w:t>
      </w:r>
    </w:p>
    <w:tbl>
      <w:tblPr>
        <w:tblStyle w:val="17"/>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857"/>
        <w:gridCol w:w="1789"/>
        <w:gridCol w:w="1721"/>
        <w:gridCol w:w="2993"/>
      </w:tblGrid>
      <w:tr w14:paraId="40FC45C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Note</w:t>
            </w:r>
          </w:p>
        </w:tc>
      </w:tr>
      <w:tr w14:paraId="4CC71BC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42DAE7C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782F5E6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55660EB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Excludes diverse (0%)</w:t>
            </w:r>
          </w:p>
        </w:tc>
      </w:tr>
      <w:tr w14:paraId="5CD8F88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Main specification (90%)</w:t>
            </w:r>
          </w:p>
        </w:tc>
      </w:tr>
      <w:tr w14:paraId="7C814D3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Conservative (95%)</w:t>
            </w:r>
          </w:p>
        </w:tc>
      </w:tr>
    </w:tbl>
    <w:p w14:paraId="000001A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rPr>
        <w:t xml:space="preserve">The results are highly robust across the </w:t>
      </w:r>
      <m:oMath>
        <m:r>
          <m:rPr/>
          <m:t>70%−</m:t>
        </m:r>
        <m:r>
          <m:rPr>
            <m:sty m:val="p"/>
          </m:rPr>
          <w:rPr>
            <w:rFonts w:hint="default" w:eastAsia="宋体"/>
            <w:lang w:val="en-US" w:eastAsia="zh-CN"/>
          </w:rPr>
          <m:t>95</m:t>
        </m:r>
        <m:r>
          <m:rPr/>
          <m:t>%</m:t>
        </m:r>
      </m:oMath>
      <w:r>
        <w:rPr>
          <w:rFonts w:ascii="Times New Roman" w:hAnsi="Times New Roman" w:eastAsia="Times New Roman" w:cs="Google Sans"/>
          <w:color w:val="1F1F1F"/>
          <w:sz w:val="24"/>
          <w:rtl w:val="0"/>
        </w:rPr>
        <w:t xml:space="preserve"> range. At the </w:t>
      </w:r>
      <m:oMath>
        <m:r>
          <m:rPr/>
          <m:t>90%</m:t>
        </m:r>
      </m:oMath>
      <w:r>
        <w:rPr>
          <w:rFonts w:ascii="Times New Roman" w:hAnsi="Times New Roman" w:eastAsia="Times New Roman" w:cs="Google Sans"/>
          <w:color w:val="1F1F1F"/>
          <w:sz w:val="24"/>
          <w:rtl w:val="0"/>
        </w:rPr>
        <w:t xml:space="preserve"> threshold (our main specification), 67% of pairs collapse, with the remaining </w:t>
      </w:r>
      <m:oMath>
        <m:r>
          <m:rPr>
            <m:sty m:val="p"/>
          </m:rPr>
          <w:rPr>
            <w:rFonts w:hint="default"/>
            <w:lang w:val="en-US"/>
          </w:rPr>
          <m:t>33</m:t>
        </m:r>
        <m:r>
          <m:rPr/>
          <m:t>%</m:t>
        </m:r>
      </m:oMath>
      <w:r>
        <w:rPr>
          <w:rFonts w:ascii="Times New Roman" w:hAnsi="Times New Roman" w:eastAsia="Times New Roman" w:cs="Google Sans"/>
          <w:color w:val="1F1F1F"/>
          <w:sz w:val="24"/>
          <w:rtl w:val="0"/>
        </w:rPr>
        <w:t xml:space="preserve"> consisting of TLT and IWM source targets that have modal shares in the </w:t>
      </w:r>
      <m:oMath>
        <m:r>
          <m:rPr/>
          <m:t>68%−78%</m:t>
        </m:r>
      </m:oMath>
      <w:r>
        <w:rPr>
          <w:rFonts w:ascii="Times New Roman" w:hAnsi="Times New Roman" w:eastAsia="Times New Roman" w:cs="Google Sans"/>
          <w:color w:val="1F1F1F"/>
          <w:sz w:val="24"/>
          <w:rtl w:val="0"/>
        </w:rPr>
        <w:t xml:space="preserve"> range.</w:t>
      </w:r>
    </w:p>
    <w:p w14:paraId="32B36DBC">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lang w:val="en-US" w:eastAsia="zh-CN"/>
        </w:rPr>
        <w:t>The classification remains unchanged because all transfers from degenerate sources have modal shares above 0.95 and normalized entropy below 0.25, whereas transfers from the two diverse sources fail the joint collapse criterion.</w:t>
      </w:r>
    </w:p>
    <w:p w14:paraId="000001A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7.5 Asset-Class Heterogeneity (TLT Source)</w:t>
      </w:r>
    </w:p>
    <w:p w14:paraId="000001A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reports the performance of the TLT source policy across different target asset classes.</w:t>
      </w:r>
    </w:p>
    <w:p w14:paraId="000001A6">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Performance by Asset Class (TLT Source)</w:t>
      </w:r>
    </w:p>
    <w:p w14:paraId="000001A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Performance metrics segmented by target asset classes.</w:t>
      </w:r>
    </w:p>
    <w:tbl>
      <w:tblPr>
        <w:tblStyle w:val="1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6"/>
        <w:gridCol w:w="343"/>
        <w:gridCol w:w="2471"/>
        <w:gridCol w:w="1126"/>
        <w:gridCol w:w="2451"/>
        <w:gridCol w:w="1313"/>
      </w:tblGrid>
      <w:tr w14:paraId="2B8C702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Benefit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Std. Benefit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Benefit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r>
      <w:tr w14:paraId="5F1F620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4216F9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5ADEDA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712AD3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22778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35BDC2F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A16893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bl>
    <w:p w14:paraId="000001D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TLT source policy shows modest improvements over NoGating across all asset classes, with the largest benefits in fixed income ETFs (</w:t>
      </w:r>
      <m:oMath>
        <m:r>
          <m:rPr/>
          <m:t>+0.031</m:t>
        </m:r>
      </m:oMath>
      <w:r>
        <w:rPr>
          <w:rFonts w:ascii="Times New Roman" w:hAnsi="Times New Roman" w:eastAsia="Times New Roman" w:cs="Google Sans"/>
          <w:color w:val="1F1F1F"/>
          <w:sz w:val="24"/>
          <w:rtl w:val="0"/>
        </w:rPr>
        <w:t xml:space="preserve"> Sharpe) and international equity ETFs (</w:t>
      </w:r>
      <m:oMath>
        <m:r>
          <m:rPr/>
          <m:t>+0.025</m:t>
        </m:r>
      </m:oMath>
      <w:r>
        <w:rPr>
          <w:rFonts w:ascii="Times New Roman" w:hAnsi="Times New Roman" w:eastAsia="Times New Roman" w:cs="Google Sans"/>
          <w:color w:val="1F1F1F"/>
          <w:sz w:val="24"/>
          <w:rtl w:val="0"/>
        </w:rPr>
        <w:t xml:space="preserve"> Sharpe). These asset classes may share similar macro-driven dynamics with TLT, making the transferred policy more effective. However, when compared against the behavioral-equivalent baseline (Fixed-0.45), the benefits are much smaller and often negative.</w:t>
      </w:r>
    </w:p>
    <w:p w14:paraId="000001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7.6 Economic Significance: Transaction Costs and Turnover</w:t>
      </w:r>
    </w:p>
    <w:p w14:paraId="000001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assess the practical relevance of Source Static Degeneracy, we conduct a comprehensive analysis of transaction costs and portfolio turnover.</w:t>
      </w:r>
    </w:p>
    <w:p w14:paraId="000001D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 Transaction Cost and Turnover Summary</w:t>
      </w:r>
    </w:p>
    <w:p w14:paraId="000001D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Economic implications of policy transfers across different sources.</w:t>
      </w:r>
    </w:p>
    <w:tbl>
      <w:tblPr>
        <w:tblStyle w:val="1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903"/>
        <w:gridCol w:w="1472"/>
        <w:gridCol w:w="2284"/>
        <w:gridCol w:w="2984"/>
      </w:tblGrid>
      <w:tr w14:paraId="21FAECF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Break-Even Cost (bps)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Annual Turnover</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Cost-Adjusted Sharpe vs. Fixed-0.45</w:t>
            </w:r>
          </w:p>
        </w:tc>
      </w:tr>
      <w:tr w14:paraId="341100E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jc w:val="left"/>
              <w:rPr>
                <w:rFonts w:ascii="Google Sans" w:hAnsi="Google Sans" w:eastAsia="Google Sans" w:cs="Google Sans"/>
                <w:color w:val="1F1F1F"/>
                <w:shd w:val="clear" w:fill="auto"/>
              </w:rPr>
            </w:pPr>
            <m:oMathPara>
              <m:oMath>
                <m:r>
                  <m:rPr/>
                  <m:t>0.02</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r>
      <w:tr w14:paraId="18F25FB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0.03</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r>
      <w:tr w14:paraId="393846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0.01</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r>
      <w:tr w14:paraId="16E29F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1.20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1537EE2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1.10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F86115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0.05</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bl>
    <w:p w14:paraId="00000200">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Transaction Cost Sensitivity: For the TLT source policy (one of the two non-degenerate sources, along with IWM), the mean break-even cost is </w:t>
      </w:r>
      <w:r>
        <w:rPr>
          <w:rFonts w:hint="default"/>
          <w:lang w:val="en-US"/>
        </w:rPr>
        <w:t>2.3</w:t>
      </w:r>
      <w:r>
        <w:rPr>
          <w:rFonts w:ascii="Times New Roman" w:hAnsi="Times New Roman" w:eastAsia="Times New Roman"/>
        </w:rPr>
        <w:t xml:space="preserve"> basis points (bps), with a range of </w:t>
      </w:r>
      <w:r>
        <w:rPr>
          <w:rFonts w:hint="default"/>
          <w:lang w:val="en-US"/>
        </w:rPr>
        <w:t>0.8-4.1</w:t>
      </w:r>
      <w:r>
        <w:rPr>
          <w:rFonts w:ascii="Times New Roman" w:hAnsi="Times New Roman" w:eastAsia="Times New Roman"/>
        </w:rPr>
        <w:t xml:space="preserve"> bps across target assets. In contrast, degenerate sources (SPY, QQQ, EEM, GLD) have break-even costs of zero, as their collapsed policies provide no improvement over static thresholds.</w:t>
      </w:r>
    </w:p>
    <w:p w14:paraId="00000201">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Turnover Analysis:</w:t>
      </w:r>
      <w:r>
        <w:rPr>
          <w:rFonts w:ascii="Times New Roman" w:hAnsi="Times New Roman" w:eastAsia="Times New Roman" w:cs="Google Sans"/>
          <w:color w:val="1F1F1F"/>
          <w:sz w:val="24"/>
          <w:rtl w:val="0"/>
        </w:rPr>
        <w:t xml:space="preserve"> Diverse sources (TLT: </w:t>
      </w:r>
      <m:oMath>
        <m:r>
          <m:rPr/>
          <m:t>1.20x</m:t>
        </m:r>
      </m:oMath>
      <w:r>
        <w:rPr>
          <w:rFonts w:ascii="Times New Roman" w:hAnsi="Times New Roman" w:eastAsia="Times New Roman" w:cs="Google Sans"/>
          <w:color w:val="1F1F1F"/>
          <w:sz w:val="24"/>
          <w:rtl w:val="0"/>
        </w:rPr>
        <w:t xml:space="preserve">, IWM: </w:t>
      </w:r>
      <m:oMath>
        <m:r>
          <m:rPr/>
          <m:t>1.10x</m:t>
        </m:r>
      </m:oMath>
      <w:r>
        <w:rPr>
          <w:rFonts w:ascii="Times New Roman" w:hAnsi="Times New Roman" w:eastAsia="Times New Roman" w:cs="Google Sans"/>
          <w:color w:val="1F1F1F"/>
          <w:sz w:val="24"/>
          <w:rtl w:val="0"/>
        </w:rPr>
        <w:t xml:space="preserve">) exhibit moderate turnover, </w:t>
      </w:r>
      <w:r>
        <w:rPr>
          <w:rFonts w:hint="eastAsia" w:ascii="Times New Roman" w:hAnsi="Times New Roman" w:eastAsia="Times New Roman" w:cs="Google Sans"/>
          <w:color w:val="1F1F1F"/>
          <w:sz w:val="24"/>
          <w:rtl w:val="0"/>
        </w:rPr>
        <w:t>consistent with greater action variation than in the degenerate-source policies.</w:t>
      </w:r>
      <w:r>
        <w:rPr>
          <w:rFonts w:ascii="Times New Roman" w:hAnsi="Times New Roman" w:eastAsia="Times New Roman" w:cs="Google Sans"/>
          <w:color w:val="1F1F1F"/>
          <w:sz w:val="24"/>
          <w:rtl w:val="0"/>
        </w:rPr>
        <w:t xml:space="preserve"> Degenerate sources show near-zero turnover (</w:t>
      </w:r>
      <m:oMath>
        <m:sSub>
          <m:sSubPr/>
          <m:e>
            <m:r>
              <m:rPr/>
              <m:t>r</m:t>
            </m:r>
          </m:e>
          <m:sub>
            <m:r>
              <m:rPr/>
              <m:t>t</m:t>
            </m:r>
          </m:sub>
        </m:sSub>
        <m:r>
          <m:rPr>
            <m:sty m:val="p"/>
          </m:rPr>
          <m:t>=</m:t>
        </m:r>
        <m:sSub>
          <m:sSubPr/>
          <m:e>
            <m:r>
              <m:rPr/>
              <m:t>s</m:t>
            </m:r>
          </m:e>
          <m:sub>
            <m:r>
              <m:rPr/>
              <m:t>t</m:t>
            </m:r>
          </m:sub>
        </m:sSub>
        <m:r>
          <m:rPr/>
          <m:t> </m:t>
        </m:r>
        <m:sSub>
          <m:sSubPr/>
          <m:e>
            <m:r>
              <m:rPr/>
              <m:t>r</m:t>
            </m:r>
          </m:e>
          <m:sub>
            <m:r>
              <m:rPr/>
              <m:t>t</m:t>
            </m:r>
            <m:r>
              <m:rPr>
                <m:sty m:val="p"/>
              </m:rPr>
              <m:t>+</m:t>
            </m:r>
            <m:r>
              <m:rPr/>
              <m:t>1</m:t>
            </m:r>
          </m:sub>
        </m:sSub>
      </m:oMath>
      <w:r>
        <w:rPr>
          <w:rFonts w:ascii="Times New Roman" w:hAnsi="Times New Roman" w:eastAsia="Times New Roman" w:cs="Google Sans"/>
          <w:color w:val="1F1F1F"/>
          <w:sz w:val="24"/>
          <w:rtl w:val="0"/>
        </w:rPr>
        <w:t>), confirming that their collapsed policies generate no trading signals beyond the static threshold.</w:t>
      </w:r>
    </w:p>
    <w:p w14:paraId="0000020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7.7 Data Coverage Summary</w:t>
      </w:r>
    </w:p>
    <w:p w14:paraId="0000020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ensure transparency and confirm the absence of survivorship or look-ahead biases, we detail the coverage of our asset universe in Table 6a.</w:t>
      </w:r>
    </w:p>
    <w:p w14:paraId="0000020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6a: Data Coverage Summary</w:t>
      </w:r>
    </w:p>
    <w:p w14:paraId="0000020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Coverage statistics for all source and target assets over the 10-year period (2015-2024).</w:t>
      </w:r>
    </w:p>
    <w:tbl>
      <w:tblPr>
        <w:tblStyle w:val="2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953"/>
        <w:gridCol w:w="1608"/>
        <w:gridCol w:w="714"/>
        <w:gridCol w:w="1062"/>
        <w:gridCol w:w="1152"/>
        <w:gridCol w:w="1290"/>
        <w:gridCol w:w="1250"/>
        <w:gridCol w:w="1331"/>
      </w:tblGrid>
      <w:tr w14:paraId="52B64853">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IPO Date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Actual Start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Observations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Missing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Full Coverage</w:t>
            </w:r>
          </w:p>
        </w:tc>
      </w:tr>
      <w:tr w14:paraId="640D7A7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2004-11-18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804A9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20A56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2003-04-07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1.237%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DB080C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1.491%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F9906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1999-03-10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681D25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1993-01-29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0.812%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774C8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2006-02-03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3.077%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A9C738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GSG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2006-07-10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0.936%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433BD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2014-11-07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4D9AE0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074606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2006-04-10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4.750%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355984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2014-09-17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5247B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ETH-USD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62970F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2013-04-28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4.556%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CF81AA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XRP-USD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2013-08-04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1.368%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D67E39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2005-12-09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2.257%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83D406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D1DD9D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UUP</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3.453%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8F65B1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AGG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2003-09-22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37D70A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BND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3.947%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A5C8CA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LQD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0.328%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D1AF1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MUB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7359E9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SCHZ</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2009-07-14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1.078%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64E87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VTEB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765875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5C91B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44363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2012-10-18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1.527%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564D5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IEUR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2014-06-10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19A59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DDC8C4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SPDW</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2007-10-25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90D4BF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VEA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2007-07-20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0.784%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A3502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IYR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2000-06-12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CD91E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SCHH</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2011-01-13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0DF06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VNQ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2004-09-23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4.061%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610B1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ITOT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2004-01-20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4.853%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10401F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IVV</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66F3E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E4DB2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MGC</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0A90B7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3.570%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18084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SCHX</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73A3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SPLG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2005-11-08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A698E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SPTM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2709E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VONE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4.179%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616DA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4.344%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0694B6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VTI</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2001-05-24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37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 Ablation Studies</w:t>
      </w:r>
    </w:p>
    <w:p w14:paraId="0000037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establish the robustness of Source Static Degeneracy and validate our diagnostic framework, we conduct a comprehensive series of ablation studies. These experiments address potential confounds and demonstrate that the collapse phenomenon is not an artifact of specific methodological choices.</w:t>
      </w:r>
    </w:p>
    <w:p w14:paraId="0000037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 Calibrated vs. Uncalibrated Probabilities</w:t>
      </w:r>
    </w:p>
    <w:p w14:paraId="0000037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natural concern is that Source Static Degeneracy might be an artifact of miscalibrated GBT predictions. If the predicted probabilities are systematically biased, the bandit policy might converge to a fixed threshold simply because the probability distribution is degenerate.</w:t>
      </w:r>
    </w:p>
    <w:p w14:paraId="0000037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apply Platt Scaling and Isotonic Regression to calibrate the GBT predictions and re-run the transfer experiments.</w:t>
      </w:r>
    </w:p>
    <w:p w14:paraId="0000037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7: Calibration Ablation Study</w:t>
      </w:r>
    </w:p>
    <w:p w14:paraId="0000037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Target collapse rates and mean Sharpe differences under different probability calibration methods.</w:t>
      </w:r>
    </w:p>
    <w:tbl>
      <w:tblPr>
        <w:tblStyle w:val="2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49"/>
        <w:gridCol w:w="985"/>
        <w:gridCol w:w="1005"/>
        <w:gridCol w:w="988"/>
        <w:gridCol w:w="995"/>
        <w:gridCol w:w="975"/>
        <w:gridCol w:w="992"/>
        <w:gridCol w:w="1068"/>
        <w:gridCol w:w="1003"/>
      </w:tblGrid>
      <w:tr w14:paraId="7BE9F0D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Calibration Method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Diff</w:t>
            </w:r>
          </w:p>
        </w:tc>
      </w:tr>
      <w:tr w14:paraId="280BDB2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Uncalibrated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520764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Platt Scaling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70EABE0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Isotonic Reg.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bl>
    <w:p w14:paraId="000003A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Calibration does not materially affect collapse rates in our experiments. Degenerate sources remain  collapsed regardless of the calibration method applied. This confirms that Source Static Degeneracy is a structural property of the decision layer, not the prediction layer.</w:t>
      </w:r>
    </w:p>
    <w:p w14:paraId="000003A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7.8.2 Alternative Action Grids</w:t>
      </w:r>
    </w:p>
    <w:p w14:paraId="000003A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default threshold set is </w:t>
      </w:r>
      <m:oMath>
        <m:r>
          <m:rPr>
            <m:sty m:val="p"/>
            <m:scr m:val="script"/>
          </m:rPr>
          <m:t>T</m:t>
        </m:r>
        <m:r>
          <m:rPr>
            <m:sty m:val="p"/>
          </m:rPr>
          <m:t>={</m:t>
        </m:r>
        <m:r>
          <m:rPr/>
          <m:t>0.35</m:t>
        </m:r>
        <m:r>
          <m:rPr>
            <m:sty m:val="p"/>
          </m:rPr>
          <m:t>,</m:t>
        </m:r>
        <m:r>
          <m:rPr/>
          <m:t>0.45</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cs="Google Sans"/>
          <w:color w:val="1F1F1F"/>
          <w:sz w:val="24"/>
          <w:rtl w:val="0"/>
        </w:rPr>
        <w:t>. Collapse might depend on this specific grid discretization.</w:t>
      </w:r>
    </w:p>
    <w:p w14:paraId="000003A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test alternative threshold sets:</w:t>
      </w:r>
    </w:p>
    <w:p w14:paraId="000003A5">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Fine Grid:</w:t>
      </w:r>
      <w:r>
        <w:rPr>
          <w:rFonts w:ascii="Times New Roman" w:hAnsi="Times New Roman" w:eastAsia="Times New Roman" w:cs="Google Sans"/>
          <w:color w:val="1F1F1F"/>
          <w:sz w:val="24"/>
          <w:rtl w:val="0"/>
        </w:rPr>
        <w:t xml:space="preserve"> </w:t>
      </w:r>
      <m:oMath>
        <m:d>
          <m:dPr>
            <m:sepChr m:val=""/>
          </m:dPr>
          <m:e>
            <m:sSub>
              <m:sSubPr/>
              <m:e>
                <m:r>
                  <m:rPr/>
                  <m:t>A</m:t>
                </m:r>
              </m:e>
              <m:sub>
                <m:r>
                  <m:rPr/>
                  <m:t>k</m:t>
                </m:r>
              </m:sub>
            </m:sSub>
            <m:r>
              <m:rPr>
                <m:sty m:val="p"/>
              </m:rPr>
              <m:t>,</m:t>
            </m:r>
            <m:sSub>
              <m:sSubPr/>
              <m:e>
                <m:r>
                  <m:rPr>
                    <m:sty m:val="b"/>
                  </m:rPr>
                  <m:t>b</m:t>
                </m:r>
              </m:e>
              <m:sub>
                <m:r>
                  <m:rPr/>
                  <m:t>k</m:t>
                </m:r>
              </m:sub>
            </m:sSub>
          </m:e>
        </m:d>
      </m:oMath>
    </w:p>
    <w:p w14:paraId="000003A6">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Coarse Grid:</w:t>
      </w:r>
      <w:r>
        <w:rPr>
          <w:rFonts w:ascii="Times New Roman" w:hAnsi="Times New Roman" w:eastAsia="Times New Roman" w:cs="Google Sans"/>
          <w:color w:val="1F1F1F"/>
          <w:sz w:val="24"/>
          <w:rtl w:val="0"/>
        </w:rPr>
        <w:t xml:space="preserve"> </w:t>
      </w:r>
      <m:oMath>
        <m:r>
          <m:rPr/>
          <m:t>{0.40, 0.50, 0.60, 0.70}</m:t>
        </m:r>
      </m:oMath>
    </w:p>
    <w:p w14:paraId="000003A7">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Asymmetric Grid:</w:t>
      </w:r>
      <w:r>
        <w:rPr>
          <w:rFonts w:ascii="Times New Roman" w:hAnsi="Times New Roman" w:eastAsia="Times New Roman" w:cs="Google Sans"/>
          <w:color w:val="1F1F1F"/>
          <w:sz w:val="24"/>
          <w:rtl w:val="0"/>
        </w:rPr>
        <w:t xml:space="preserve"> </w:t>
      </w:r>
      <m:oMath>
        <m:r>
          <m:rPr>
            <m:sty m:val="p"/>
          </m:rPr>
          <m:t>≈</m:t>
        </m:r>
        <m:r>
          <m:rPr/>
          <m:t>4</m:t>
        </m:r>
        <m:r>
          <m:rPr>
            <m:nor/>
            <m:sty m:val="p"/>
          </m:rPr>
          <w:rPr>
            <w:b w:val="0"/>
            <w:i w:val="0"/>
          </w:rPr>
          <m:t>–</m:t>
        </m:r>
        <m:r>
          <m:rPr/>
          <m:t>6</m:t>
        </m:r>
      </m:oMath>
    </w:p>
    <w:p w14:paraId="000003A8">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Wide Grid:</w:t>
      </w:r>
      <w:r>
        <w:rPr>
          <w:rFonts w:ascii="Times New Roman" w:hAnsi="Times New Roman" w:eastAsia="Times New Roman" w:cs="Google Sans"/>
          <w:color w:val="1F1F1F"/>
          <w:sz w:val="24"/>
          <w:rtl w:val="0"/>
        </w:rPr>
        <w:t xml:space="preserve"> </w:t>
      </w:r>
      <m:oMath>
        <m:r>
          <m:rPr/>
          <m:t>0.01</m:t>
        </m:r>
        <m:r>
          <m:rPr>
            <m:nor/>
            <m:sty m:val="p"/>
          </m:rPr>
          <w:rPr>
            <w:b w:val="0"/>
            <w:i w:val="0"/>
          </w:rPr>
          <m:t>–</m:t>
        </m:r>
        <m:r>
          <m:rPr/>
          <m:t>0.05</m:t>
        </m:r>
        <m:r>
          <m:rPr>
            <m:sty m:val="p"/>
          </m:rPr>
          <m:t>×</m:t>
        </m:r>
      </m:oMath>
    </w:p>
    <w:p w14:paraId="000003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8: Alternative Action Grids</w:t>
      </w:r>
    </w:p>
    <w:p w14:paraId="000003A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Policy behavior under different action space discretizations.</w:t>
      </w:r>
    </w:p>
    <w:tbl>
      <w:tblPr>
        <w:tblStyle w:val="22"/>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141"/>
        <w:gridCol w:w="4070"/>
        <w:gridCol w:w="890"/>
        <w:gridCol w:w="887"/>
        <w:gridCol w:w="916"/>
        <w:gridCol w:w="729"/>
        <w:gridCol w:w="727"/>
      </w:tblGrid>
      <w:tr w14:paraId="034CBBBE">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Grid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Thresholds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r>
      <w:tr w14:paraId="4D6D7A6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Default (6)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m:t>
                </m:r>
                <m:r>
                  <m:rPr>
                    <m:sty m:val="p"/>
                  </m:rPr>
                  <w:rPr>
                    <w:rFonts w:hint="default" w:eastAsia="宋体"/>
                    <w:lang w:val="en-US" w:eastAsia="zh-CN"/>
                  </w:rPr>
                  <m:t>0</m:t>
                </m:r>
                <m:r>
                  <m:rPr>
                    <m:sty m:val="p"/>
                  </m:rPr>
                  <m:t>,</m:t>
                </m:r>
                <m:r>
                  <m:rPr/>
                  <m:t>0.55,0.</m:t>
                </m:r>
                <m:r>
                  <m:rPr/>
                  <w:rPr>
                    <w:rFonts w:hint="default"/>
                    <w:lang w:val="en-US"/>
                  </w:rPr>
                  <m:t>6</m:t>
                </m:r>
                <m:r>
                  <m:rPr/>
                  <m:t>5,0.</m:t>
                </m:r>
                <m:r>
                  <m:rPr/>
                  <w:rPr>
                    <w:rFonts w:hint="default"/>
                    <w:lang w:val="en-US"/>
                  </w:rPr>
                  <m:t>7</m:t>
                </m:r>
                <m:r>
                  <m:rPr/>
                  <m:t>5,</m:t>
                </m:r>
                <m:r>
                  <m:rPr/>
                  <w:rPr>
                    <w:rFonts w:hint="default"/>
                    <w:lang w:val="en-US"/>
                  </w:rPr>
                  <m:t>1</m:t>
                </m:r>
                <m:r>
                  <m:rPr/>
                  <m:t>.</m:t>
                </m:r>
                <m:r>
                  <m:rPr/>
                  <w:rPr>
                    <w:rFonts w:hint="default"/>
                    <w:lang w:val="en-US"/>
                  </w:rPr>
                  <m:t>0</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582A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Fine (9)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020B9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b w:val="0"/>
                <w:i w:val="0"/>
              </w:rPr>
            </w:pPr>
            <m:oMathPara>
              <m:oMath>
                <m:r>
                  <m:rPr>
                    <m:sty m:val="p"/>
                  </m:rPr>
                  <m:t>{</m:t>
                </m:r>
                <m:r>
                  <m:rPr/>
                  <m:t>0.30</m:t>
                </m:r>
                <m:r>
                  <m:rPr>
                    <m:sty m:val="p"/>
                  </m:rPr>
                  <m:t>,</m:t>
                </m:r>
                <m:r>
                  <m:rPr/>
                  <m:t>0.35</m:t>
                </m:r>
                <m:r>
                  <m:rPr>
                    <m:sty m:val="p"/>
                  </m:rPr>
                  <m:t>,</m:t>
                </m:r>
                <m:r>
                  <m:rPr/>
                  <m:t>0.40</m:t>
                </m:r>
                <m:r>
                  <m:rPr>
                    <m:sty m:val="p"/>
                  </m:rPr>
                  <m:t>,</m:t>
                </m:r>
                <m:r>
                  <m:rPr/>
                  <m:t>0.45</m:t>
                </m:r>
                <m:r>
                  <m:rPr>
                    <m:sty m:val="p"/>
                  </m:rPr>
                  <m:t>,</m:t>
                </m:r>
                <m:r>
                  <m:rPr/>
                  <m:t>0.50</m:t>
                </m:r>
                <m:r>
                  <m:rPr>
                    <m:sty m:val="p"/>
                  </m:rPr>
                  <m:t>,</m:t>
                </m:r>
                <m:r>
                  <m:rPr/>
                  <m:t>0.55</m:t>
                </m:r>
                <m:r>
                  <m:rPr>
                    <m:sty m:val="p"/>
                  </m:rPr>
                  <m:t>,</m:t>
                </m:r>
                <m:r>
                  <m:rPr/>
                  <m:t>0.60</m:t>
                </m:r>
                <m:r>
                  <m:rPr>
                    <m:sty m:val="p"/>
                  </m:rPr>
                  <m:t>,</m:t>
                </m:r>
                <m:r>
                  <m:rPr/>
                  <m:t>0.65</m:t>
                </m:r>
                <m:r>
                  <m:rPr>
                    <m:sty m:val="p"/>
                  </m:rPr>
                  <m:t>,</m:t>
                </m:r>
                <m:r>
                  <m:rPr/>
                  <m:t>0.70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r>
      <w:tr w14:paraId="662E188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Coarse (4)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40</m:t>
                </m:r>
                <m:r>
                  <m:rPr/>
                  <m:t>,0.</m:t>
                </m:r>
                <m:r>
                  <m:rPr/>
                  <w:rPr>
                    <w:rFonts w:hint="default"/>
                    <w:lang w:val="en-US"/>
                  </w:rPr>
                  <m:t>50</m:t>
                </m:r>
                <m:r>
                  <m:rPr/>
                  <m:t>,0.</m:t>
                </m:r>
                <m:r>
                  <m:rPr/>
                  <w:rPr>
                    <w:rFonts w:hint="default"/>
                    <w:lang w:val="en-US"/>
                  </w:rPr>
                  <m:t>60</m:t>
                </m:r>
                <m:r>
                  <m:rPr/>
                  <m:t>,0.</m:t>
                </m:r>
                <m:r>
                  <m:rPr/>
                  <w:rPr>
                    <w:rFonts w:hint="default"/>
                    <w:lang w:val="en-US"/>
                  </w:rPr>
                  <m:t>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r>
      <w:tr w14:paraId="734C654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Asymmetric (5)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0.55</m:t>
                </m:r>
                <m:r>
                  <m:rPr>
                    <m:sty m:val="p"/>
                  </m:rPr>
                  <m:t>,</m:t>
                </m:r>
                <m:r>
                  <m:rPr/>
                  <m:t>0.75,</m:t>
                </m:r>
                <m:r>
                  <m:rPr/>
                  <w:rPr>
                    <w:rFonts w:hint="default"/>
                    <w:lang w:val="en-US"/>
                  </w:rPr>
                  <m:t>0</m:t>
                </m:r>
                <m:r>
                  <m:rPr/>
                  <m:t>.</m:t>
                </m:r>
                <m:r>
                  <m:rPr/>
                  <w:rPr>
                    <w:rFonts w:hint="default"/>
                    <w:lang w:val="en-US"/>
                  </w:rPr>
                  <m:t>9</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r>
      <w:tr w14:paraId="4D8D8F4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Wide (8)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.25,0.35,0</m:t>
                </m:r>
                <m:r>
                  <m:rPr/>
                  <m:t>.45,0.5</m:t>
                </m:r>
                <m:r>
                  <m:rPr/>
                  <w:rPr>
                    <w:rFonts w:hint="default"/>
                    <w:lang w:val="en-US"/>
                  </w:rPr>
                  <m:t>5</m:t>
                </m:r>
                <m:r>
                  <m:rPr/>
                  <m:t>,0.</m:t>
                </m:r>
                <m:r>
                  <m:rPr/>
                  <w:rPr>
                    <w:rFonts w:hint="default"/>
                    <w:lang w:val="en-US"/>
                  </w:rPr>
                  <m:t>6</m:t>
                </m:r>
                <m:r>
                  <m:rPr/>
                  <m:t>5,0.</m:t>
                </m:r>
                <m:r>
                  <m:rPr/>
                  <w:rPr>
                    <w:rFonts w:hint="default"/>
                    <w:lang w:val="en-US"/>
                  </w:rPr>
                  <m:t>75</m:t>
                </m:r>
                <m:r>
                  <m:rPr/>
                  <m:t>,0.</m:t>
                </m:r>
                <m:r>
                  <m:rPr/>
                  <w:rPr>
                    <w:rFonts w:hint="default"/>
                    <w:lang w:val="en-US"/>
                  </w:rPr>
                  <m:t>8</m:t>
                </m:r>
                <m:r>
                  <m:rPr/>
                  <m:t>5,0.</m:t>
                </m:r>
                <m:r>
                  <m:rPr/>
                  <w:rPr>
                    <w:rFonts w:hint="default"/>
                    <w:lang w:val="en-US"/>
                  </w:rPr>
                  <m:t>95</m:t>
                </m:r>
                <m:r>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r>
    </w:tbl>
    <w:p w14:paraId="000003D5">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Collapse rates are robust across the threshold grid range tested. The phenomenon is driven by source-side degeneracy, not the specific discretization of the action space.</w:t>
      </w:r>
    </w:p>
    <w:p w14:paraId="000003D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7.8.3 Alternative Exploration Parameters (</w:t>
      </w:r>
      <m:oMath>
        <m:r>
          <m:rPr/>
          <m:t>O</m:t>
        </m:r>
      </m:oMath>
      <w:r>
        <w:rPr>
          <w:rFonts w:ascii="Times New Roman" w:hAnsi="Times New Roman" w:eastAsia="Times New Roman" w:cs="Google Sans"/>
          <w:color w:val="1F1F1F"/>
          <w:sz w:val="24"/>
          <w:rtl w:val="0"/>
        </w:rPr>
        <w:t>)</w:t>
      </w:r>
    </w:p>
    <w:p w14:paraId="000003D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exploration parameter </w:t>
      </w:r>
      <m:oMath>
        <m:r>
          <m:rPr/>
          <m:t>O</m:t>
        </m:r>
      </m:oMath>
      <w:r>
        <w:rPr>
          <w:rFonts w:ascii="Times New Roman" w:hAnsi="Times New Roman" w:eastAsia="Times New Roman" w:cs="Google Sans"/>
          <w:color w:val="1F1F1F"/>
          <w:sz w:val="24"/>
          <w:rtl w:val="0"/>
        </w:rPr>
        <w:t xml:space="preserve"> controls the trade-off between exploration and exploitation in LinUCB. Higher </w:t>
      </w:r>
      <m:oMath>
        <m:r>
          <m:rPr/>
          <m:t>O</m:t>
        </m:r>
      </m:oMath>
      <w:r>
        <w:rPr>
          <w:rFonts w:ascii="Times New Roman" w:hAnsi="Times New Roman" w:eastAsia="Times New Roman" w:cs="Google Sans"/>
          <w:color w:val="1F1F1F"/>
          <w:sz w:val="24"/>
          <w:rtl w:val="0"/>
        </w:rPr>
        <w:t xml:space="preserve"> values encourage more exploration, which might break the collapse.</w:t>
      </w:r>
    </w:p>
    <w:p w14:paraId="000003D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vary </w:t>
      </w:r>
      <m:oMath>
        <m:r>
          <m:rPr/>
          <m:t>O</m:t>
        </m:r>
      </m:oMath>
      <w:r>
        <w:rPr>
          <w:rFonts w:ascii="Times New Roman" w:hAnsi="Times New Roman" w:eastAsia="Times New Roman" w:cs="Google Sans"/>
          <w:color w:val="1F1F1F"/>
          <w:sz w:val="24"/>
          <w:rtl w:val="0"/>
        </w:rPr>
        <w:t xml:space="preserve"> over </w:t>
      </w:r>
      <m:oMath>
        <m:r>
          <m:rPr/>
          <m:t>{0.1, 0.2, 0.3, 0.5, 0.7, 1.0}</m:t>
        </m:r>
      </m:oMath>
      <w:r>
        <w:rPr>
          <w:rFonts w:ascii="Times New Roman" w:hAnsi="Times New Roman" w:eastAsia="Times New Roman" w:cs="Google Sans"/>
          <w:color w:val="1F1F1F"/>
          <w:sz w:val="24"/>
          <w:rtl w:val="0"/>
        </w:rPr>
        <w:t>.</w:t>
      </w:r>
    </w:p>
    <w:p w14:paraId="000003D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9: Exploration Parameter (</w:t>
      </w:r>
      <m:oMath>
        <m:r>
          <m:rPr/>
          <m:t>O</m:t>
        </m:r>
      </m:oMath>
      <w:r>
        <w:rPr>
          <w:rFonts w:ascii="Times New Roman" w:hAnsi="Times New Roman" w:eastAsia="Times New Roman" w:cs="Google Sans"/>
          <w:color w:val="1F1F1F"/>
          <w:sz w:val="24"/>
          <w:rtl w:val="0"/>
        </w:rPr>
        <w:t>) Sensitivity</w:t>
      </w:r>
    </w:p>
    <w:p w14:paraId="000003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Source diversity and target collapse rates as a function of the LinUCB exploration parameter.</w:t>
      </w:r>
    </w:p>
    <w:tbl>
      <w:tblPr>
        <w:tblStyle w:val="23"/>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77"/>
        <w:gridCol w:w="1470"/>
        <w:gridCol w:w="1141"/>
        <w:gridCol w:w="1444"/>
        <w:gridCol w:w="1114"/>
        <w:gridCol w:w="1207"/>
        <w:gridCol w:w="1181"/>
        <w:gridCol w:w="1426"/>
      </w:tblGrid>
      <w:tr w14:paraId="1BA4816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α</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r>
      <w:tr w14:paraId="4691CCEE">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49CD1D6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B62D45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5B91F74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0EE9491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F65CFD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bl>
    <w:p w14:paraId="0000041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 xml:space="preserve">Finding: Collapse persists across the exploration parameter values tested. For degenerate sources, the modal share remains at </w:t>
      </w:r>
      <w:r>
        <w:rPr>
          <w:rFonts w:hint="eastAsia" w:eastAsia="宋体"/>
          <w:lang w:val="en-US" w:eastAsia="zh-CN"/>
        </w:rPr>
        <w:t>1.00</w:t>
      </w:r>
      <w:r>
        <w:t xml:space="preserve"> regardless of </w:t>
      </w:r>
      <w:r>
        <w:rPr>
          <w:rFonts w:hint="eastAsia"/>
        </w:rPr>
        <w:t>α</w:t>
      </w:r>
      <w:bookmarkStart w:id="0" w:name="_GoBack"/>
      <w:bookmarkEnd w:id="0"/>
      <w:r>
        <w:t>. For diverse sources, higher  values modestly improve entropy but do not alter the fundamental transfer outcomes.</w:t>
      </w:r>
    </w:p>
    <w:p w14:paraId="000004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7.8.4 Nonlinear Contextual Policies</w:t>
      </w:r>
    </w:p>
    <w:p w14:paraId="0000041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LinUCB assumes linear reward functions. A nonlinear policy class might maintain diversity even when transferring from degenerate sources.</w:t>
      </w:r>
    </w:p>
    <w:p w14:paraId="0000041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LinUCB with KernelUCB (RBF kernel), NeuralUCB (2-layer neural network), and a Random Forest UCB bandit.</w:t>
      </w:r>
    </w:p>
    <w:p w14:paraId="000004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10: Nonlinear Contextual Policies</w:t>
      </w:r>
    </w:p>
    <w:p w14:paraId="000004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outcomes using alternative contextual bandit architectures.</w:t>
      </w:r>
    </w:p>
    <w:tbl>
      <w:tblPr>
        <w:tblStyle w:val="2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509"/>
        <w:gridCol w:w="1087"/>
        <w:gridCol w:w="1070"/>
        <w:gridCol w:w="1233"/>
        <w:gridCol w:w="1191"/>
        <w:gridCol w:w="1173"/>
        <w:gridCol w:w="1014"/>
        <w:gridCol w:w="1083"/>
      </w:tblGrid>
      <w:tr w14:paraId="363E710B">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Policy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Runtime (hrs)</w:t>
            </w:r>
          </w:p>
        </w:tc>
      </w:tr>
      <w:tr w14:paraId="3A8A69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LinUCB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2.1</w:t>
            </w:r>
          </w:p>
        </w:tc>
      </w:tr>
      <w:tr w14:paraId="369A9072">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KernelUCB (RBF)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8.4</w:t>
            </w:r>
          </w:p>
        </w:tc>
      </w:tr>
      <w:tr w14:paraId="4D8F79A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NeuralUCB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12.6</w:t>
            </w:r>
          </w:p>
        </w:tc>
      </w:tr>
      <w:tr w14:paraId="14C605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Forest UCB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5.3</w:t>
            </w:r>
          </w:p>
        </w:tc>
      </w:tr>
    </w:tbl>
    <w:p w14:paraId="0000044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rPr>
        <w:t>Finding: Nonlinear policies do not prevent collapse. The failure mode persists across the four policy classes examined—it arises from source-side training dynamics rather than the specific linear assumptions of LinUCB.</w:t>
      </w:r>
    </w:p>
    <w:p w14:paraId="0000044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7.8.5 Randomized-Context Placebo Test</w:t>
      </w:r>
    </w:p>
    <w:p w14:paraId="0000044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occur because the context features themselves are uninformative, forcing the bandit to converge to a static rule.</w:t>
      </w:r>
    </w:p>
    <w:p w14:paraId="0000044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the context features with random noise, shuffled features, or constant zeros.</w:t>
      </w:r>
    </w:p>
    <w:p w14:paraId="0000044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11: Randomized-Context Placebo Test</w:t>
      </w:r>
    </w:p>
    <w:p w14:paraId="0000044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performance using real versus randomized/placebo context features.</w:t>
      </w:r>
    </w:p>
    <w:tbl>
      <w:tblPr>
        <w:tblStyle w:val="2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78"/>
        <w:gridCol w:w="1126"/>
        <w:gridCol w:w="1106"/>
        <w:gridCol w:w="1296"/>
        <w:gridCol w:w="1282"/>
        <w:gridCol w:w="1262"/>
        <w:gridCol w:w="1910"/>
      </w:tblGrid>
      <w:tr w14:paraId="33AC5887">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Context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Sharpe vs. Static-0.50</w:t>
            </w:r>
          </w:p>
        </w:tc>
      </w:tr>
      <w:tr w14:paraId="676E03B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072838E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Noise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3EB96B1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Features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79A0A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Constant (Zero)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bl>
    <w:p w14:paraId="0000046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persists even with random context features. This confirms that the transfer failure is driven by the structural parameters of the frozen source policy, rather than the informational content of target context features.</w:t>
      </w:r>
    </w:p>
    <w:p w14:paraId="000004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7.8.6 Shuffled-Action Placebo Test</w:t>
      </w:r>
    </w:p>
    <w:p w14:paraId="000004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be an artifact of the specific mapping from actions to thresholds.</w:t>
      </w:r>
    </w:p>
    <w:p w14:paraId="0000046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randomly shuffle the mapping from actions to thresholds.</w:t>
      </w:r>
    </w:p>
    <w:p w14:paraId="0000046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12: Shuffled-Action Placebo Test</w:t>
      </w:r>
    </w:p>
    <w:p w14:paraId="0000046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Effect of shuffling the action-to-threshold mapping on transfer outcomes.</w:t>
      </w:r>
    </w:p>
    <w:tbl>
      <w:tblPr>
        <w:tblStyle w:val="2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93"/>
        <w:gridCol w:w="1147"/>
        <w:gridCol w:w="1125"/>
        <w:gridCol w:w="1330"/>
        <w:gridCol w:w="1330"/>
        <w:gridCol w:w="1308"/>
        <w:gridCol w:w="1727"/>
      </w:tblGrid>
      <w:tr w14:paraId="0E04E818">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Mapping Scheme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Changed</w:t>
            </w:r>
          </w:p>
        </w:tc>
      </w:tr>
      <w:tr w14:paraId="32EB57F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Original</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w:t>
            </w:r>
          </w:p>
        </w:tc>
      </w:tr>
      <w:tr w14:paraId="4F84A61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CB63D4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3B5F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25CD5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Reversed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49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Action concentration persists across different mapping schemes. The collapse is driven by the policy's structural convergence to a single action, independent of the physical threshold value.</w:t>
      </w:r>
    </w:p>
    <w:p w14:paraId="0000049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7.8.7 Temporal Subsample Analysis</w:t>
      </w:r>
    </w:p>
    <w:p w14:paraId="0000049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Policy collapse might be specific to certain market regimes (e.g., low-volatility regimes or persistent bull markets).</w:t>
      </w:r>
    </w:p>
    <w:p w14:paraId="0000049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split the sample into pre-2018 and post-2018 windows, crisis vs. normal periods, and high-volatility vs. low-volatility periods.</w:t>
      </w:r>
    </w:p>
    <w:p w14:paraId="0000049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13: Temporal Subsample Analysis</w:t>
      </w:r>
    </w:p>
    <w:p w14:paraId="0000049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stability across different temporal and volatility regimes.</w:t>
      </w:r>
    </w:p>
    <w:tbl>
      <w:tblPr>
        <w:tblStyle w:val="27"/>
        <w:tblW w:w="10129"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813"/>
        <w:gridCol w:w="1085"/>
        <w:gridCol w:w="1269"/>
        <w:gridCol w:w="1244"/>
        <w:gridCol w:w="560"/>
        <w:gridCol w:w="680"/>
        <w:gridCol w:w="452"/>
        <w:gridCol w:w="1483"/>
        <w:gridCol w:w="1543"/>
      </w:tblGrid>
      <w:tr w14:paraId="539B604D">
        <w:trPr>
          <w:tblHeade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Subsample</w:t>
            </w:r>
          </w:p>
        </w:tc>
        <w:tc>
          <w:tcPr>
            <w:tcW w:w="1085"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N</w:t>
            </w:r>
          </w:p>
        </w:tc>
        <w:tc>
          <w:tcPr>
            <w:tcW w:w="1269"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SPY</w:t>
            </w:r>
          </w:p>
        </w:tc>
        <w:tc>
          <w:tcPr>
            <w:tcW w:w="1244"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QQQ</w:t>
            </w:r>
          </w:p>
        </w:tc>
        <w:tc>
          <w:tcPr>
            <w:tcW w:w="56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C35A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IWM</w:t>
            </w:r>
          </w:p>
        </w:tc>
        <w:tc>
          <w:tcPr>
            <w:tcW w:w="68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90EF5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EEM</w:t>
            </w:r>
          </w:p>
        </w:tc>
        <w:tc>
          <w:tcPr>
            <w:tcW w:w="452"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77F1DD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TLT</w:t>
            </w:r>
          </w:p>
        </w:tc>
        <w:tc>
          <w:tcPr>
            <w:tcW w:w="148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GLD</w:t>
            </w:r>
          </w:p>
        </w:tc>
        <w:tc>
          <w:tcPr>
            <w:tcW w:w="154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Overall</w:t>
            </w:r>
          </w:p>
        </w:tc>
      </w:tr>
      <w:tr w14:paraId="42AB2FD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rPr>
            </w:pPr>
            <w:r>
              <w:rPr>
                <w:rFonts w:ascii="Arial" w:hAnsi="Arial" w:eastAsia="Google Sans" w:cs="Google Sans"/>
                <w:b/>
                <w:bCs/>
                <w:color w:val="1F2D3D"/>
                <w:sz w:val="17"/>
                <w:shd w:val="clear" w:fill="auto"/>
                <w:rtl w:val="0"/>
                <w:lang w:val="en-US" w:eastAsia="zh-CN"/>
              </w:rPr>
              <w:t>Full Sample</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3780</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11CA6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18BEF7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24AA5A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67%</w:t>
            </w:r>
          </w:p>
        </w:tc>
      </w:tr>
      <w:tr w14:paraId="7651A6A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Pre-2018</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2016</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EFF5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4CE7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D42F1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69%</w:t>
            </w:r>
          </w:p>
        </w:tc>
      </w:tr>
      <w:tr w14:paraId="418E785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Post-2018</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1764</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61952D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E997D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A6825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70%</w:t>
            </w:r>
          </w:p>
        </w:tc>
      </w:tr>
      <w:tr w14:paraId="162744B2">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Crisis Periods</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504</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A29A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523C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439F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4A1ADC41">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Normal Periods</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3276</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2D19B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72494E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36C926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r w14:paraId="60099A04">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High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01FBA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F4A2D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C9BA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6818FE2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EFADA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Low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8A08D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5872C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6D7CA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1EDC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A0BF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8353E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692559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52B38C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bl>
    <w:p w14:paraId="000004D0">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is highly stable over time. The failure mode persists in both high and low volatility regimes, suggesting it is a structural characteristics of the transfer rather than a temporal anomaly.</w:t>
      </w:r>
    </w:p>
    <w:p w14:paraId="000004D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7.8.8 Source-Only Degeneracy vs. Transfer-Induced Collapse</w:t>
      </w:r>
    </w:p>
    <w:p w14:paraId="000004D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key question is whether collapse occurs on the source itself during training, or if it is triggered during the transfer phase.</w:t>
      </w:r>
    </w:p>
    <w:p w14:paraId="000004D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source-side modal share with target-side modal share for each source.</w:t>
      </w:r>
    </w:p>
    <w:p w14:paraId="000004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14: Source-Target Outcome Classification</w:t>
      </w:r>
    </w:p>
    <w:p w14:paraId="000004D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Comparison of source-side policy concentration and target-side transfer outcomes.</w:t>
      </w:r>
    </w:p>
    <w:tbl>
      <w:tblPr>
        <w:tblStyle w:val="2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243"/>
        <w:gridCol w:w="1093"/>
        <w:gridCol w:w="1376"/>
        <w:gridCol w:w="1167"/>
        <w:gridCol w:w="1304"/>
        <w:gridCol w:w="1338"/>
        <w:gridCol w:w="1122"/>
      </w:tblGrid>
      <w:tr w14:paraId="714BC5E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Degenerate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Modal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Target 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Origin</w:t>
            </w:r>
          </w:p>
        </w:tc>
      </w:tr>
      <w:tr w14:paraId="070EA8A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6A0D023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B6E0E4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2BFC89A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7EF5EA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1EB4236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bl>
    <w:p w14:paraId="0000050E">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originates entirely on the source. Sources that are degenerate on their own training data produce degenerate transfers with </w:t>
      </w:r>
      <m:oMath>
        <m:r>
          <m:rPr/>
          <m:t>100%</m:t>
        </m:r>
      </m:oMath>
      <w:r>
        <w:rPr>
          <w:rFonts w:ascii="Times New Roman" w:hAnsi="Times New Roman" w:eastAsia="Times New Roman" w:cs="Google Sans"/>
          <w:color w:val="1F1F1F"/>
          <w:sz w:val="24"/>
          <w:rtl w:val="0"/>
        </w:rPr>
        <w:t xml:space="preserve"> probability. Sources that maintain diversity on their own data maintain diversity upon transfer.</w:t>
      </w:r>
    </w:p>
    <w:p w14:paraId="0000050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7.8.9 Incremental Value of Context</w:t>
      </w:r>
    </w:p>
    <w:p w14:paraId="0000051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Motivation: A key question is whether the contextual bandit policy provides any value over simpler non-contextual approaches. If a single static threshold is optimal, then action concentration may represent successful learning rather than policy failure.</w:t>
      </w:r>
    </w:p>
    <w:p w14:paraId="00000511">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five approaches:</w:t>
      </w:r>
    </w:p>
    <w:p w14:paraId="00000512">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Global Best Static:</w:t>
      </w:r>
      <w:r>
        <w:rPr>
          <w:rFonts w:ascii="Times New Roman" w:hAnsi="Times New Roman" w:eastAsia="Times New Roman" w:cs="Google Sans"/>
          <w:color w:val="1F1F1F"/>
          <w:sz w:val="24"/>
          <w:rtl w:val="0"/>
        </w:rPr>
        <w:t xml:space="preserve"> The single threshold that maximizes Sharpe across the entire sample.</w:t>
      </w:r>
    </w:p>
    <w:p w14:paraId="00000513">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Context-Free Bandit:</w:t>
      </w:r>
      <w:r>
        <w:rPr>
          <w:rFonts w:ascii="Times New Roman" w:hAnsi="Times New Roman" w:eastAsia="Times New Roman" w:cs="Google Sans"/>
          <w:color w:val="1F1F1F"/>
          <w:sz w:val="24"/>
          <w:rtl w:val="0"/>
        </w:rPr>
        <w:t xml:space="preserve"> LinUCB with constant context (no contextual information).</w:t>
      </w:r>
    </w:p>
    <w:p w14:paraId="00000514">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Contextual Bandit:</w:t>
      </w:r>
      <w:r>
        <w:rPr>
          <w:rFonts w:ascii="Times New Roman" w:hAnsi="Times New Roman" w:eastAsia="Times New Roman" w:cs="Google Sans"/>
          <w:color w:val="1F1F1F"/>
          <w:sz w:val="24"/>
          <w:rtl w:val="0"/>
        </w:rPr>
        <w:t xml:space="preserve"> Standard LinUCB with context features.</w:t>
      </w:r>
    </w:p>
    <w:p w14:paraId="00000515">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Oracle Contextual:</w:t>
      </w:r>
      <w:r>
        <w:rPr>
          <w:rFonts w:ascii="Times New Roman" w:hAnsi="Times New Roman" w:eastAsia="Times New Roman" w:cs="Google Sans"/>
          <w:color w:val="1F1F1F"/>
          <w:sz w:val="24"/>
          <w:rtl w:val="0"/>
        </w:rPr>
        <w:t xml:space="preserve"> Post-hoc regime-specific optimal thresholds.</w:t>
      </w:r>
    </w:p>
    <w:p w14:paraId="00000516">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Rolling Regime-Specific:</w:t>
      </w:r>
      <w:r>
        <w:rPr>
          <w:rFonts w:ascii="Times New Roman" w:hAnsi="Times New Roman" w:eastAsia="Times New Roman" w:cs="Google Sans"/>
          <w:color w:val="1F1F1F"/>
          <w:sz w:val="24"/>
          <w:rtl w:val="0"/>
        </w:rPr>
        <w:t xml:space="preserve"> Thresholds selected adaptively by rolling regime.</w:t>
      </w:r>
    </w:p>
    <w:p w14:paraId="000005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16: Incremental Value of Context</w:t>
      </w:r>
    </w:p>
    <w:p w14:paraId="000005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Sharpe ratio comparison across contextual and non-contextual architectures.</w:t>
      </w:r>
    </w:p>
    <w:tbl>
      <w:tblPr>
        <w:tblStyle w:val="2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572"/>
        <w:gridCol w:w="969"/>
        <w:gridCol w:w="969"/>
        <w:gridCol w:w="970"/>
        <w:gridCol w:w="970"/>
        <w:gridCol w:w="970"/>
        <w:gridCol w:w="970"/>
        <w:gridCol w:w="970"/>
      </w:tblGrid>
      <w:tr w14:paraId="349F6282">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Benchmark</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w:t>
            </w:r>
          </w:p>
        </w:tc>
      </w:tr>
      <w:tr w14:paraId="0E7FF79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Global Best Static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0.027</w:t>
            </w:r>
          </w:p>
        </w:tc>
      </w:tr>
      <w:tr w14:paraId="310530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Context-Free Bandit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r>
      <w:tr w14:paraId="7D0B74D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Contextual Bandit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r>
      <w:tr w14:paraId="31CDAD9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Oracle Contextual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r>
      <w:tr w14:paraId="52E4C5A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Incremental Value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42F3E03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r>
    </w:tbl>
    <w:p w14:paraId="0000055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52">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 Has Theoretical Value:</w:t>
      </w:r>
      <w:r>
        <w:rPr>
          <w:rFonts w:ascii="Times New Roman" w:hAnsi="Times New Roman" w:eastAsia="Times New Roman" w:cs="Google Sans"/>
          <w:color w:val="1F1F1F"/>
          <w:sz w:val="24"/>
          <w:rtl w:val="0"/>
        </w:rPr>
        <w:t xml:space="preserve"> The Oracle Contextual benchmark significantly outperforms the global best static threshold (</w:t>
      </w:r>
      <m:oMath>
        <m:r>
          <m:rPr/>
          <m:t>+0.008</m:t>
        </m:r>
      </m:oMath>
      <w:r>
        <w:rPr>
          <w:rFonts w:ascii="Times New Roman" w:hAnsi="Times New Roman" w:eastAsia="Times New Roman" w:cs="Google Sans"/>
          <w:color w:val="1F1F1F"/>
          <w:sz w:val="24"/>
          <w:rtl w:val="0"/>
        </w:rPr>
        <w:t xml:space="preserve"> Sharpe, </w:t>
      </w:r>
      <m:oMath>
        <m:r>
          <m:rPr/>
          <m:t>p&lt; 0.01</m:t>
        </m:r>
      </m:oMath>
      <w:r>
        <w:rPr>
          <w:rFonts w:ascii="Times New Roman" w:hAnsi="Times New Roman" w:eastAsia="Times New Roman" w:cs="Google Sans"/>
          <w:color w:val="1F1F1F"/>
          <w:sz w:val="24"/>
          <w:rtl w:val="0"/>
        </w:rPr>
        <w:t>). This confirms that regime-specific adaptation is valuable.</w:t>
      </w:r>
    </w:p>
    <w:p w14:paraId="00000553">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Bandit Fails to Utilize Context:</w:t>
      </w:r>
      <w:r>
        <w:rPr>
          <w:rFonts w:ascii="Times New Roman" w:hAnsi="Times New Roman" w:eastAsia="Times New Roman" w:cs="Google Sans"/>
          <w:color w:val="1F1F1F"/>
          <w:sz w:val="24"/>
          <w:rtl w:val="0"/>
        </w:rPr>
        <w:t xml:space="preserve"> The contextual bandit does not significantly outperform the context-free bandit (</w:t>
      </w:r>
      <m:oMath>
        <m:r>
          <m:rPr/>
          <m:t>+0.001</m:t>
        </m:r>
      </m:oMath>
      <w:r>
        <w:rPr>
          <w:rFonts w:ascii="Times New Roman" w:hAnsi="Times New Roman" w:eastAsia="Times New Roman" w:cs="Google Sans"/>
          <w:color w:val="1F1F1F"/>
          <w:sz w:val="24"/>
          <w:rtl w:val="0"/>
        </w:rPr>
        <w:t xml:space="preserve"> Sharpe, </w:t>
      </w:r>
      <m:oMath>
        <m:r>
          <m:rPr/>
          <m:t>p = 0.42</m:t>
        </m:r>
      </m:oMath>
      <w:r>
        <w:rPr>
          <w:rFonts w:ascii="Times New Roman" w:hAnsi="Times New Roman" w:eastAsia="Times New Roman" w:cs="Google Sans"/>
          <w:color w:val="1F1F1F"/>
          <w:sz w:val="24"/>
          <w:rtl w:val="0"/>
        </w:rPr>
        <w:t>). This suggests the bandit fails to learn context-dependent policies out-of-sample.</w:t>
      </w:r>
    </w:p>
    <w:p w14:paraId="00000554">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 xml:space="preserve">Action Concentration </w:t>
      </w:r>
      <m:oMath>
        <m:r>
          <m:rPr/>
          <m:t>a</m:t>
        </m:r>
      </m:oMath>
      <w:r>
        <w:rPr>
          <w:rFonts w:ascii="Times New Roman" w:hAnsi="Times New Roman" w:eastAsia="Times New Roman" w:cs="Google Sans"/>
          <w:b/>
          <w:bCs/>
          <w:color w:val="1F1F1F"/>
          <w:sz w:val="24"/>
          <w:rtl w:val="0"/>
        </w:rPr>
        <w:t xml:space="preserve"> Success:</w:t>
      </w:r>
      <w:r>
        <w:rPr>
          <w:rFonts w:ascii="Times New Roman" w:hAnsi="Times New Roman" w:eastAsia="Times New Roman" w:cs="Google Sans"/>
          <w:color w:val="1F1F1F"/>
          <w:sz w:val="24"/>
          <w:rtl w:val="0"/>
        </w:rPr>
        <w:t xml:space="preserve"> The observed action concentration represents a "failure to adapt" rather than "success in learning a static optimum."</w:t>
      </w:r>
    </w:p>
    <w:p w14:paraId="0000055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7.8.10 Regime-Specific Analysis</w:t>
      </w:r>
    </w:p>
    <w:p w14:paraId="000005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Motivation: Understanding when context has theoretical value based on Oracle analysis helps explain why the bandit fails.</w:t>
      </w:r>
    </w:p>
    <w:p w14:paraId="000005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analyze Oracle performance across different market regimes.</w:t>
      </w:r>
    </w:p>
    <w:p w14:paraId="00000558">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17: Regime-Specific Analysis</w:t>
      </w:r>
    </w:p>
    <w:p w14:paraId="000005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Oracle performance and optimal thresholds across different market regimes.</w:t>
      </w:r>
    </w:p>
    <w:tbl>
      <w:tblPr>
        <w:tblStyle w:val="3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8"/>
        <w:gridCol w:w="1093"/>
        <w:gridCol w:w="1802"/>
        <w:gridCol w:w="1514"/>
        <w:gridCol w:w="1436"/>
        <w:gridCol w:w="1857"/>
      </w:tblGrid>
      <w:tr w14:paraId="1773545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Regime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 Periods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Static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Advantage</w:t>
            </w:r>
          </w:p>
        </w:tc>
      </w:tr>
      <w:tr w14:paraId="04A8053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High Volatility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+0.013</w:t>
            </w:r>
          </w:p>
        </w:tc>
      </w:tr>
      <w:tr w14:paraId="389F806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Low Volatility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+0.007</w:t>
            </w:r>
          </w:p>
        </w:tc>
      </w:tr>
      <w:tr w14:paraId="35A51F2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Trending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r w14:paraId="16E9C4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Mean-Reverting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11D209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Crisis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r w14:paraId="1ECC95B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Normal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r>
    </w:tbl>
    <w:p w14:paraId="00000584">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85">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Context has the highest value during trending markets (</w:t>
      </w:r>
      <m:oMath>
        <m:r>
          <m:rPr/>
          <m:t>+0.017</m:t>
        </m:r>
      </m:oMath>
      <w:r>
        <w:rPr>
          <w:rFonts w:ascii="Times New Roman" w:hAnsi="Times New Roman" w:eastAsia="Times New Roman" w:cs="Google Sans"/>
          <w:color w:val="1F1F1F"/>
          <w:sz w:val="24"/>
          <w:rtl w:val="0"/>
        </w:rPr>
        <w:t>).</w:t>
      </w:r>
    </w:p>
    <w:p w14:paraId="00000586">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Context has no measurable value during crisis periods (</w:t>
      </w:r>
      <m:oMath>
        <m:r>
          <m:rPr/>
          <m:t>+0.000</m:t>
        </m:r>
      </m:oMath>
      <w:r>
        <w:rPr>
          <w:rFonts w:ascii="Times New Roman" w:hAnsi="Times New Roman" w:eastAsia="Times New Roman" w:cs="Google Sans"/>
          <w:color w:val="1F1F1F"/>
          <w:sz w:val="24"/>
          <w:rtl w:val="0"/>
        </w:rPr>
        <w:t>).</w:t>
      </w:r>
    </w:p>
    <w:p w14:paraId="00000587">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 xml:space="preserve">The optimal threshold varies significantly by regime (spanning </w:t>
      </w:r>
      <m:oMath>
        <m:r>
          <m:rPr/>
          <m:t>0.35</m:t>
        </m:r>
      </m:oMath>
      <w:r>
        <w:rPr>
          <w:rFonts w:ascii="Times New Roman" w:hAnsi="Times New Roman" w:eastAsia="Times New Roman" w:cs="Google Sans"/>
          <w:color w:val="1F1F1F"/>
          <w:sz w:val="24"/>
          <w:rtl w:val="0"/>
        </w:rPr>
        <w:t xml:space="preserve"> to </w:t>
      </w:r>
      <m:oMath>
        <m:r>
          <m:rPr/>
          <m:t>0.60</m:t>
        </m:r>
      </m:oMath>
      <w:r>
        <w:rPr>
          <w:rFonts w:ascii="Times New Roman" w:hAnsi="Times New Roman" w:eastAsia="Times New Roman" w:cs="Google Sans"/>
          <w:color w:val="1F1F1F"/>
          <w:sz w:val="24"/>
          <w:rtl w:val="0"/>
        </w:rPr>
        <w:t>).</w:t>
      </w:r>
    </w:p>
    <w:p w14:paraId="00000588">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The bandit's failure to adapt is particularly costly during trending markets, where regime-specific thresholds could provide significant benefits.</w:t>
      </w:r>
    </w:p>
    <w:p w14:paraId="0000058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7.9 Robustness Summary</w:t>
      </w:r>
    </w:p>
    <w:p w14:paraId="0000058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15: Robustness Summary</w:t>
      </w:r>
    </w:p>
    <w:p w14:paraId="0000058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Summary of the experimental outcomes across all ablation trials.</w:t>
      </w:r>
    </w:p>
    <w:tbl>
      <w:tblPr>
        <w:tblStyle w:val="3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997"/>
        <w:gridCol w:w="1263"/>
        <w:gridCol w:w="1235"/>
        <w:gridCol w:w="3775"/>
        <w:gridCol w:w="1090"/>
      </w:tblGrid>
      <w:tr w14:paraId="017ACEAA">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Ablation Trial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Key Finding</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Conclusion</w:t>
            </w:r>
          </w:p>
        </w:tc>
      </w:tr>
      <w:tr w14:paraId="39F91B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probability 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0AD73E8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Action Grids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 space discretization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80AD83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 xml:space="preserve">Exploration </w:t>
            </w:r>
            <m:oMath>
              <m:r>
                <m:rPr/>
                <m:t>O</m:t>
              </m:r>
            </m:oMath>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Exploration cannot fix degenerate convergence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3048AF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Nonlinear Policies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Algorithmic-agnostic failure mode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C41F4B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Driven by source frozen weights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94E8A1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Action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action-threshold mapping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A96EF4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Temporal Subsamples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Temporally stable across regimes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92D4DA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Source Origin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Collapse originates during training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bl>
    <w:p w14:paraId="000005B9">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results in Table 15 establish the following:</w:t>
      </w:r>
    </w:p>
    <w:p w14:paraId="000005BA">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Source static degeneracy is structural, not parameterized:</w:t>
      </w:r>
      <w:r>
        <w:rPr>
          <w:rFonts w:ascii="Times New Roman" w:hAnsi="Times New Roman" w:eastAsia="Times New Roman" w:cs="Google Sans"/>
          <w:color w:val="1F1F1F"/>
          <w:sz w:val="24"/>
          <w:rtl w:val="0"/>
        </w:rPr>
        <w:t xml:space="preserve"> It is not an artifact of model miscalibration or chosen thresholds.</w:t>
      </w:r>
    </w:p>
    <w:p w14:paraId="000005BB">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FCTT-DA is highly reliable:</w:t>
      </w:r>
      <w:r>
        <w:rPr>
          <w:rFonts w:ascii="Times New Roman" w:hAnsi="Times New Roman" w:eastAsia="Times New Roman" w:cs="Google Sans"/>
          <w:color w:val="1F1F1F"/>
          <w:sz w:val="24"/>
          <w:rtl w:val="0"/>
        </w:rPr>
        <w:t xml:space="preserve"> The rejection rule (source modal share </w:t>
      </w:r>
      <m:oMath>
        <m:r>
          <m:rPr/>
          <m:t>&gt; 90%</m:t>
        </m:r>
      </m:oMath>
      <w:r>
        <w:rPr>
          <w:rFonts w:ascii="Times New Roman" w:hAnsi="Times New Roman" w:eastAsia="Times New Roman" w:cs="Google Sans"/>
          <w:color w:val="1F1F1F"/>
          <w:sz w:val="24"/>
          <w:rtl w:val="0"/>
        </w:rPr>
        <w:t>) correctly handles degenerate transfers across all tested environments.</w:t>
      </w:r>
    </w:p>
    <w:p w14:paraId="000005B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 Discussion</w:t>
      </w:r>
    </w:p>
    <w:p w14:paraId="000005B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8.1 Source Diversity as a Practical Screening Criterion</w:t>
      </w:r>
    </w:p>
    <w:p w14:paraId="000005B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central finding of this paper is that source policy diversity during training is a useful indicator for transfer success. When the source policy degenerates during training (selecting a single action on </w:t>
      </w:r>
      <m:oMath>
        <m:r>
          <m:rPr/>
          <m:t>100%</m:t>
        </m:r>
      </m:oMath>
      <w:r>
        <w:rPr>
          <w:rFonts w:ascii="Times New Roman" w:hAnsi="Times New Roman" w:eastAsia="Times New Roman" w:cs="Google Sans"/>
          <w:color w:val="1F1F1F"/>
          <w:sz w:val="24"/>
          <w:rtl w:val="0"/>
        </w:rPr>
        <w:t xml:space="preserve"> of observations), the transferred policy inherits this degeneracy on all targets. When the source maintains diversity, the transferred policy maintains some context sensitivity—though it still concentrates on a single threshold (</w:t>
      </w:r>
      <m:oMath>
        <m:r>
          <m:rPr/>
          <m:t>0.45</m:t>
        </m:r>
      </m:oMath>
      <w:r>
        <w:rPr>
          <w:rFonts w:ascii="Times New Roman" w:hAnsi="Times New Roman" w:eastAsia="Times New Roman" w:cs="Google Sans"/>
          <w:color w:val="1F1F1F"/>
          <w:sz w:val="24"/>
          <w:rtl w:val="0"/>
        </w:rPr>
        <w:t xml:space="preserve">) on </w:t>
      </w:r>
      <m:oMath>
        <m:r>
          <m:rPr/>
          <m:t>73%</m:t>
        </m:r>
      </m:oMath>
      <w:r>
        <w:rPr>
          <w:rFonts w:ascii="Times New Roman" w:hAnsi="Times New Roman" w:eastAsia="Times New Roman" w:cs="Google Sans"/>
          <w:color w:val="1F1F1F"/>
          <w:sz w:val="24"/>
          <w:rtl w:val="0"/>
        </w:rPr>
        <w:t xml:space="preserve"> of observations. This finding has immediate practical implications: audit the source policy before transfer. If the source policy has low action entropy during training, the transfer will fail.</w:t>
      </w:r>
    </w:p>
    <w:p w14:paraId="000005B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8.2 Why Do Some Sources Degenerate?</w:t>
      </w:r>
    </w:p>
    <w:p w14:paraId="000005C0">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Four of six sources (SPY, QQQ, EEM, GLD) degenerate during training, while TLT and IWM do not. We hypothesize three contributing factors:</w:t>
      </w:r>
    </w:p>
    <w:p w14:paraId="000005C1">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Macro-Driven Dynamics: Long-term Treasury bonds (TLT) are driven by different macroeconomic factors than equities or commodities, such as interest rate cycles, Federal Reserve policy decisions, and flight-to-quality flows. These macro drivers create a context feature space with higher variance, making it harder for LinUCB to converge to a single dominant action within the training window.</w:t>
      </w:r>
    </w:p>
    <w:p w14:paraId="000005C2">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Mean-Reverting vs. Trending Behavior:</w:t>
      </w:r>
      <w:r>
        <w:rPr>
          <w:rFonts w:ascii="Times New Roman" w:hAnsi="Times New Roman" w:eastAsia="Times New Roman" w:cs="Google Sans"/>
          <w:color w:val="1F1F1F"/>
          <w:sz w:val="24"/>
          <w:rtl w:val="0"/>
        </w:rPr>
        <w:t xml:space="preserve"> Bond markets exhibit stronger mean-reversion properties than equity markets. This means the optimal threshold may shift more frequently across regimes, preventing the policy from locking onto a single action.</w:t>
      </w:r>
    </w:p>
    <w:p w14:paraId="000005C3">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Context Cloud Geometry: In the 3D context space (Empirical Mode Decomposition (EMD), volatility quantile, trend strength), TLT's context observations may be more dispersed, spanning multiple LinUCB decision regions. In contrast, equity/commodity contexts may cluster tightly, falling within a single decision cone and triggering collapse.</w:t>
      </w:r>
    </w:p>
    <w:p w14:paraId="000005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8.3 The Behavioral-Equivalence Insight</w:t>
      </w:r>
    </w:p>
    <w:p w14:paraId="000005C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Even when the TLT source policy does not collapse, it provides no significant improvement over a static </w:t>
      </w:r>
      <m:oMath>
        <m:r>
          <m:rPr/>
          <m:t>0.45</m:t>
        </m:r>
      </m:oMath>
      <w:r>
        <w:rPr>
          <w:rFonts w:ascii="Times New Roman" w:hAnsi="Times New Roman" w:eastAsia="Times New Roman" w:cs="Google Sans"/>
          <w:color w:val="1F1F1F"/>
          <w:sz w:val="24"/>
          <w:rtl w:val="0"/>
        </w:rPr>
        <w:t xml:space="preserve"> threshold (mean Sharpe difference: </w:t>
      </w:r>
      <m:oMath>
        <m:r>
          <m:rPr/>
          <m:t>−0.004</m:t>
        </m:r>
      </m:oMath>
      <w:r>
        <w:rPr>
          <w:rFonts w:ascii="Times New Roman" w:hAnsi="Times New Roman" w:eastAsia="Times New Roman" w:cs="Google Sans"/>
          <w:color w:val="1F1F1F"/>
          <w:sz w:val="24"/>
          <w:rtl w:val="0"/>
        </w:rPr>
        <w:t>). This suggests that contextual information has limited incremental value for threshold selection in this setting.</w:t>
      </w:r>
    </w:p>
    <w:p w14:paraId="000005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finding reveals a two-level diagnostic that practitioners should apply:</w:t>
      </w:r>
    </w:p>
    <w:p w14:paraId="000005C7">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Level 1 (Formal Collapse):</w:t>
      </w:r>
      <w:r>
        <w:rPr>
          <w:rFonts w:ascii="Times New Roman" w:hAnsi="Times New Roman" w:eastAsia="Times New Roman" w:cs="Google Sans"/>
          <w:color w:val="1F1F1F"/>
          <w:sz w:val="24"/>
          <w:rtl w:val="0"/>
        </w:rPr>
        <w:t xml:space="preserve"> Does the policy select a single action on </w:t>
      </w:r>
      <m:oMath>
        <m:r>
          <m:rPr/>
          <m:t>&gt; 90%</m:t>
        </m:r>
      </m:oMath>
      <w:r>
        <w:rPr>
          <w:rFonts w:ascii="Times New Roman" w:hAnsi="Times New Roman" w:eastAsia="Times New Roman" w:cs="Google Sans"/>
          <w:color w:val="1F1F1F"/>
          <w:sz w:val="24"/>
          <w:rtl w:val="0"/>
        </w:rPr>
        <w:t xml:space="preserve"> of observations?</w:t>
      </w:r>
    </w:p>
    <w:p w14:paraId="000005C8">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Level 2 (Behavioral Equivalence):</w:t>
      </w:r>
      <w:r>
        <w:rPr>
          <w:rFonts w:ascii="Times New Roman" w:hAnsi="Times New Roman" w:eastAsia="Times New Roman" w:cs="Google Sans"/>
          <w:color w:val="1F1F1F"/>
          <w:sz w:val="24"/>
          <w:rtl w:val="0"/>
        </w:rPr>
        <w:t xml:space="preserve"> Does the policy's performance differ significantly from the closest static threshold?</w:t>
      </w:r>
    </w:p>
    <w:p w14:paraId="000005C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 policy may pass Level 1 (no formal collapse) but fail Level 2 (behaviorally equivalent to a static rule). In such cases, the contextual architecture provides negative value: it adds computational cost, reduces interpretability, and increases the risk of overfitting, without delivering incremental economic value.</w:t>
      </w:r>
    </w:p>
    <w:p w14:paraId="000005CA">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i/>
          <w:iCs/>
          <w:color w:val="1F1F1F"/>
          <w:sz w:val="24"/>
          <w:rtl w:val="0"/>
        </w:rPr>
        <w:t>Practical recommendation:</w:t>
      </w:r>
      <w:r>
        <w:rPr>
          <w:rFonts w:ascii="Times New Roman" w:hAnsi="Times New Roman" w:eastAsia="Times New Roman" w:cs="Google Sans"/>
          <w:color w:val="1F1F1F"/>
          <w:sz w:val="24"/>
          <w:rtl w:val="0"/>
        </w:rPr>
        <w:t xml:space="preserve"> Before deploying any transferred policy, compare it against:</w:t>
      </w:r>
    </w:p>
    <w:p w14:paraId="000005CB">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 xml:space="preserve">The conventional </w:t>
      </w:r>
      <m:oMath>
        <m:r>
          <m:rPr/>
          <m:t>0.50</m:t>
        </m:r>
      </m:oMath>
      <w:r>
        <w:rPr>
          <w:rFonts w:ascii="Times New Roman" w:hAnsi="Times New Roman" w:eastAsia="Times New Roman" w:cs="Google Sans"/>
          <w:color w:val="1F1F1F"/>
          <w:sz w:val="24"/>
          <w:rtl w:val="0"/>
        </w:rPr>
        <w:t xml:space="preserve"> cutoff.</w:t>
      </w:r>
    </w:p>
    <w:p w14:paraId="000005CC">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The behavioral-equivalent static threshold.</w:t>
      </w:r>
    </w:p>
    <w:p w14:paraId="000005CD">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The exposure-matched static threshold.</w:t>
      </w:r>
    </w:p>
    <w:p w14:paraId="000005C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Only if the learned policy significantly outperforms all three should it be deployed in production.</w:t>
      </w:r>
    </w:p>
    <w:p w14:paraId="000005C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8.4 Implications for Practitioners and Researchers</w:t>
      </w:r>
    </w:p>
    <w:p w14:paraId="000005D0">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Practitioners:</w:t>
      </w:r>
    </w:p>
    <w:p w14:paraId="000005D1">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Audit before deployment:</w:t>
      </w:r>
      <w:r>
        <w:rPr>
          <w:rFonts w:ascii="Times New Roman" w:hAnsi="Times New Roman" w:eastAsia="Times New Roman" w:cs="Google Sans"/>
          <w:color w:val="1F1F1F"/>
          <w:sz w:val="24"/>
          <w:rtl w:val="0"/>
        </w:rPr>
        <w:t xml:space="preserve"> Check source policy diversity. If modal share </w:t>
      </w:r>
      <m:oMath>
        <m:r>
          <m:rPr/>
          <m:t>&gt; 90%</m:t>
        </m:r>
      </m:oMath>
      <w:r>
        <w:rPr>
          <w:rFonts w:ascii="Times New Roman" w:hAnsi="Times New Roman" w:eastAsia="Times New Roman" w:cs="Google Sans"/>
          <w:color w:val="1F1F1F"/>
          <w:sz w:val="24"/>
          <w:rtl w:val="0"/>
        </w:rPr>
        <w:t>, reject the transfer.</w:t>
      </w:r>
    </w:p>
    <w:p w14:paraId="000005D2">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Compare against behavioral-equivalent baselines:</w:t>
      </w:r>
      <w:r>
        <w:rPr>
          <w:rFonts w:ascii="Times New Roman" w:hAnsi="Times New Roman" w:eastAsia="Times New Roman" w:cs="Google Sans"/>
          <w:color w:val="1F1F1F"/>
          <w:sz w:val="24"/>
          <w:rtl w:val="0"/>
        </w:rPr>
        <w:t xml:space="preserve"> Do not just compare against </w:t>
      </w:r>
      <m:oMath>
        <m:r>
          <m:rPr/>
          <m:t>0.50</m:t>
        </m:r>
      </m:oMath>
      <w:r>
        <w:rPr>
          <w:rFonts w:ascii="Times New Roman" w:hAnsi="Times New Roman" w:eastAsia="Times New Roman" w:cs="Google Sans"/>
          <w:color w:val="1F1F1F"/>
          <w:sz w:val="24"/>
          <w:rtl w:val="0"/>
        </w:rPr>
        <w:t>.</w:t>
      </w:r>
    </w:p>
    <w:p w14:paraId="000005D3">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Report action distributions:</w:t>
      </w:r>
      <w:r>
        <w:rPr>
          <w:rFonts w:ascii="Times New Roman" w:hAnsi="Times New Roman" w:eastAsia="Times New Roman" w:cs="Google Sans"/>
          <w:color w:val="1F1F1F"/>
          <w:sz w:val="24"/>
          <w:rtl w:val="0"/>
        </w:rPr>
        <w:t xml:space="preserve"> Aggregate Sharpe ratios mask behavioral degeneracy.</w:t>
      </w:r>
    </w:p>
    <w:p w14:paraId="000005D4">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Researchers:</w:t>
      </w:r>
    </w:p>
    <w:p w14:paraId="000005D5">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Negative results are valuable:</w:t>
      </w:r>
      <w:r>
        <w:rPr>
          <w:rFonts w:ascii="Times New Roman" w:hAnsi="Times New Roman" w:eastAsia="Times New Roman" w:cs="Google Sans"/>
          <w:color w:val="1F1F1F"/>
          <w:sz w:val="24"/>
          <w:rtl w:val="0"/>
        </w:rPr>
        <w:t xml:space="preserve"> Establishing that a common practice fails is as important as proposing new methods.</w:t>
      </w:r>
    </w:p>
    <w:p w14:paraId="000005D6">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b/>
          <w:bCs/>
          <w:color w:val="1F1F1F"/>
          <w:sz w:val="24"/>
          <w:rtl w:val="0"/>
        </w:rPr>
        <w:t>The audit framework is general:</w:t>
      </w:r>
      <w:r>
        <w:rPr>
          <w:rFonts w:ascii="Times New Roman" w:hAnsi="Times New Roman" w:eastAsia="Times New Roman" w:cs="Google Sans"/>
          <w:color w:val="1F1F1F"/>
          <w:sz w:val="24"/>
          <w:rtl w:val="0"/>
        </w:rPr>
        <w:t xml:space="preserve"> FCTT-DA applies to any domain where learned policies are transferred.</w:t>
      </w:r>
    </w:p>
    <w:p w14:paraId="000005D7">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8.5 Limitations and Future Directions</w:t>
      </w:r>
    </w:p>
    <w:p w14:paraId="000005D8">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Linear Bandit Assumption:</w:t>
      </w:r>
      <w:r>
        <w:rPr>
          <w:rFonts w:ascii="Times New Roman" w:hAnsi="Times New Roman" w:eastAsia="Times New Roman" w:cs="Google Sans"/>
          <w:color w:val="1F1F1F"/>
          <w:sz w:val="24"/>
          <w:rtl w:val="0"/>
        </w:rPr>
        <w:t xml:space="preserve"> LinUCB's linear assumption may be too restrictive. Future work should explore kernelized bandits (e.g., GP-UCB) or deep contextual bandits.</w:t>
      </w:r>
    </w:p>
    <w:p w14:paraId="000005D9">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No Target Adaptation:</w:t>
      </w:r>
      <w:r>
        <w:rPr>
          <w:rFonts w:ascii="Times New Roman" w:hAnsi="Times New Roman" w:eastAsia="Times New Roman" w:cs="Google Sans"/>
          <w:color w:val="1F1F1F"/>
          <w:sz w:val="24"/>
          <w:rtl w:val="0"/>
        </w:rPr>
        <w:t xml:space="preserve"> Our protocol forbids any target-side learning. A promising direction is semi-frozen fine-tuning (parameter-efficient adaptation).</w:t>
      </w:r>
    </w:p>
    <w:p w14:paraId="000005DA">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Threshold Grid Sensitivity:</w:t>
      </w:r>
      <w:r>
        <w:rPr>
          <w:rFonts w:ascii="Times New Roman" w:hAnsi="Times New Roman" w:eastAsia="Times New Roman" w:cs="Google Sans"/>
          <w:color w:val="1F1F1F"/>
          <w:sz w:val="24"/>
          <w:rtl w:val="0"/>
        </w:rPr>
        <w:t xml:space="preserve"> The threshold grid is a critical design choice. Future work should explore continuous threshold selection (e.g., Beta distribution over thresholds).</w:t>
      </w:r>
    </w:p>
    <w:p w14:paraId="000005DB">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Single Source per Transfer:</w:t>
      </w:r>
      <w:r>
        <w:rPr>
          <w:rFonts w:ascii="Times New Roman" w:hAnsi="Times New Roman" w:eastAsia="Times New Roman" w:cs="Google Sans"/>
          <w:color w:val="1F1F1F"/>
          <w:sz w:val="24"/>
          <w:rtl w:val="0"/>
        </w:rPr>
        <w:t xml:space="preserve"> Each transfer uses one source asset. Multi-source aggregation may produce more robust policies.</w:t>
      </w:r>
    </w:p>
    <w:p w14:paraId="000005DC">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Probability Calibration:</w:t>
      </w:r>
      <w:r>
        <w:rPr>
          <w:rFonts w:ascii="Times New Roman" w:hAnsi="Times New Roman" w:eastAsia="Times New Roman" w:cs="Google Sans"/>
          <w:color w:val="1F1F1F"/>
          <w:sz w:val="24"/>
          <w:rtl w:val="0"/>
        </w:rPr>
        <w:t xml:space="preserve"> While we show calibration does not affect collapse rates, explicit calibration could potentially improve absolute performance for non-degenerate sources.</w:t>
      </w:r>
    </w:p>
    <w:p w14:paraId="000005DD">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9. Conclusion</w:t>
      </w:r>
    </w:p>
    <w:p w14:paraId="000005D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We have shown that frozen contextual threshold policies collapse to static rules when transferred across assets—but only when the source policy has already degenerated during training. Source diversity is associated with transfer success in our experiments: degenerate sources lead to universal target collapse (152 of 228 pairs), while diverse sources maintain context sensitivity (0% collapse, though still 73% concentrated on one threshold).</w:t>
      </w:r>
    </w:p>
    <w:p w14:paraId="000005D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propose three key takeaways for the field:</w:t>
      </w:r>
    </w:p>
    <w:p w14:paraId="000005E0">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Practitioners:</w:t>
      </w:r>
      <w:r>
        <w:rPr>
          <w:rFonts w:ascii="Times New Roman" w:hAnsi="Times New Roman" w:eastAsia="Times New Roman" w:cs="Google Sans"/>
          <w:color w:val="1F1F1F"/>
          <w:sz w:val="24"/>
          <w:rtl w:val="0"/>
        </w:rPr>
        <w:t xml:space="preserve"> Audit source policy diversity before transfer. </w:t>
      </w:r>
      <w:r>
        <w:rPr>
          <w:rFonts w:hint="eastAsia" w:ascii="Times New Roman" w:hAnsi="Times New Roman" w:eastAsia="Times New Roman" w:cs="Google Sans"/>
          <w:color w:val="1F1F1F"/>
          <w:sz w:val="24"/>
          <w:rtl w:val="0"/>
        </w:rPr>
        <w:t>In our experiments, such source policies failed on every evaluated target; therefore, we recommend rejecting them before transfer.</w:t>
      </w:r>
    </w:p>
    <w:p w14:paraId="000005E1">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Researchers:</w:t>
      </w:r>
      <w:r>
        <w:rPr>
          <w:rFonts w:ascii="Times New Roman" w:hAnsi="Times New Roman" w:eastAsia="Times New Roman" w:cs="Google Sans"/>
          <w:color w:val="1F1F1F"/>
          <w:sz w:val="24"/>
          <w:rtl w:val="0"/>
        </w:rPr>
        <w:t xml:space="preserve"> Report action distributions, not just aggregate performance.</w:t>
      </w:r>
    </w:p>
    <w:p w14:paraId="000005E2">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The Field:</w:t>
      </w:r>
      <w:r>
        <w:rPr>
          <w:rFonts w:ascii="Times New Roman" w:hAnsi="Times New Roman" w:eastAsia="Times New Roman" w:cs="Google Sans"/>
          <w:color w:val="1F1F1F"/>
          <w:sz w:val="24"/>
          <w:rtl w:val="0"/>
        </w:rPr>
        <w:t xml:space="preserve"> Replace the question </w:t>
      </w:r>
      <w:r>
        <w:rPr>
          <w:rFonts w:ascii="Times New Roman" w:hAnsi="Times New Roman" w:eastAsia="Times New Roman" w:cs="Google Sans"/>
          <w:i/>
          <w:iCs/>
          <w:color w:val="1F1F1F"/>
          <w:sz w:val="24"/>
          <w:rtl w:val="0"/>
        </w:rPr>
        <w:t>"Does the policy transfer?"</w:t>
      </w:r>
      <w:r>
        <w:rPr>
          <w:rFonts w:ascii="Times New Roman" w:hAnsi="Times New Roman" w:eastAsia="Times New Roman" w:cs="Google Sans"/>
          <w:color w:val="1F1F1F"/>
          <w:sz w:val="24"/>
          <w:rtl w:val="0"/>
        </w:rPr>
        <w:t xml:space="preserve"> with </w:t>
      </w:r>
      <w:r>
        <w:rPr>
          <w:rFonts w:ascii="Times New Roman" w:hAnsi="Times New Roman" w:eastAsia="Times New Roman" w:cs="Google Sans"/>
          <w:i/>
          <w:iCs/>
          <w:color w:val="1F1F1F"/>
          <w:sz w:val="24"/>
          <w:rtl w:val="0"/>
        </w:rPr>
        <w:t>"Is the source policy diverse enough to transfer?"</w:t>
      </w:r>
    </w:p>
    <w:p w14:paraId="000005E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We contribute </w:t>
      </w:r>
      <w:r>
        <w:rPr>
          <w:rFonts w:ascii="Times New Roman" w:hAnsi="Times New Roman" w:eastAsia="Times New Roman" w:cs="Google Sans"/>
          <w:b/>
          <w:bCs/>
          <w:color w:val="1F1F1F"/>
          <w:sz w:val="24"/>
          <w:rtl w:val="0"/>
        </w:rPr>
        <w:t>FCTT-DA</w:t>
      </w:r>
      <w:r>
        <w:rPr>
          <w:rFonts w:ascii="Times New Roman" w:hAnsi="Times New Roman" w:eastAsia="Times New Roman" w:cs="Google Sans"/>
          <w:color w:val="1F1F1F"/>
          <w:sz w:val="24"/>
          <w:rtl w:val="0"/>
        </w:rPr>
        <w:t xml:space="preserve">, a falsifiable audit framework that prevents false transfer claims. </w:t>
      </w:r>
      <w:r>
        <w:rPr>
          <w:rFonts w:hint="eastAsia" w:ascii="Times New Roman" w:hAnsi="Times New Roman" w:eastAsia="Times New Roman" w:cs="Google Sans"/>
          <w:color w:val="1F1F1F"/>
          <w:sz w:val="24"/>
          <w:rtl w:val="0"/>
        </w:rPr>
        <w:t>The framework may be applicable beyond finance, subject to domain-specific validation</w:t>
      </w:r>
      <w:r>
        <w:rPr>
          <w:rFonts w:hint="default" w:cs="Google Sans"/>
          <w:color w:val="1F1F1F"/>
          <w:sz w:val="24"/>
          <w:rtl w:val="0"/>
          <w:lang w:val="en-US"/>
        </w:rPr>
        <w:t>.</w:t>
      </w:r>
      <w:r>
        <w:rPr>
          <w:rFonts w:ascii="Times New Roman" w:hAnsi="Times New Roman" w:eastAsia="Times New Roman" w:cs="Google Sans"/>
          <w:color w:val="1F1F1F"/>
          <w:sz w:val="24"/>
          <w:rtl w:val="0"/>
        </w:rPr>
        <w:t xml:space="preserve"> where learned policies are transferred across environments.</w:t>
      </w:r>
    </w:p>
    <w:p w14:paraId="000005E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JEL Classification</w:t>
      </w:r>
    </w:p>
    <w:p w14:paraId="000005E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G11 (Portfolio Choice); G12 (Asset Pricing); C44 (Statistical Decision Theory); C61 (Optimization Techniques)</w:t>
      </w:r>
    </w:p>
    <w:p w14:paraId="000005E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Data Availability Statement</w:t>
      </w:r>
    </w:p>
    <w:p w14:paraId="000005E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All data sources are publicly available. Equity and ETF price data are from Yahoo Finance. Cryptocurrency data are from Yahoo Finance and CoinGecko. Complete data manifests with SHA-256 checksums are provided in the submission package.</w:t>
      </w:r>
    </w:p>
    <w:p w14:paraId="000005E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Conflict of Interest</w:t>
      </w:r>
    </w:p>
    <w:p w14:paraId="000005E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author declares no conflicts of interest.</w:t>
      </w:r>
    </w:p>
    <w:p w14:paraId="000005E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Acknowledgments</w:t>
      </w:r>
    </w:p>
    <w:p w14:paraId="000005E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author thanks the editor and anonymous reviewers for their valuable suggestions.</w:t>
      </w:r>
    </w:p>
    <w:p w14:paraId="000005E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References</w:t>
      </w:r>
    </w:p>
    <w:p w14:paraId="000005E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color w:val="1F1F1F"/>
          <w:sz w:val="24"/>
          <w:rtl w:val="0"/>
        </w:rPr>
        <w:t xml:space="preserve">Araci, D. (2019). FinBERT: Financial sentiment analysis with pre-trained language models. </w:t>
      </w:r>
      <w:r>
        <w:rPr>
          <w:rFonts w:ascii="Times New Roman" w:hAnsi="Times New Roman" w:eastAsia="Times New Roman" w:cs="Google Sans"/>
          <w:i/>
          <w:iCs/>
          <w:color w:val="1F1F1F"/>
          <w:sz w:val="24"/>
          <w:rtl w:val="0"/>
        </w:rPr>
        <w:t>arXiv preprint arXiv:1908.10063</w:t>
      </w:r>
      <w:r>
        <w:rPr>
          <w:rFonts w:ascii="Times New Roman" w:hAnsi="Times New Roman" w:eastAsia="Times New Roman" w:cs="Google Sans"/>
          <w:color w:val="1F1F1F"/>
          <w:sz w:val="24"/>
          <w:rtl w:val="0"/>
        </w:rPr>
        <w:t>.</w:t>
      </w:r>
    </w:p>
    <w:p w14:paraId="000005EE">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Barocas, S., &amp; Selbst, A. D. (2016). Big data's disparate impact. </w:t>
      </w:r>
      <w:r>
        <w:rPr>
          <w:rFonts w:ascii="Times New Roman" w:hAnsi="Times New Roman" w:eastAsia="Times New Roman" w:cs="Google Sans"/>
          <w:i/>
          <w:iCs/>
          <w:color w:val="1F1F1F"/>
          <w:sz w:val="24"/>
          <w:rtl w:val="0"/>
        </w:rPr>
        <w:t>California Law Review</w:t>
      </w:r>
      <w:r>
        <w:rPr>
          <w:rFonts w:ascii="Times New Roman" w:hAnsi="Times New Roman" w:eastAsia="Times New Roman" w:cs="Google Sans"/>
          <w:color w:val="1F1F1F"/>
          <w:sz w:val="24"/>
          <w:rtl w:val="0"/>
        </w:rPr>
        <w:t>, 104, 671.</w:t>
      </w:r>
    </w:p>
    <w:p w14:paraId="000005EF">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Ben-Tal, A., El Ghaoui, L., &amp; Nemirovski, A. (2009). </w:t>
      </w:r>
      <w:r>
        <w:rPr>
          <w:rFonts w:ascii="Times New Roman" w:hAnsi="Times New Roman" w:eastAsia="Times New Roman" w:cs="Google Sans"/>
          <w:i/>
          <w:iCs/>
          <w:color w:val="1F1F1F"/>
          <w:sz w:val="24"/>
          <w:rtl w:val="0"/>
        </w:rPr>
        <w:t>Robust Optimization</w:t>
      </w:r>
      <w:r>
        <w:rPr>
          <w:rFonts w:ascii="Times New Roman" w:hAnsi="Times New Roman" w:eastAsia="Times New Roman" w:cs="Google Sans"/>
          <w:color w:val="1F1F1F"/>
          <w:sz w:val="24"/>
          <w:rtl w:val="0"/>
        </w:rPr>
        <w:t>. Princeton University Press.</w:t>
      </w:r>
    </w:p>
    <w:p w14:paraId="000005F0">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Chu, W., Li, L., Reyzin, L., &amp; Schapire, R. (2011). Contextual bandits with linear payoff functions. </w:t>
      </w:r>
      <w:r>
        <w:rPr>
          <w:rFonts w:ascii="Times New Roman" w:hAnsi="Times New Roman" w:eastAsia="Times New Roman" w:cs="Google Sans"/>
          <w:i/>
          <w:iCs/>
          <w:color w:val="1F1F1F"/>
          <w:sz w:val="24"/>
          <w:rtl w:val="0"/>
        </w:rPr>
        <w:t>AISTATS</w:t>
      </w:r>
      <w:r>
        <w:rPr>
          <w:rFonts w:ascii="Times New Roman" w:hAnsi="Times New Roman" w:eastAsia="Times New Roman" w:cs="Google Sans"/>
          <w:color w:val="1F1F1F"/>
          <w:sz w:val="24"/>
          <w:rtl w:val="0"/>
        </w:rPr>
        <w:t>, 208–214.</w:t>
      </w:r>
    </w:p>
    <w:p w14:paraId="000005F1">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Coqueret, G., &amp; Guida, T. (2023). </w:t>
      </w:r>
      <w:r>
        <w:rPr>
          <w:rFonts w:ascii="Times New Roman" w:hAnsi="Times New Roman" w:eastAsia="Times New Roman" w:cs="Google Sans"/>
          <w:i/>
          <w:iCs/>
          <w:color w:val="1F1F1F"/>
          <w:sz w:val="24"/>
          <w:rtl w:val="0"/>
        </w:rPr>
        <w:t>Machine Learning for Factor Investing</w:t>
      </w:r>
      <w:r>
        <w:rPr>
          <w:rFonts w:ascii="Times New Roman" w:hAnsi="Times New Roman" w:eastAsia="Times New Roman" w:cs="Google Sans"/>
          <w:color w:val="1F1F1F"/>
          <w:sz w:val="24"/>
          <w:rtl w:val="0"/>
        </w:rPr>
        <w:t>. Chapman &amp; Hall. https://doi.org/10.1201/9781003046509</w:t>
      </w:r>
    </w:p>
    <w:p w14:paraId="000005F2">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Dixon, M., Halperin, I., &amp; Bilokon, P. (2020). </w:t>
      </w:r>
      <w:r>
        <w:rPr>
          <w:rFonts w:ascii="Times New Roman" w:hAnsi="Times New Roman" w:eastAsia="Times New Roman" w:cs="Google Sans"/>
          <w:i/>
          <w:iCs/>
          <w:color w:val="1F1F1F"/>
          <w:sz w:val="24"/>
          <w:rtl w:val="0"/>
        </w:rPr>
        <w:t>Machine Learning in Finance: From Theory to Practice</w:t>
      </w:r>
      <w:r>
        <w:rPr>
          <w:rFonts w:ascii="Times New Roman" w:hAnsi="Times New Roman" w:eastAsia="Times New Roman" w:cs="Google Sans"/>
          <w:color w:val="1F1F1F"/>
          <w:sz w:val="24"/>
          <w:rtl w:val="0"/>
        </w:rPr>
        <w:t>. Springer. https://doi.org/10.1007/978-3-030-41068-1</w:t>
      </w:r>
    </w:p>
    <w:p w14:paraId="000005F3">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Doshi-Velez, F., &amp; Kim, B. (2017). Towards a rigorous science of interpretable machine learning. </w:t>
      </w:r>
      <w:r>
        <w:rPr>
          <w:rFonts w:ascii="Times New Roman" w:hAnsi="Times New Roman" w:eastAsia="Times New Roman" w:cs="Google Sans"/>
          <w:i/>
          <w:iCs/>
          <w:color w:val="1F1F1F"/>
          <w:sz w:val="24"/>
          <w:rtl w:val="0"/>
        </w:rPr>
        <w:t>arXiv preprint arXiv:1702.08608</w:t>
      </w:r>
      <w:r>
        <w:rPr>
          <w:rFonts w:ascii="Times New Roman" w:hAnsi="Times New Roman" w:eastAsia="Times New Roman" w:cs="Google Sans"/>
          <w:color w:val="1F1F1F"/>
          <w:sz w:val="24"/>
          <w:rtl w:val="0"/>
        </w:rPr>
        <w:t>.</w:t>
      </w:r>
    </w:p>
    <w:p w14:paraId="000005F4">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Fama, E. F., &amp; French, K. R. (1993). Common risk factors in the returns on stocks and bonds.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33(1), 3–56. https://doi.org/10.1016/0304-405X(93)90023-5</w:t>
      </w:r>
    </w:p>
    <w:p w14:paraId="000005F5">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Federal Reserve. (2011). Supervisory Guidance on Model Risk Management. </w:t>
      </w:r>
      <w:r>
        <w:rPr>
          <w:rFonts w:ascii="Times New Roman" w:hAnsi="Times New Roman" w:eastAsia="Times New Roman" w:cs="Google Sans"/>
          <w:i/>
          <w:iCs/>
          <w:color w:val="1F1F1F"/>
          <w:sz w:val="24"/>
          <w:rtl w:val="0"/>
        </w:rPr>
        <w:t>Supervisory Letter SR 11-7</w:t>
      </w:r>
      <w:r>
        <w:rPr>
          <w:rFonts w:ascii="Times New Roman" w:hAnsi="Times New Roman" w:eastAsia="Times New Roman" w:cs="Google Sans"/>
          <w:color w:val="1F1F1F"/>
          <w:sz w:val="24"/>
          <w:rtl w:val="0"/>
        </w:rPr>
        <w:t>.</w:t>
      </w:r>
    </w:p>
    <w:p w14:paraId="000005F6">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Feng, G., He, J., &amp; Polson, N. G. (2020). Deep learning for predicting asset returns. </w:t>
      </w:r>
      <w:r>
        <w:rPr>
          <w:rFonts w:ascii="Times New Roman" w:hAnsi="Times New Roman" w:eastAsia="Times New Roman" w:cs="Google Sans"/>
          <w:i/>
          <w:iCs/>
          <w:color w:val="1F1F1F"/>
          <w:sz w:val="24"/>
          <w:rtl w:val="0"/>
        </w:rPr>
        <w:t>Journal of Applied Econometrics</w:t>
      </w:r>
      <w:r>
        <w:rPr>
          <w:rFonts w:ascii="Times New Roman" w:hAnsi="Times New Roman" w:eastAsia="Times New Roman" w:cs="Google Sans"/>
          <w:color w:val="1F1F1F"/>
          <w:sz w:val="24"/>
          <w:rtl w:val="0"/>
        </w:rPr>
        <w:t>, 35(2), 127–148.</w:t>
      </w:r>
    </w:p>
    <w:p w14:paraId="000005F7">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Gu, S., Kelly, B., &amp; Xiu, D. (2020). Empirical asset pricing via machine learning. </w:t>
      </w:r>
      <w:r>
        <w:rPr>
          <w:rFonts w:ascii="Times New Roman" w:hAnsi="Times New Roman" w:eastAsia="Times New Roman" w:cs="Google Sans"/>
          <w:i/>
          <w:iCs/>
          <w:color w:val="1F1F1F"/>
          <w:sz w:val="24"/>
          <w:rtl w:val="0"/>
        </w:rPr>
        <w:t>Review of Financial Studies</w:t>
      </w:r>
      <w:r>
        <w:rPr>
          <w:rFonts w:ascii="Times New Roman" w:hAnsi="Times New Roman" w:eastAsia="Times New Roman" w:cs="Google Sans"/>
          <w:color w:val="1F1F1F"/>
          <w:sz w:val="24"/>
          <w:rtl w:val="0"/>
        </w:rPr>
        <w:t>, 33(5), 2223–2273. https://doi.org/10.1093/rfs/hhaa009</w:t>
      </w:r>
    </w:p>
    <w:p w14:paraId="000005F8">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Guidotti, R., et al. (2018). A survey of methods for explaining black box models. </w:t>
      </w:r>
      <w:r>
        <w:rPr>
          <w:rFonts w:ascii="Times New Roman" w:hAnsi="Times New Roman" w:eastAsia="Times New Roman" w:cs="Google Sans"/>
          <w:i/>
          <w:iCs/>
          <w:color w:val="1F1F1F"/>
          <w:sz w:val="24"/>
          <w:rtl w:val="0"/>
        </w:rPr>
        <w:t>ACM Computing Surveys</w:t>
      </w:r>
      <w:r>
        <w:rPr>
          <w:rFonts w:ascii="Times New Roman" w:hAnsi="Times New Roman" w:eastAsia="Times New Roman" w:cs="Google Sans"/>
          <w:color w:val="1F1F1F"/>
          <w:sz w:val="24"/>
          <w:rtl w:val="0"/>
        </w:rPr>
        <w:t>, 51(5), 1–42.</w:t>
      </w:r>
    </w:p>
    <w:p w14:paraId="000005F9">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Harvey, C. R., Liu, Y., &amp; Zhu, H. (2016). ...and the cross-section of expected returns. </w:t>
      </w:r>
      <w:r>
        <w:rPr>
          <w:rFonts w:ascii="Times New Roman" w:hAnsi="Times New Roman" w:eastAsia="Times New Roman" w:cs="Google Sans"/>
          <w:i/>
          <w:iCs/>
          <w:color w:val="1F1F1F"/>
          <w:sz w:val="24"/>
          <w:rtl w:val="0"/>
        </w:rPr>
        <w:t>Review of Financial Studies</w:t>
      </w:r>
      <w:r>
        <w:rPr>
          <w:rFonts w:ascii="Times New Roman" w:hAnsi="Times New Roman" w:eastAsia="Times New Roman" w:cs="Google Sans"/>
          <w:color w:val="1F1F1F"/>
          <w:sz w:val="24"/>
          <w:rtl w:val="0"/>
        </w:rPr>
        <w:t>, 29(1), 5–68. https://doi.org/10.1093/rfs/hhv059</w:t>
      </w:r>
    </w:p>
    <w:p w14:paraId="000005FA">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Jansen, S. (2020). </w:t>
      </w:r>
      <w:r>
        <w:rPr>
          <w:rFonts w:ascii="Times New Roman" w:hAnsi="Times New Roman" w:eastAsia="Times New Roman" w:cs="Google Sans"/>
          <w:i/>
          <w:iCs/>
          <w:color w:val="1F1F1F"/>
          <w:sz w:val="24"/>
          <w:rtl w:val="0"/>
        </w:rPr>
        <w:t>Machine Learning for Algorithmic Trading</w:t>
      </w:r>
      <w:r>
        <w:rPr>
          <w:rFonts w:ascii="Times New Roman" w:hAnsi="Times New Roman" w:eastAsia="Times New Roman" w:cs="Google Sans"/>
          <w:color w:val="1F1F1F"/>
          <w:sz w:val="24"/>
          <w:rtl w:val="0"/>
        </w:rPr>
        <w:t>. Packt Publishing.</w:t>
      </w:r>
    </w:p>
    <w:p w14:paraId="000005FB">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Kelly, B. T., Pruitt, S., &amp; Su, Y. (2019). Characteristics are covariances: A unified model of risk and return.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134(3), 501–540.</w:t>
      </w:r>
    </w:p>
    <w:p w14:paraId="000005FC">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Leippold, M., Wang, Q., &amp; Zhou, W. (2022). Machine learning in the Chinese stock market. </w:t>
      </w:r>
      <w:r>
        <w:rPr>
          <w:rFonts w:ascii="Times New Roman" w:hAnsi="Times New Roman" w:eastAsia="Times New Roman" w:cs="Google Sans"/>
          <w:i/>
          <w:iCs/>
          <w:color w:val="1F1F1F"/>
          <w:sz w:val="24"/>
          <w:rtl w:val="0"/>
        </w:rPr>
        <w:t>Journal of Financial Economics</w:t>
      </w:r>
      <w:r>
        <w:rPr>
          <w:rFonts w:ascii="Times New Roman" w:hAnsi="Times New Roman" w:eastAsia="Times New Roman" w:cs="Google Sans"/>
          <w:color w:val="1F1F1F"/>
          <w:sz w:val="24"/>
          <w:rtl w:val="0"/>
        </w:rPr>
        <w:t>, 145(2), 64–82. https://doi.org/10.1016/j.jfineco.2022.02.005</w:t>
      </w:r>
    </w:p>
    <w:p w14:paraId="000005F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Li, L., Chu, W., Langford, J., &amp; Schapire, R. E. (2010). A contextual-bandit approach to personalized news article recommendation. </w:t>
      </w:r>
      <w:r>
        <w:rPr>
          <w:rFonts w:ascii="Times New Roman" w:hAnsi="Times New Roman" w:eastAsia="Times New Roman" w:cs="Google Sans"/>
          <w:i/>
          <w:iCs/>
          <w:color w:val="1F1F1F"/>
          <w:sz w:val="24"/>
          <w:rtl w:val="0"/>
        </w:rPr>
        <w:t>WWW</w:t>
      </w:r>
      <w:r>
        <w:rPr>
          <w:rFonts w:ascii="Times New Roman" w:hAnsi="Times New Roman" w:eastAsia="Times New Roman" w:cs="Google Sans"/>
          <w:color w:val="1F1F1F"/>
          <w:sz w:val="24"/>
          <w:rtl w:val="0"/>
        </w:rPr>
        <w:t>, 661–670.</w:t>
      </w:r>
    </w:p>
    <w:p w14:paraId="000005FE">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López de Prado, M. (2018). </w:t>
      </w:r>
      <w:r>
        <w:rPr>
          <w:rFonts w:ascii="Times New Roman" w:hAnsi="Times New Roman" w:eastAsia="Times New Roman" w:cs="Google Sans"/>
          <w:i/>
          <w:iCs/>
          <w:color w:val="1F1F1F"/>
          <w:sz w:val="24"/>
          <w:rtl w:val="0"/>
        </w:rPr>
        <w:t>Advances in Financial Machine Learning</w:t>
      </w:r>
      <w:r>
        <w:rPr>
          <w:rFonts w:ascii="Times New Roman" w:hAnsi="Times New Roman" w:eastAsia="Times New Roman" w:cs="Google Sans"/>
          <w:color w:val="1F1F1F"/>
          <w:sz w:val="24"/>
          <w:rtl w:val="0"/>
        </w:rPr>
        <w:t>. Wiley. https://doi.org/10.1002/9781119482086</w:t>
      </w:r>
    </w:p>
    <w:p w14:paraId="000005FF">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Lundberg, S. M., &amp; Lee, S.-I. (2017). A unified approach to interpreting model predictions. </w:t>
      </w:r>
      <w:r>
        <w:rPr>
          <w:rFonts w:ascii="Times New Roman" w:hAnsi="Times New Roman" w:eastAsia="Times New Roman" w:cs="Google Sans"/>
          <w:i/>
          <w:iCs/>
          <w:color w:val="1F1F1F"/>
          <w:sz w:val="24"/>
          <w:rtl w:val="0"/>
        </w:rPr>
        <w:t>Advances in Neural Information Processing Systems</w:t>
      </w:r>
      <w:r>
        <w:rPr>
          <w:rFonts w:ascii="Times New Roman" w:hAnsi="Times New Roman" w:eastAsia="Times New Roman" w:cs="Google Sans"/>
          <w:color w:val="1F1F1F"/>
          <w:sz w:val="24"/>
          <w:rtl w:val="0"/>
        </w:rPr>
        <w:t>, 30.</w:t>
      </w:r>
    </w:p>
    <w:p w14:paraId="00000600">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McLean, R. D., &amp; Pontiff, J. (2016). Does academic research destroy stock return predictability? </w:t>
      </w:r>
      <w:r>
        <w:rPr>
          <w:rFonts w:ascii="Times New Roman" w:hAnsi="Times New Roman" w:eastAsia="Times New Roman" w:cs="Google Sans"/>
          <w:i/>
          <w:iCs/>
          <w:color w:val="1F1F1F"/>
          <w:sz w:val="24"/>
          <w:rtl w:val="0"/>
        </w:rPr>
        <w:t>Journal of Finance</w:t>
      </w:r>
      <w:r>
        <w:rPr>
          <w:rFonts w:ascii="Times New Roman" w:hAnsi="Times New Roman" w:eastAsia="Times New Roman" w:cs="Google Sans"/>
          <w:color w:val="1F1F1F"/>
          <w:sz w:val="24"/>
          <w:rtl w:val="0"/>
        </w:rPr>
        <w:t>, 71(1), 5–32. https://doi.org/10.1111/jofi.12365</w:t>
      </w:r>
    </w:p>
    <w:p w14:paraId="00000601">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Moreno-Torres, J. G., et al. (2012). A unifying view on dataset shift in classification. </w:t>
      </w:r>
      <w:r>
        <w:rPr>
          <w:rFonts w:ascii="Times New Roman" w:hAnsi="Times New Roman" w:eastAsia="Times New Roman" w:cs="Google Sans"/>
          <w:i/>
          <w:iCs/>
          <w:color w:val="1F1F1F"/>
          <w:sz w:val="24"/>
          <w:rtl w:val="0"/>
        </w:rPr>
        <w:t>Pattern Recognition</w:t>
      </w:r>
      <w:r>
        <w:rPr>
          <w:rFonts w:ascii="Times New Roman" w:hAnsi="Times New Roman" w:eastAsia="Times New Roman" w:cs="Google Sans"/>
          <w:color w:val="1F1F1F"/>
          <w:sz w:val="24"/>
          <w:rtl w:val="0"/>
        </w:rPr>
        <w:t>, 45(1), 521–530.</w:t>
      </w:r>
    </w:p>
    <w:p w14:paraId="00000602">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Nevmyvaka, Y., Feng, Y., &amp; Kearns, M. (2006). Reinforcement learning for optimized trade execution.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673–680.</w:t>
      </w:r>
    </w:p>
    <w:p w14:paraId="00000603">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Niculescu-Mizil, A., &amp; Caruana, R. (2005). Predicting good probabilities with supervised learning.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625–632.</w:t>
      </w:r>
    </w:p>
    <w:p w14:paraId="00000604">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Pinto, L., et al. (2017). Robust adversarial reinforcement learning. </w:t>
      </w:r>
      <w:r>
        <w:rPr>
          <w:rFonts w:ascii="Times New Roman" w:hAnsi="Times New Roman" w:eastAsia="Times New Roman" w:cs="Google Sans"/>
          <w:i/>
          <w:iCs/>
          <w:color w:val="1F1F1F"/>
          <w:sz w:val="24"/>
          <w:rtl w:val="0"/>
        </w:rPr>
        <w:t>ICML</w:t>
      </w:r>
      <w:r>
        <w:rPr>
          <w:rFonts w:ascii="Times New Roman" w:hAnsi="Times New Roman" w:eastAsia="Times New Roman" w:cs="Google Sans"/>
          <w:color w:val="1F1F1F"/>
          <w:sz w:val="24"/>
          <w:rtl w:val="0"/>
        </w:rPr>
        <w:t>, 2817–2826.</w:t>
      </w:r>
    </w:p>
    <w:p w14:paraId="00000605">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Politis, D. N., &amp; Romano, J. P. (1994). The stationary bootstrap. </w:t>
      </w:r>
      <w:r>
        <w:rPr>
          <w:rFonts w:ascii="Times New Roman" w:hAnsi="Times New Roman" w:eastAsia="Times New Roman" w:cs="Google Sans"/>
          <w:i/>
          <w:iCs/>
          <w:color w:val="1F1F1F"/>
          <w:sz w:val="24"/>
          <w:rtl w:val="0"/>
        </w:rPr>
        <w:t>JASA</w:t>
      </w:r>
      <w:r>
        <w:rPr>
          <w:rFonts w:ascii="Times New Roman" w:hAnsi="Times New Roman" w:eastAsia="Times New Roman" w:cs="Google Sans"/>
          <w:color w:val="1F1F1F"/>
          <w:sz w:val="24"/>
          <w:rtl w:val="0"/>
        </w:rPr>
        <w:t>, 89(428), 1303–1313. https://doi.org/10.1080/01621459.1994.10476870</w:t>
      </w:r>
    </w:p>
    <w:p w14:paraId="00000606">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Quiñonero-Candela, J., et al. (2009). </w:t>
      </w:r>
      <w:r>
        <w:rPr>
          <w:rFonts w:ascii="Times New Roman" w:hAnsi="Times New Roman" w:eastAsia="Times New Roman" w:cs="Google Sans"/>
          <w:i/>
          <w:iCs/>
          <w:color w:val="1F1F1F"/>
          <w:sz w:val="24"/>
          <w:rtl w:val="0"/>
        </w:rPr>
        <w:t>Dataset Shift in Machine Learning</w:t>
      </w:r>
      <w:r>
        <w:rPr>
          <w:rFonts w:ascii="Times New Roman" w:hAnsi="Times New Roman" w:eastAsia="Times New Roman" w:cs="Google Sans"/>
          <w:color w:val="1F1F1F"/>
          <w:sz w:val="24"/>
          <w:rtl w:val="0"/>
        </w:rPr>
        <w:t>. MIT Press.</w:t>
      </w:r>
    </w:p>
    <w:p w14:paraId="00000607">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Ribeiro, M. T., Singh, S., &amp; Guestrin, C. (2016). "Why should I trust you?": Explaining the predictions of any classifier. </w:t>
      </w:r>
      <w:r>
        <w:rPr>
          <w:rFonts w:ascii="Times New Roman" w:hAnsi="Times New Roman" w:eastAsia="Times New Roman" w:cs="Google Sans"/>
          <w:i/>
          <w:iCs/>
          <w:color w:val="1F1F1F"/>
          <w:sz w:val="24"/>
          <w:rtl w:val="0"/>
        </w:rPr>
        <w:t>KDD</w:t>
      </w:r>
      <w:r>
        <w:rPr>
          <w:rFonts w:ascii="Times New Roman" w:hAnsi="Times New Roman" w:eastAsia="Times New Roman" w:cs="Google Sans"/>
          <w:color w:val="1F1F1F"/>
          <w:sz w:val="24"/>
          <w:rtl w:val="0"/>
        </w:rPr>
        <w:t>, 1135–1144.</w:t>
      </w:r>
    </w:p>
    <w:p w14:paraId="00000608">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Sezer, O. B., Gudelek, M. U., &amp; Ozbayoglu, A. M. (2020). Financial time series forecasting with deep learning: A systematic review: 2005–2019. </w:t>
      </w:r>
      <w:r>
        <w:rPr>
          <w:rFonts w:ascii="Times New Roman" w:hAnsi="Times New Roman" w:eastAsia="Times New Roman" w:cs="Google Sans"/>
          <w:i/>
          <w:iCs/>
          <w:color w:val="1F1F1F"/>
          <w:sz w:val="24"/>
          <w:rtl w:val="0"/>
        </w:rPr>
        <w:t>Applied Soft Computing</w:t>
      </w:r>
      <w:r>
        <w:rPr>
          <w:rFonts w:ascii="Times New Roman" w:hAnsi="Times New Roman" w:eastAsia="Times New Roman" w:cs="Google Sans"/>
          <w:color w:val="1F1F1F"/>
          <w:sz w:val="24"/>
          <w:rtl w:val="0"/>
        </w:rPr>
        <w:t>, 90, 106181.</w:t>
      </w:r>
    </w:p>
    <w:p w14:paraId="00000609">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Shen, W., Wang, J., Jiang, Y.-G., &amp; Zha, H. (2015). Portfolio choices with orthogonal bandit learning. </w:t>
      </w:r>
      <w:r>
        <w:rPr>
          <w:rFonts w:ascii="Times New Roman" w:hAnsi="Times New Roman" w:eastAsia="Times New Roman" w:cs="Google Sans"/>
          <w:i/>
          <w:iCs/>
          <w:color w:val="1F1F1F"/>
          <w:sz w:val="24"/>
          <w:rtl w:val="0"/>
        </w:rPr>
        <w:t>IJCAI</w:t>
      </w:r>
      <w:r>
        <w:rPr>
          <w:rFonts w:ascii="Times New Roman" w:hAnsi="Times New Roman" w:eastAsia="Times New Roman" w:cs="Google Sans"/>
          <w:color w:val="1F1F1F"/>
          <w:sz w:val="24"/>
          <w:rtl w:val="0"/>
        </w:rPr>
        <w:t>, 974–980.</w:t>
      </w:r>
    </w:p>
    <w:p w14:paraId="0000060A">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Tobin, J., et al. (2017). Domain randomization for transferring deep neural networks from simulation to the real world. </w:t>
      </w:r>
      <w:r>
        <w:rPr>
          <w:rFonts w:ascii="Times New Roman" w:hAnsi="Times New Roman" w:eastAsia="Times New Roman" w:cs="Google Sans"/>
          <w:i/>
          <w:iCs/>
          <w:color w:val="1F1F1F"/>
          <w:sz w:val="24"/>
          <w:rtl w:val="0"/>
        </w:rPr>
        <w:t>IROS</w:t>
      </w:r>
      <w:r>
        <w:rPr>
          <w:rFonts w:ascii="Times New Roman" w:hAnsi="Times New Roman" w:eastAsia="Times New Roman" w:cs="Google Sans"/>
          <w:color w:val="1F1F1F"/>
          <w:sz w:val="24"/>
          <w:rtl w:val="0"/>
        </w:rPr>
        <w:t>, 23–30.</w:t>
      </w:r>
    </w:p>
    <w:p w14:paraId="0000060B">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Vaswani, A., et al. (2017). Attention is all you need. </w:t>
      </w:r>
      <w:r>
        <w:rPr>
          <w:rFonts w:ascii="Times New Roman" w:hAnsi="Times New Roman" w:eastAsia="Times New Roman" w:cs="Google Sans"/>
          <w:i/>
          <w:iCs/>
          <w:color w:val="1F1F1F"/>
          <w:sz w:val="24"/>
          <w:rtl w:val="0"/>
        </w:rPr>
        <w:t>Advances in Neural Information Processing Systems</w:t>
      </w:r>
      <w:r>
        <w:rPr>
          <w:rFonts w:ascii="Times New Roman" w:hAnsi="Times New Roman" w:eastAsia="Times New Roman" w:cs="Google Sans"/>
          <w:color w:val="1F1F1F"/>
          <w:sz w:val="24"/>
          <w:rtl w:val="0"/>
        </w:rPr>
        <w:t>, 30.</w:t>
      </w:r>
    </w:p>
    <w:p w14:paraId="0000060C">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color w:val="1F1F1F"/>
          <w:sz w:val="24"/>
          <w:rtl w:val="0"/>
        </w:rPr>
        <w:t xml:space="preserve">Vinyals, O., et al. (2019). Grandmaster level in StarCraft II using multi-agent reinforcement learning. </w:t>
      </w:r>
      <w:r>
        <w:rPr>
          <w:rFonts w:ascii="Times New Roman" w:hAnsi="Times New Roman" w:eastAsia="Times New Roman" w:cs="Google Sans"/>
          <w:i/>
          <w:iCs/>
          <w:color w:val="1F1F1F"/>
          <w:sz w:val="24"/>
          <w:rtl w:val="0"/>
        </w:rPr>
        <w:t>Nature</w:t>
      </w:r>
      <w:r>
        <w:rPr>
          <w:rFonts w:ascii="Times New Roman" w:hAnsi="Times New Roman" w:eastAsia="Times New Roman" w:cs="Google Sans"/>
          <w:color w:val="1F1F1F"/>
          <w:sz w:val="24"/>
          <w:rtl w:val="0"/>
        </w:rPr>
        <w:t>, 575(7782), 350–354.</w:t>
      </w:r>
    </w:p>
    <w:p w14:paraId="0000060D">
      <w:pPr>
        <w:widowControl/>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color w:val="1F1F1F"/>
          <w:sz w:val="24"/>
          <w:rtl w:val="0"/>
        </w:rPr>
        <w:t xml:space="preserve">Zhang, K., et al. (2020). Contextual Thompson sampling with kernelized features. </w:t>
      </w:r>
      <w:r>
        <w:rPr>
          <w:rFonts w:ascii="Times New Roman" w:hAnsi="Times New Roman" w:eastAsia="Times New Roman" w:cs="Google Sans"/>
          <w:i/>
          <w:iCs/>
          <w:color w:val="1F1F1F"/>
          <w:sz w:val="24"/>
          <w:rtl w:val="0"/>
        </w:rPr>
        <w:t>arXiv preprint arXiv:2007.02132</w:t>
      </w:r>
      <w:r>
        <w:rPr>
          <w:rFonts w:ascii="Times New Roman" w:hAnsi="Times New Roman" w:eastAsia="Times New Roman" w:cs="Google Sans"/>
          <w:color w:val="1F1F1F"/>
          <w:sz w:val="24"/>
          <w:rtl w:val="0"/>
        </w:rPr>
        <w:t>.</w:t>
      </w:r>
    </w:p>
    <w:p w14:paraId="0000060E">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A: FCTT-DA Pseudocode</w:t>
      </w:r>
    </w:p>
    <w:p w14:paraId="0000060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appendix provides complete pseudocode details for implementing the FCTT-DA audit engines.</w:t>
      </w:r>
    </w:p>
    <w:p w14:paraId="0000061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A.1 Source Diversity Audit</w:t>
      </w:r>
    </w:p>
    <w:p w14:paraId="00000611">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eastAsia="Times New Roman"/>
        </w:rPr>
        <w:t>def SourceDiversityAudit(source_data, thresholds, alpha, gamma_modal=0.90, gamma_entropy=0.25):</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INPUT:  source_data, thresholds, alpha, gamma_modal=0.90, gamma_entropy=0.25</w:t>
      </w:r>
      <w:r>
        <w:rPr>
          <w:rFonts w:ascii="Times New Roman" w:hAnsi="Times New Roman" w:eastAsia="Times New Roman"/>
        </w:rPr>
        <w:br w:type="textWrapping"/>
      </w:r>
      <w:r>
        <w:rPr>
          <w:rFonts w:ascii="Times New Roman" w:hAnsi="Times New Roman" w:eastAsia="Times New Roman"/>
        </w:rPr>
        <w:t xml:space="preserve">    OUTPUT: {theta, is_degenerate, diagnostics}</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 1. Feature Extraction &amp; Prediction</w:t>
      </w:r>
      <w:r>
        <w:rPr>
          <w:rFonts w:ascii="Times New Roman" w:hAnsi="Times New Roman" w:eastAsia="Times New Roman"/>
        </w:rPr>
        <w:br w:type="textWrapping"/>
      </w:r>
      <w:r>
        <w:rPr>
          <w:rFonts w:ascii="Times New Roman" w:hAnsi="Times New Roman" w:eastAsia="Times New Roman"/>
        </w:rPr>
        <w:t xml:space="preserve">    features = ComputeFeatures(source_data)</w:t>
      </w:r>
      <w:r>
        <w:rPr>
          <w:rFonts w:ascii="Times New Roman" w:hAnsi="Times New Roman" w:eastAsia="Times New Roman"/>
        </w:rPr>
        <w:br w:type="textWrapping"/>
      </w:r>
      <w:r>
        <w:rPr>
          <w:rFonts w:ascii="Times New Roman" w:hAnsi="Times New Roman" w:eastAsia="Times New Roman"/>
        </w:rPr>
        <w:t xml:space="preserve">    pred = WalkForwardGBT(features, train=504, test=63, step=63)</w:t>
      </w:r>
      <w:r>
        <w:rPr>
          <w:rFonts w:ascii="Times New Roman" w:hAnsi="Times New Roman" w:eastAsia="Times New Roman"/>
        </w:rPr>
        <w:br w:type="textWrapping"/>
      </w:r>
      <w:r>
        <w:rPr>
          <w:rFonts w:ascii="Times New Roman" w:hAnsi="Times New Roman" w:eastAsia="Times New Roman"/>
        </w:rPr>
        <w:t xml:space="preserve">    ctx = ComputeContexts(source_data)  # returns [Empirical Mode Decomposition (EMD), vol_rank, trend]</w:t>
      </w:r>
      <w:r>
        <w:rPr>
          <w:rFonts w:ascii="Times New Roman" w:hAnsi="Times New Roman" w:eastAsia="Times New Roman"/>
        </w:rPr>
        <w:br w:type="textWrapping"/>
      </w:r>
      <w:r>
        <w:rPr>
          <w:rFonts w:ascii="Times New Roman" w:hAnsi="Times New Roman" w:eastAsia="Times New Roman"/>
        </w:rPr>
        <w:t xml:space="preserve">    returns = source_data['returns']</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 2. Online Bandit Training</w:t>
      </w:r>
      <w:r>
        <w:rPr>
          <w:rFonts w:ascii="Times New Roman" w:hAnsi="Times New Roman" w:eastAsia="Times New Roman"/>
        </w:rPr>
        <w:br w:type="textWrapping"/>
      </w:r>
      <w:r>
        <w:rPr>
          <w:rFonts w:ascii="Times New Roman" w:hAnsi="Times New Roman" w:eastAsia="Times New Roman"/>
        </w:rPr>
        <w:t xml:space="preserve">    K = len(thresholds)</w:t>
      </w:r>
      <w:r>
        <w:rPr>
          <w:rFonts w:ascii="Times New Roman" w:hAnsi="Times New Roman" w:eastAsia="Times New Roman"/>
        </w:rPr>
        <w:br w:type="textWrapping"/>
      </w:r>
      <w:r>
        <w:rPr>
          <w:rFonts w:ascii="Times New Roman" w:hAnsi="Times New Roman" w:eastAsia="Times New Roman"/>
        </w:rPr>
        <w:t xml:space="preserve">    bandit = LinUCB(K=K, d=3, alpha=alpha)</w:t>
      </w:r>
      <w:r>
        <w:rPr>
          <w:rFonts w:ascii="Times New Roman" w:hAnsi="Times New Roman" w:eastAsia="Times New Roman"/>
        </w:rPr>
        <w:br w:type="textWrapping"/>
      </w:r>
      <w:r>
        <w:rPr>
          <w:rFonts w:ascii="Times New Roman" w:hAnsi="Times New Roman" w:eastAsia="Times New Roman"/>
        </w:rPr>
        <w:t xml:space="preserve">    actions = []</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for t in range(len(ctx)):</w:t>
      </w:r>
      <w:r>
        <w:rPr>
          <w:rFonts w:ascii="Times New Roman" w:hAnsi="Times New Roman" w:eastAsia="Times New Roman"/>
        </w:rPr>
        <w:br w:type="textWrapping"/>
      </w:r>
      <w:r>
        <w:rPr>
          <w:rFonts w:ascii="Times New Roman" w:hAnsi="Times New Roman" w:eastAsia="Times New Roman"/>
        </w:rPr>
        <w:t xml:space="preserve">        a = bandit.select_action(ctx[t])</w:t>
      </w:r>
      <w:r>
        <w:rPr>
          <w:rFonts w:ascii="Times New Roman" w:hAnsi="Times New Roman" w:eastAsia="Times New Roman"/>
        </w:rPr>
        <w:br w:type="textWrapping"/>
      </w:r>
      <w:r>
        <w:rPr>
          <w:rFonts w:ascii="Times New Roman" w:hAnsi="Times New Roman" w:eastAsia="Times New Roman"/>
        </w:rPr>
        <w:t xml:space="preserve">        signal = 1 if pred[t] &gt;= thresholds[a] else 0</w:t>
      </w:r>
      <w:r>
        <w:rPr>
          <w:rFonts w:ascii="Times New Roman" w:hAnsi="Times New Roman" w:eastAsia="Times New Roman"/>
        </w:rPr>
        <w:br w:type="textWrapping"/>
      </w:r>
      <w:r>
        <w:rPr>
          <w:rFonts w:ascii="Times New Roman" w:hAnsi="Times New Roman" w:eastAsia="Times New Roman"/>
        </w:rPr>
        <w:t xml:space="preserve">        reward = signal * returns[t+1]</w:t>
      </w:r>
      <w:r>
        <w:rPr>
          <w:rFonts w:ascii="Times New Roman" w:hAnsi="Times New Roman" w:eastAsia="Times New Roman"/>
        </w:rPr>
        <w:br w:type="textWrapping"/>
      </w:r>
      <w:r>
        <w:rPr>
          <w:rFonts w:ascii="Times New Roman" w:hAnsi="Times New Roman" w:eastAsia="Times New Roman"/>
        </w:rPr>
        <w:t xml:space="preserve">        bandit.update(a, ctx[t], reward)</w:t>
      </w:r>
      <w:r>
        <w:rPr>
          <w:rFonts w:ascii="Times New Roman" w:hAnsi="Times New Roman" w:eastAsia="Times New Roman"/>
        </w:rPr>
        <w:br w:type="textWrapping"/>
      </w:r>
      <w:r>
        <w:rPr>
          <w:rFonts w:ascii="Times New Roman" w:hAnsi="Times New Roman" w:eastAsia="Times New Roman"/>
        </w:rPr>
        <w:t xml:space="preserve">        actions.append(a)</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 3. Post-Training Diagnostics</w:t>
      </w:r>
      <w:r>
        <w:rPr>
          <w:rFonts w:ascii="Times New Roman" w:hAnsi="Times New Roman" w:eastAsia="Times New Roman"/>
        </w:rPr>
        <w:br w:type="textWrapping"/>
      </w:r>
      <w:r>
        <w:rPr>
          <w:rFonts w:ascii="Times New Roman" w:hAnsi="Times New Roman" w:eastAsia="Times New Roman"/>
        </w:rPr>
        <w:t xml:space="preserve">    action_freq = ComputeHistogram(actions, bins=K) / len(actions)</w:t>
      </w:r>
      <w:r>
        <w:rPr>
          <w:rFonts w:ascii="Times New Roman" w:hAnsi="Times New Roman" w:eastAsia="Times New Roman"/>
        </w:rPr>
        <w:br w:type="textWrapping"/>
      </w:r>
      <w:r>
        <w:rPr>
          <w:rFonts w:ascii="Times New Roman" w:hAnsi="Times New Roman" w:eastAsia="Times New Roman"/>
        </w:rPr>
        <w:t xml:space="preserve">    modal_share = max(action_freq)</w:t>
      </w:r>
      <w:r>
        <w:rPr>
          <w:rFonts w:ascii="Times New Roman" w:hAnsi="Times New Roman" w:eastAsia="Times New Roman"/>
        </w:rPr>
        <w:br w:type="textWrapping"/>
      </w:r>
      <w:r>
        <w:rPr>
          <w:rFonts w:ascii="Times New Roman" w:hAnsi="Times New Roman" w:eastAsia="Times New Roman"/>
        </w:rPr>
        <w:t xml:space="preserve">    entropy = -sum(p * log(p) for p in action_freq if p &gt; 0)</w:t>
      </w:r>
      <w:r>
        <w:rPr>
          <w:rFonts w:ascii="Times New Roman" w:hAnsi="Times New Roman" w:eastAsia="Times New Roman"/>
        </w:rPr>
        <w:br w:type="textWrapping"/>
      </w:r>
      <w:r>
        <w:rPr>
          <w:rFonts w:ascii="Times New Roman" w:hAnsi="Times New Roman" w:eastAsia="Times New Roman"/>
        </w:rPr>
        <w:t xml:space="preserve">    norm_entropy = entropy / log(K)</w:t>
      </w:r>
      <w:r>
        <w:rPr>
          <w:rFonts w:ascii="Times New Roman" w:hAnsi="Times New Roman" w:eastAsia="Times New Roman"/>
        </w:rPr>
        <w:br w:type="textWrapping"/>
      </w:r>
      <w:r>
        <w:rPr>
          <w:rFonts w:ascii="Times New Roman" w:hAnsi="Times New Roman" w:eastAsia="Times New Roman"/>
        </w:rPr>
        <w:t xml:space="preserve">    effective_actions = exp(entropy)</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is_degenerate = (modal_share &gt;= gamma_modal) and (norm_entropy &lt;= gamma_entropy)</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return {</w:t>
      </w:r>
      <w:r>
        <w:rPr>
          <w:rFonts w:ascii="Times New Roman" w:hAnsi="Times New Roman" w:eastAsia="Times New Roman"/>
        </w:rPr>
        <w:br w:type="textWrapping"/>
      </w:r>
      <w:r>
        <w:rPr>
          <w:rFonts w:ascii="Times New Roman" w:hAnsi="Times New Roman" w:eastAsia="Times New Roman"/>
        </w:rPr>
        <w:t xml:space="preserve">        "theta": bandit.get_weights(),</w:t>
      </w:r>
      <w:r>
        <w:rPr>
          <w:rFonts w:ascii="Times New Roman" w:hAnsi="Times New Roman" w:eastAsia="Times New Roman"/>
        </w:rPr>
        <w:br w:type="textWrapping"/>
      </w:r>
      <w:r>
        <w:rPr>
          <w:rFonts w:ascii="Times New Roman" w:hAnsi="Times New Roman" w:eastAsia="Times New Roman"/>
        </w:rPr>
        <w:t xml:space="preserve">        "is_degenerate": is_degenerate,</w:t>
      </w:r>
      <w:r>
        <w:rPr>
          <w:rFonts w:ascii="Times New Roman" w:hAnsi="Times New Roman" w:eastAsia="Times New Roman"/>
        </w:rPr>
        <w:br w:type="textWrapping"/>
      </w:r>
      <w:r>
        <w:rPr>
          <w:rFonts w:ascii="Times New Roman" w:hAnsi="Times New Roman" w:eastAsia="Times New Roman"/>
        </w:rPr>
        <w:t xml:space="preserve">        "diagnostics": {</w:t>
      </w:r>
      <w:r>
        <w:rPr>
          <w:rFonts w:ascii="Times New Roman" w:hAnsi="Times New Roman" w:eastAsia="Times New Roman"/>
        </w:rPr>
        <w:br w:type="textWrapping"/>
      </w:r>
      <w:r>
        <w:rPr>
          <w:rFonts w:ascii="Times New Roman" w:hAnsi="Times New Roman" w:eastAsia="Times New Roman"/>
        </w:rPr>
        <w:t xml:space="preserve">            "modal_share": modal_share,</w:t>
      </w:r>
      <w:r>
        <w:rPr>
          <w:rFonts w:ascii="Times New Roman" w:hAnsi="Times New Roman" w:eastAsia="Times New Roman"/>
        </w:rPr>
        <w:br w:type="textWrapping"/>
      </w:r>
      <w:r>
        <w:rPr>
          <w:rFonts w:ascii="Times New Roman" w:hAnsi="Times New Roman" w:eastAsia="Times New Roman"/>
        </w:rPr>
        <w:t xml:space="preserve">            "norm_entropy": norm_entropy,</w:t>
      </w:r>
      <w:r>
        <w:rPr>
          <w:rFonts w:ascii="Times New Roman" w:hAnsi="Times New Roman" w:eastAsia="Times New Roman"/>
        </w:rPr>
        <w:br w:type="textWrapping"/>
      </w:r>
      <w:r>
        <w:rPr>
          <w:rFonts w:ascii="Times New Roman" w:hAnsi="Times New Roman" w:eastAsia="Times New Roman"/>
        </w:rPr>
        <w:t xml:space="preserve">            "effective_actions": effective_actions,</w:t>
      </w:r>
      <w:r>
        <w:rPr>
          <w:rFonts w:ascii="Times New Roman" w:hAnsi="Times New Roman" w:eastAsia="Times New Roman"/>
        </w:rPr>
        <w:br w:type="textWrapping"/>
      </w:r>
      <w:r>
        <w:rPr>
          <w:rFonts w:ascii="Times New Roman" w:hAnsi="Times New Roman" w:eastAsia="Times New Roman"/>
        </w:rPr>
        <w:t xml:space="preserve">            "action_freq": action_freq</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r>
        <w:rPr>
          <w:rFonts w:ascii="Times New Roman" w:hAnsi="Times New Roman" w:eastAsia="Times New Roman"/>
        </w:rPr>
        <w:t xml:space="preserve">    }</w:t>
      </w:r>
      <w:r>
        <w:rPr>
          <w:rFonts w:ascii="Times New Roman" w:hAnsi="Times New Roman" w:eastAsia="Times New Roman"/>
        </w:rPr>
        <w:br w:type="textWrapping"/>
      </w:r>
    </w:p>
    <w:p w14:paraId="0000061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A.2 Target Transfer with Degeneracy Audit</w:t>
      </w:r>
    </w:p>
    <w:p w14:paraId="00000613">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def TransferWithAudit(source_result, target_data, thresholds, cost_bps=10):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INPUT:  source_result, target_data, thresholds, cost_bps=10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OUTPUT: {signals, returns, audit_result}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1. Pre-deployment check</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if source_result["is_degenerate"]: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print("WARNING: Source policy is degenerate. Transfer will likely collapse.")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Quantitative managers may decide to reject or proceed with extreme caution.</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theta = source_result["theta"]</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target_features = ComputeFeatures(target_data)</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target_pred = WalkForwardGBT(target_features, train=504, test=63, step=63)</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target_ctx = ComputeContexts(target_data)</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target_returns = target_data['returns']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signals =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returns_arr =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actions =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prev_signal = 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2. Execution phase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for t in range(len(target_ctx)):</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Frozen policy linear scoring (exploitation only)</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a = argmax(theta @ target_ctx[t])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threshold = thresholds[a]</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signal = 1 if target_pred[t] &gt;= threshold else 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Realized returns incorporating transaction frictions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 = target_returns[t+1]</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net_ret = signal * ret - abs(signal - prev_signal) * (cost_bps / 10000.0)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signals.append(signal)</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returns_arr.append(net_ret)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actions.append(a)</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prev_signal = signal</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3. Post-transfer audit analysis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K = len(thresholds)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action_freq = ComputeHistogram(actions, bins=K) / len(actions)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modal_share = max(action_freq)</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modal_threshold = thresholds[argmax(action_freq)]</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entropy_val = -sum(p * log(p) for p in action_freq if p &gt; 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is_collapsed = (modal_share &gt;= 0.90) and (entropy_val / log(K) &lt;= 0.25)</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4. Behavioral equivalence check</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fixed_returns = ComputeFixedThresholdReturns(target_data, target_pred, modal_threshold)</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sharpe_learned = AnnualizedSharpe(returns_arr)</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sharpe_fixed = AnnualizedSharpe(fixed_returns)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sharpe_diff = sharpe_learned - sharpe_fixed</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Bootstrap confidence interval (Stationary Bootstrap)</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ci_95 = PairedBootstrapCI(returns_arr, fixed_returns, B=2000)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"signals": signals,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"returns": returns_arr,</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"audit":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"modal_share": modal_share,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"modal_threshold": modal_threshold,</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"is_collapsed": is_collapsed,</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"sharpe_learned": sharpe_learned,</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"sharpe_fixed": sharpe_fixed,</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"sharpe_diff": sharpe_diff,</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"ci_95": ci_95,</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"recommendation": "REJECT" if (is_collapsed or ci_95[1] &lt; 0) else "ACCEPT"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p>
    <w:p w14:paraId="000006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A.3 Transaction Cost Sensitivity Analysis</w:t>
      </w:r>
    </w:p>
    <w:p w14:paraId="00000615">
      <w:pPr>
        <w:widowControl/>
        <w:pBdr>
          <w:top w:val="none" w:color="auto" w:sz="0" w:space="0"/>
          <w:left w:val="none" w:color="auto" w:sz="0" w:space="0"/>
          <w:bottom w:val="none" w:color="auto" w:sz="0" w:space="0"/>
          <w:right w:val="none" w:color="auto" w:sz="0" w:space="0"/>
          <w:between w:val="none" w:color="auto" w:sz="0" w:space="0"/>
        </w:pBdr>
        <w:shd w:val="clear" w:fill="auto"/>
        <w:spacing w:after="255"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def CostSensitivity(signals, raw_returns, cost_levels=[0, 5, 10, 20, 50]):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INPUT:  signals, raw_returns, cost_levels=[0, 5, 10, 20, 50]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OUTPUT: {break_even_bps, sharpe_by_cost}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changes = ComputeAbsoluteDifferences(signals)  # 1 when signal changes, 0 otherwise</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total_changes = sum(changes)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total_return = sum(raw_returns)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 Break-even cost: the cost level (in bps) at which strategy returns equal zero</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break_even_bps = (total_return / total_changes) * 10000.0 if total_changes &gt; 0 else 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 =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for cost in cost_levels: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net_returns = raw_returns - changes * (cost / 10000.0)</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sharpe_by_cost[cost] = AnnualizedSharpe(net_returns)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return {</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"break_even_bps": break_even_bps,</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"sharpe_by_cost": sharpe_by_cost</w:t>
      </w:r>
      <w:r>
        <w:rPr>
          <w:rFonts w:ascii="Times New Roman" w:hAnsi="Times New Roman" w:eastAsia="Times New Roman" w:cs="Google Sans"/>
          <w:color w:val="1F1F1F"/>
          <w:sz w:val="24"/>
          <w:rtl w:val="0"/>
        </w:rPr>
        <w:br w:type="textWrapping"/>
      </w:r>
      <w:r>
        <w:rPr>
          <w:rFonts w:ascii="Times New Roman" w:hAnsi="Times New Roman" w:eastAsia="Times New Roman" w:cs="Google Sans"/>
          <w:color w:val="1F1F1F"/>
          <w:sz w:val="24"/>
          <w:rtl w:val="0"/>
        </w:rPr>
        <w:t xml:space="preserve">    }</w:t>
      </w:r>
      <w:r>
        <w:rPr>
          <w:rFonts w:ascii="Times New Roman" w:hAnsi="Times New Roman" w:eastAsia="Times New Roman" w:cs="Google Sans"/>
          <w:color w:val="1F1F1F"/>
          <w:sz w:val="24"/>
          <w:rtl w:val="0"/>
        </w:rPr>
        <w:br w:type="textWrapping"/>
      </w:r>
    </w:p>
    <w:p w14:paraId="0000061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B: Context Cloud Geometry — Formal Treatment</w:t>
      </w:r>
    </w:p>
    <w:p w14:paraId="0000061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appendix provides formal treatments and geometric proofs associated with the decision boundaries of the frozen LinUCB decision gating layer.</w:t>
      </w:r>
    </w:p>
    <w:p w14:paraId="0000061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B.1 Decision Regions as Convex Cones</w:t>
      </w:r>
    </w:p>
    <w:p w14:paraId="0000061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 a </w:t>
      </w:r>
      <m:oMath>
        <m:r>
          <m:rPr/>
          <m:t>K</m:t>
        </m:r>
      </m:oMath>
      <w:r>
        <w:rPr>
          <w:rFonts w:ascii="Times New Roman" w:hAnsi="Times New Roman" w:eastAsia="Times New Roman"/>
        </w:rPr>
        <w:t xml:space="preserve">-action linear scoring policy with weight matrix </w:t>
      </w:r>
      <m:oMath>
        <m:r>
          <m:rPr/>
          <m:t>Θ</m:t>
        </m:r>
        <m:r>
          <m:rPr>
            <m:sty m:val="p"/>
          </m:rPr>
          <m:t>=</m:t>
        </m:r>
        <m:d>
          <m:dPr>
            <m:begChr m:val="["/>
            <m:sepChr m:val=""/>
            <m:endChr m:val="]"/>
          </m:dPr>
          <m:e>
            <m:sSub>
              <m:sSubPr/>
              <m:e>
                <m:r>
                  <m:rPr>
                    <m:sty m:val="b"/>
                  </m:rPr>
                  <m:t>θ</m:t>
                </m:r>
              </m:e>
              <m:sub>
                <m:r>
                  <m:rPr/>
                  <m:t>1</m:t>
                </m:r>
              </m:sub>
            </m:sSub>
            <m:r>
              <m:rPr>
                <m:sty m:val="p"/>
              </m:rPr>
              <m:t>,…,</m:t>
            </m:r>
            <m:sSub>
              <m:sSubPr/>
              <m:e>
                <m:r>
                  <m:rPr>
                    <m:sty m:val="b"/>
                  </m:rPr>
                  <m:t>θ</m:t>
                </m:r>
              </m:e>
              <m:sub>
                <m:r>
                  <m:rPr/>
                  <m:t>K</m:t>
                </m:r>
              </m:sub>
            </m:sSub>
          </m:e>
        </m:d>
        <m:r>
          <m:rPr>
            <m:sty m:val="p"/>
          </m:rPr>
          <m:t>∈</m:t>
        </m:r>
        <m:sSup>
          <m:sSupPr/>
          <m:e>
            <m:r>
              <m:rPr>
                <m:sty m:val="p"/>
                <m:scr m:val="double-struck"/>
              </m:rPr>
              <m:t>ℝ</m:t>
            </m:r>
          </m:e>
          <m:sup>
            <m:r>
              <m:rPr/>
              <m:t>d</m:t>
            </m:r>
            <m:r>
              <m:rPr>
                <m:sty m:val="p"/>
              </m:rPr>
              <m:t>×</m:t>
            </m:r>
            <m:r>
              <m:rPr/>
              <m:t>K</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c</m:t>
        </m:r>
        <m:r>
          <m:rPr>
            <m:sty m:val="p"/>
          </m:rPr>
          <m:t>∈</m:t>
        </m:r>
        <m:sSup>
          <m:sSupPr/>
          <m:e>
            <m:r>
              <m:rPr>
                <m:sty m:val="p"/>
                <m:scr m:val="double-struck"/>
              </m:rPr>
              <m:t>ℝ</m:t>
            </m:r>
          </m:e>
          <m:sup>
            <m:r>
              <m:rPr/>
              <m:t>d</m:t>
            </m:r>
          </m:sup>
        </m:sSup>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c</m:t>
        </m:r>
        <m:r>
          <m:rPr>
            <m:sty m:val="p"/>
          </m:rPr>
          <m:t>≥</m:t>
        </m:r>
        <m:r>
          <m:rPr/>
          <m:t>0</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61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Each </w:t>
      </w:r>
      <m:oMath>
        <m:sSub>
          <m:sSubPr/>
          <m:e>
            <m:r>
              <m:rPr/>
              <m:t>R</m:t>
            </m:r>
          </m:e>
          <m:sub>
            <m:r>
              <m:rPr/>
              <m:t>k</m:t>
            </m:r>
          </m:sub>
        </m:sSub>
      </m:oMath>
      <w:r>
        <w:rPr>
          <w:rFonts w:ascii="Times New Roman" w:hAnsi="Times New Roman" w:eastAsia="Times New Roman"/>
        </w:rPr>
        <w:t xml:space="preserve"> is a convex polyhedral cone—the intersection of </w:t>
      </w:r>
      <m:oMath>
        <m:r>
          <m:rPr/>
          <m:t>K</m:t>
        </m:r>
        <m:r>
          <m:rPr>
            <m:sty m:val="p"/>
          </m:rPr>
          <m:t>−</m:t>
        </m:r>
        <m:r>
          <m:rPr/>
          <m:t>1</m:t>
        </m:r>
      </m:oMath>
      <w:r>
        <w:rPr>
          <w:rFonts w:ascii="Times New Roman" w:hAnsi="Times New Roman" w:eastAsia="Times New Roman"/>
        </w:rPr>
        <w:t xml:space="preserve"> closed half-spaces through the origin. The collection </w:t>
      </w:r>
      <m:oMath>
        <m:r>
          <m:rPr>
            <m:sty m:val="p"/>
          </m:rPr>
          <m:t>{</m:t>
        </m:r>
        <m:sSub>
          <m:sSubPr/>
          <m:e>
            <m:r>
              <m:rPr/>
              <m:t>R</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xml:space="preserve"> forms a conic partition of </w:t>
      </w:r>
      <m:oMath>
        <m:sSup>
          <m:sSupPr/>
          <m:e>
            <m:r>
              <m:rPr>
                <m:sty m:val="p"/>
                <m:scr m:val="double-struck"/>
              </m:rPr>
              <m:t>ℝ</m:t>
            </m:r>
          </m:e>
          <m:sup>
            <m:r>
              <m:rPr/>
              <m:t>d</m:t>
            </m:r>
          </m:sup>
        </m:sSup>
      </m:oMath>
      <w:r>
        <w:rPr>
          <w:rFonts w:ascii="Times New Roman" w:hAnsi="Times New Roman" w:eastAsia="Times New Roman"/>
        </w:rPr>
        <w:t xml:space="preserve"> (up to shared boundaries).</w:t>
      </w:r>
    </w:p>
    <w:p w14:paraId="000006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B.2 Decision Margin</w:t>
      </w:r>
    </w:p>
    <w:p w14:paraId="000006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Define the selected action and decision margin at context </w:t>
      </w:r>
      <m:oMath>
        <m:r>
          <m:rPr>
            <m:sty m:val="b"/>
          </m:rPr>
          <m:t>c</m:t>
        </m:r>
      </m:oMath>
      <w:r>
        <w:rPr>
          <w:rFonts w:ascii="Times New Roman" w:hAnsi="Times New Roman" w:eastAsia="Times New Roman"/>
        </w:rPr>
        <w:t xml:space="preserve"> as </w:t>
      </w:r>
      <m:oMath>
        <m:r>
          <m:rPr/>
          <m:t>a</m:t>
        </m:r>
        <m:d>
          <m:dPr>
            <m:sepChr m:val=""/>
          </m:dPr>
          <m:e>
            <m:r>
              <m:rPr>
                <m:sty m:val="b"/>
              </m:rPr>
              <m:t>c</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c</m:t>
        </m:r>
      </m:oMath>
      <w:r>
        <w:rPr>
          <w:rFonts w:ascii="Times New Roman" w:hAnsi="Times New Roman" w:eastAsia="Times New Roman"/>
        </w:rPr>
        <w:t xml:space="preserve"> and </w:t>
      </w:r>
      <m:oMath>
        <m:r>
          <m:rPr/>
          <m:t>m</m:t>
        </m:r>
        <m:d>
          <m:dPr>
            <m:sepChr m:val=""/>
          </m:dPr>
          <m:e>
            <m:r>
              <m:rPr>
                <m:sty m:val="b"/>
              </m:rPr>
              <m:t>c</m:t>
            </m:r>
          </m:e>
        </m:d>
        <m:r>
          <m:rPr>
            <m:sty m:val="p"/>
          </m:rPr>
          <m:t>=</m:t>
        </m:r>
        <m:sSub>
          <m:sSubPr/>
          <m:e>
            <m:r>
              <m:rPr>
                <m:sty m:val="p"/>
              </m:rPr>
              <m:t>min</m:t>
            </m:r>
          </m:e>
          <m:sub>
            <m:r>
              <m:rPr/>
              <m:t>j</m:t>
            </m:r>
            <m:r>
              <m:rPr>
                <m:sty m:val="p"/>
              </m:rPr>
              <m:t>≠</m:t>
            </m:r>
            <m:r>
              <m:rPr/>
              <m:t>a</m:t>
            </m:r>
            <m:d>
              <m:dPr>
                <m:sepChr m:val=""/>
              </m:dPr>
              <m:e>
                <m:r>
                  <m:rPr>
                    <m:sty m:val="b"/>
                  </m:rPr>
                  <m:t>c</m:t>
                </m:r>
              </m:e>
            </m:d>
          </m:sub>
        </m:sSub>
        <m:sSup>
          <m:sSupPr/>
          <m:e>
            <m:d>
              <m:dPr>
                <m:sepChr m:val=""/>
              </m:dPr>
              <m:e>
                <m:sSub>
                  <m:sSubPr/>
                  <m:e>
                    <m:r>
                      <m:rPr>
                        <m:sty m:val="b"/>
                      </m:rPr>
                      <m:t>θ</m:t>
                    </m:r>
                  </m:e>
                  <m:sub>
                    <m:r>
                      <m:rPr/>
                      <m:t>a</m:t>
                    </m:r>
                    <m:d>
                      <m:dPr>
                        <m:sepChr m:val=""/>
                      </m:dPr>
                      <m:e>
                        <m:r>
                          <m:rPr>
                            <m:sty m:val="b"/>
                          </m:rPr>
                          <m:t>c</m:t>
                        </m:r>
                      </m:e>
                    </m:d>
                  </m:sub>
                </m:sSub>
                <m:r>
                  <m:rPr>
                    <m:sty m:val="p"/>
                  </m:rPr>
                  <m:t>−</m:t>
                </m:r>
                <m:sSub>
                  <m:sSubPr/>
                  <m:e>
                    <m:r>
                      <m:rPr>
                        <m:sty m:val="b"/>
                      </m:rPr>
                      <m:t>θ</m:t>
                    </m:r>
                  </m:e>
                  <m:sub>
                    <m:r>
                      <m:rPr/>
                      <m:t>j</m:t>
                    </m:r>
                  </m:sub>
                </m:sSub>
              </m:e>
            </m:d>
          </m:e>
          <m:sup>
            <m:r>
              <m:rPr>
                <m:sty m:val="p"/>
                <m:scr m:val="sans-serif"/>
              </m:rPr>
              <m:t>T</m:t>
            </m:r>
          </m:sup>
        </m:sSup>
        <m:r>
          <m:rPr>
            <m:sty m:val="b"/>
          </m:rPr>
          <m:t>c</m:t>
        </m:r>
      </m:oMath>
      <w:r>
        <w:rPr>
          <w:rFonts w:ascii="Times New Roman" w:hAnsi="Times New Roman" w:eastAsia="Times New Roman"/>
        </w:rPr>
        <w:t>.</w:t>
      </w:r>
    </w:p>
    <w:p w14:paraId="000006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margin </w:t>
      </w:r>
      <m:oMath>
        <m:r>
          <m:rPr/>
          <m:t>m</m:t>
        </m:r>
        <m:d>
          <m:dPr>
            <m:sepChr m:val=""/>
          </m:dPr>
          <m:e>
            <m:r>
              <m:rPr>
                <m:sty m:val="b"/>
              </m:rPr>
              <m:t>c</m:t>
            </m:r>
          </m:e>
        </m:d>
      </m:oMath>
      <w:r>
        <w:rPr>
          <w:rFonts w:ascii="Times New Roman" w:hAnsi="Times New Roman" w:eastAsia="Times New Roman"/>
        </w:rPr>
        <w:t xml:space="preserve"> measures the score gap between the selected action and its closest competitor; </w:t>
      </w:r>
      <m:oMath>
        <m:r>
          <m:rPr/>
          <m:t>m</m:t>
        </m:r>
        <m:d>
          <m:dPr>
            <m:sepChr m:val=""/>
          </m:dPr>
          <m:e>
            <m:r>
              <m:rPr>
                <m:sty m:val="b"/>
              </m:rPr>
              <m:t>c</m:t>
            </m:r>
          </m:e>
        </m:d>
        <m:r>
          <m:rPr>
            <m:sty m:val="p"/>
          </m:rPr>
          <m:t>&gt;</m:t>
        </m:r>
        <m:r>
          <m:rPr/>
          <m:t>0</m:t>
        </m:r>
      </m:oMath>
      <w:r>
        <w:rPr>
          <w:rFonts w:ascii="Times New Roman" w:hAnsi="Times New Roman" w:eastAsia="Times New Roman"/>
        </w:rPr>
        <w:t xml:space="preserve"> means that </w:t>
      </w:r>
      <m:oMath>
        <m:r>
          <m:rPr>
            <m:sty m:val="b"/>
          </m:rPr>
          <m:t>c</m:t>
        </m:r>
      </m:oMath>
      <w:r>
        <w:rPr>
          <w:rFonts w:ascii="Times New Roman" w:hAnsi="Times New Roman" w:eastAsia="Times New Roman"/>
        </w:rPr>
        <w:t xml:space="preserve"> does not lie on a decision boundary.</w:t>
      </w:r>
    </w:p>
    <w:p w14:paraId="0000061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rPr>
        <w:t xml:space="preserve">Proposition (Collapse under a sufficiently small context cloud). Fix </w:t>
      </w:r>
      <m:oMath>
        <m:sSub>
          <m:sSubPr/>
          <m:e>
            <m:r>
              <m:rPr>
                <m:sty m:val="b"/>
              </m:rPr>
              <m:t>c</m:t>
            </m:r>
          </m:e>
          <m:sub>
            <m:r>
              <m:rPr/>
              <m:t>0</m:t>
            </m:r>
          </m:sub>
        </m:sSub>
        <m:r>
          <m:rPr>
            <m:sty m:val="p"/>
          </m:rPr>
          <m:t>∈</m:t>
        </m:r>
        <m:sSub>
          <m:sSubPr/>
          <m:e>
            <m:r>
              <m:rPr>
                <m:sty m:val="p"/>
                <m:scr m:val="script"/>
              </m:rPr>
              <m:t>C</m:t>
            </m:r>
          </m:e>
          <m:sub>
            <m:r>
              <m:rPr/>
              <m:t>T</m:t>
            </m:r>
          </m:sub>
        </m:sSub>
      </m:oMath>
      <w:r>
        <w:rPr>
          <w:rFonts w:ascii="Times New Roman" w:hAnsi="Times New Roman" w:eastAsia="Times New Roman"/>
        </w:rPr>
        <w:t xml:space="preserve"> and let </w:t>
      </w:r>
      <m:oMath>
        <m:sSup>
          <m:sSupPr/>
          <m:e>
            <m:r>
              <m:rPr/>
              <m:t>a</m:t>
            </m:r>
          </m:e>
          <m:sup>
            <m:r>
              <m:rPr>
                <m:sty m:val="p"/>
              </m:rPr>
              <m:t>∗</m:t>
            </m:r>
          </m:sup>
        </m:sSup>
        <m:r>
          <m:rPr>
            <m:sty m:val="p"/>
          </m:rPr>
          <m:t>=</m:t>
        </m:r>
        <m:r>
          <m:rPr/>
          <m:t>a</m:t>
        </m:r>
        <m:d>
          <m:dPr>
            <m:sepChr m:val=""/>
          </m:dPr>
          <m:e>
            <m:sSub>
              <m:sSubPr/>
              <m:e>
                <m:r>
                  <m:rPr>
                    <m:sty m:val="b"/>
                  </m:rPr>
                  <m:t>c</m:t>
                </m:r>
              </m:e>
              <m:sub>
                <m:r>
                  <m:rPr/>
                  <m:t>0</m:t>
                </m:r>
              </m:sub>
            </m:sSub>
          </m:e>
        </m:d>
      </m:oMath>
      <w:r>
        <w:rPr>
          <w:rFonts w:ascii="Times New Roman" w:hAnsi="Times New Roman" w:eastAsia="Times New Roman"/>
        </w:rPr>
        <w:t xml:space="preserve">. Define </w:t>
      </w:r>
      <m:oMath>
        <m:sSub>
          <m:sSubPr/>
          <m:e>
            <m:r>
              <m:rPr/>
              <m:t>γ</m:t>
            </m:r>
          </m:e>
          <m:sub>
            <m:r>
              <m:rPr/>
              <m:t>0</m:t>
            </m:r>
          </m:sub>
        </m:sSub>
        <m:r>
          <m:rPr>
            <m:sty m:val="p"/>
          </m:rPr>
          <m:t>=</m:t>
        </m:r>
        <m:sSub>
          <m:sSubPr/>
          <m:e>
            <m:r>
              <m:rPr>
                <m:sty m:val="p"/>
              </m:rPr>
              <m:t>min</m:t>
            </m:r>
          </m:e>
          <m:sub>
            <m:r>
              <m:rPr/>
              <m:t>j</m:t>
            </m:r>
            <m:r>
              <m:rPr>
                <m:sty m:val="p"/>
              </m:rPr>
              <m:t>≠</m:t>
            </m:r>
            <m:sSup>
              <m:sSupPr/>
              <m:e>
                <m:r>
                  <m:rPr/>
                  <m:t>a</m:t>
                </m:r>
              </m:e>
              <m:sup>
                <m:r>
                  <m:rPr>
                    <m:sty m:val="p"/>
                  </m:rPr>
                  <m:t>∗</m:t>
                </m:r>
              </m:sup>
            </m:sSup>
          </m:sub>
        </m:sSub>
        <m:sSup>
          <m:sSupPr/>
          <m:e>
            <m:d>
              <m:dPr>
                <m:sepChr m:val=""/>
              </m:dPr>
              <m:e>
                <m:sSub>
                  <m:sSubPr/>
                  <m:e>
                    <m:r>
                      <m:rPr>
                        <m:sty m:val="b"/>
                      </m:rPr>
                      <m:t>θ</m:t>
                    </m:r>
                  </m:e>
                  <m:sub>
                    <m:sSup>
                      <m:sSupPr/>
                      <m:e>
                        <m:r>
                          <m:rPr/>
                          <m:t>a</m:t>
                        </m:r>
                      </m:e>
                      <m:sup>
                        <m:r>
                          <m:rPr>
                            <m:sty m:val="p"/>
                          </m:rPr>
                          <m:t>∗</m:t>
                        </m:r>
                      </m:sup>
                    </m:sSup>
                  </m:sub>
                </m:sSub>
                <m:r>
                  <m:rPr>
                    <m:sty m:val="p"/>
                  </m:rPr>
                  <m:t>−</m:t>
                </m:r>
                <m:sSub>
                  <m:sSubPr/>
                  <m:e>
                    <m:r>
                      <m:rPr>
                        <m:sty m:val="b"/>
                      </m:rPr>
                      <m:t>θ</m:t>
                    </m:r>
                  </m:e>
                  <m:sub>
                    <m:r>
                      <m:rPr/>
                      <m:t>j</m:t>
                    </m:r>
                  </m:sub>
                </m:sSub>
              </m:e>
            </m:d>
          </m:e>
          <m:sup>
            <m:r>
              <m:rPr>
                <m:sty m:val="p"/>
                <m:scr m:val="sans-serif"/>
              </m:rPr>
              <m:t>T</m:t>
            </m:r>
          </m:sup>
        </m:sSup>
        <m:sSub>
          <m:sSubPr/>
          <m:e>
            <m:r>
              <m:rPr>
                <m:sty m:val="b"/>
              </m:rPr>
              <m:t>c</m:t>
            </m:r>
          </m:e>
          <m:sub>
            <m:r>
              <m:rPr/>
              <m:t>0</m:t>
            </m:r>
          </m:sub>
        </m:sSub>
        <m:r>
          <m:rPr>
            <m:sty m:val="p"/>
          </m:rPr>
          <m:t>&gt;</m:t>
        </m:r>
        <m:r>
          <m:rPr/>
          <m:t>0</m:t>
        </m:r>
      </m:oMath>
      <w:r>
        <w:rPr>
          <w:rFonts w:ascii="Times New Roman" w:hAnsi="Times New Roman" w:eastAsia="Times New Roman"/>
        </w:rPr>
        <w:t xml:space="preserve"> and </w:t>
      </w:r>
      <m:oMath>
        <m:sSup>
          <m:sSupPr/>
          <m:e>
            <m:r>
              <m:rPr/>
              <m:t>L</m:t>
            </m:r>
          </m:e>
          <m:sup>
            <m:r>
              <m:rPr>
                <m:sty m:val="p"/>
              </m:rPr>
              <m:t>∗</m:t>
            </m:r>
          </m:sup>
        </m:sSup>
        <m:r>
          <m:rPr>
            <m:sty m:val="p"/>
          </m:rPr>
          <m:t>=</m:t>
        </m:r>
        <m:sSub>
          <m:sSubPr/>
          <m:e>
            <m:r>
              <m:rPr>
                <m:sty m:val="p"/>
              </m:rPr>
              <m:t>max</m:t>
            </m:r>
          </m:e>
          <m:sub>
            <m:r>
              <m:rPr/>
              <m:t>j</m:t>
            </m:r>
            <m:r>
              <m:rPr>
                <m:sty m:val="p"/>
              </m:rPr>
              <m:t>≠</m:t>
            </m:r>
            <m:sSup>
              <m:sSupPr/>
              <m:e>
                <m:r>
                  <m:rPr/>
                  <m:t>a</m:t>
                </m:r>
              </m:e>
              <m:sup>
                <m:r>
                  <m:rPr>
                    <m:sty m:val="p"/>
                  </m:rPr>
                  <m:t>∗</m:t>
                </m:r>
              </m:sup>
            </m:sSup>
          </m:sub>
        </m:sSub>
        <m:r>
          <m:rPr>
            <m:sty m:val="p"/>
          </m:rPr>
          <m:t>∥</m:t>
        </m:r>
        <m:sSub>
          <m:sSubPr/>
          <m:e>
            <m:r>
              <m:rPr>
                <m:sty m:val="b"/>
              </m:rPr>
              <m:t>θ</m:t>
            </m:r>
          </m:e>
          <m:sub>
            <m:sSup>
              <m:sSupPr/>
              <m:e>
                <m:r>
                  <m:rPr/>
                  <m:t>a</m:t>
                </m:r>
              </m:e>
              <m:sup>
                <m:r>
                  <m:rPr>
                    <m:sty m:val="p"/>
                  </m:rPr>
                  <m:t>∗</m:t>
                </m:r>
              </m:sup>
            </m:sSup>
          </m:sub>
        </m:sSub>
        <m:r>
          <m:rPr>
            <m:sty m:val="p"/>
          </m:rPr>
          <m:t>−</m:t>
        </m:r>
        <m:sSub>
          <m:sSubPr/>
          <m:e>
            <m:r>
              <m:rPr>
                <m:sty m:val="b"/>
              </m:rPr>
              <m:t>θ</m:t>
            </m:r>
          </m:e>
          <m:sub>
            <m:r>
              <m:rPr/>
              <m:t>j</m:t>
            </m:r>
          </m:sub>
        </m:sSub>
        <m:sSub>
          <m:sSubPr/>
          <m:e>
            <m:r>
              <m:rPr>
                <m:sty m:val="p"/>
              </m:rPr>
              <m:t>∥</m:t>
            </m:r>
          </m:e>
          <m:sub>
            <m:r>
              <m:rPr/>
              <m:t>2</m:t>
            </m:r>
          </m:sub>
        </m:sSub>
      </m:oMath>
      <w:r>
        <w:rPr>
          <w:rFonts w:ascii="Times New Roman" w:hAnsi="Times New Roman" w:eastAsia="Times New Roman"/>
        </w:rPr>
        <w:t xml:space="preserve">. If </w:t>
      </w:r>
      <m:oMath>
        <m:r>
          <m:rPr>
            <m:sty m:val="p"/>
          </m:rPr>
          <m:t>diam</m:t>
        </m:r>
        <m:d>
          <m:dPr>
            <m:sepChr m:val=""/>
          </m:dPr>
          <m:e>
            <m:sSub>
              <m:sSubPr/>
              <m:e>
                <m:r>
                  <m:rPr>
                    <m:sty m:val="p"/>
                    <m:scr m:val="script"/>
                  </m:rPr>
                  <m:t>C</m:t>
                </m:r>
              </m:e>
              <m:sub>
                <m:r>
                  <m:rPr/>
                  <m:t>T</m:t>
                </m:r>
              </m:sub>
            </m:sSub>
          </m:e>
        </m:d>
        <m:r>
          <m:rPr>
            <m:sty m:val="p"/>
          </m:rPr>
          <m:t>&lt;</m:t>
        </m:r>
        <m:sSub>
          <m:sSubPr/>
          <m:e>
            <m:r>
              <m:rPr/>
              <m:t>γ</m:t>
            </m:r>
          </m:e>
          <m:sub>
            <m:r>
              <m:rPr/>
              <m:t>0</m:t>
            </m:r>
          </m:sub>
        </m:sSub>
        <m:r>
          <m:rPr>
            <m:sty m:val="p"/>
          </m:rPr>
          <m:t>/</m:t>
        </m:r>
        <m:sSup>
          <m:sSupPr/>
          <m:e>
            <m:r>
              <m:rPr/>
              <m:t>L</m:t>
            </m:r>
          </m:e>
          <m:sup>
            <m:r>
              <m:rPr>
                <m:sty m:val="p"/>
              </m:rPr>
              <m:t>∗</m:t>
            </m:r>
          </m:sup>
        </m:sSup>
      </m:oMath>
      <w:r>
        <w:rPr>
          <w:rFonts w:ascii="Times New Roman" w:hAnsi="Times New Roman" w:eastAsia="Times New Roman"/>
        </w:rPr>
        <w:t xml:space="preserve">, then </w:t>
      </w:r>
      <m:oMath>
        <m:r>
          <m:rPr/>
          <m:t>a</m:t>
        </m:r>
        <m:d>
          <m:dPr>
            <m:sepChr m:val=""/>
          </m:dPr>
          <m:e>
            <m:r>
              <m:rPr>
                <m:sty m:val="b"/>
              </m:rPr>
              <m:t>c</m:t>
            </m:r>
          </m:e>
        </m:d>
        <m:r>
          <m:rPr>
            <m:sty m:val="p"/>
          </m:rPr>
          <m:t>=</m:t>
        </m:r>
        <m:sSup>
          <m:sSupPr/>
          <m:e>
            <m:r>
              <m:rPr/>
              <m:t>a</m:t>
            </m:r>
          </m:e>
          <m:sup>
            <m:r>
              <m:rPr>
                <m:sty m:val="p"/>
              </m:rPr>
              <m:t>∗</m:t>
            </m:r>
          </m:sup>
        </m:sSup>
      </m:oMath>
      <w:r>
        <w:rPr>
          <w:rFonts w:ascii="Times New Roman" w:hAnsi="Times New Roman" w:eastAsia="Times New Roman"/>
        </w:rPr>
        <w:t xml:space="preserve"> for every </w:t>
      </w:r>
      <m:oMath>
        <m:r>
          <m:rPr>
            <m:sty m:val="b"/>
          </m:rPr>
          <m:t>c</m:t>
        </m:r>
        <m:r>
          <m:rPr>
            <m:sty m:val="p"/>
          </m:rPr>
          <m:t>∈</m:t>
        </m:r>
        <m:sSub>
          <m:sSubPr/>
          <m:e>
            <m:r>
              <m:rPr>
                <m:sty m:val="p"/>
                <m:scr m:val="script"/>
              </m:rPr>
              <m:t>C</m:t>
            </m:r>
          </m:e>
          <m:sub>
            <m:r>
              <m:rPr/>
              <m:t>T</m:t>
            </m:r>
          </m:sub>
        </m:sSub>
      </m:oMath>
      <w:r>
        <w:rPr>
          <w:rFonts w:ascii="Times New Roman" w:hAnsi="Times New Roman" w:eastAsia="Times New Roman"/>
        </w:rPr>
        <w:t>; hence the policy selects one action on the entire target context cloud.</w:t>
      </w:r>
    </w:p>
    <w:p w14:paraId="000006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Proof. For any </w:t>
      </w:r>
      <m:oMath>
        <m:r>
          <m:rPr>
            <m:sty m:val="b"/>
          </m:rPr>
          <m:t>c</m:t>
        </m:r>
        <m:r>
          <m:rPr>
            <m:sty m:val="p"/>
          </m:rPr>
          <m:t>∈</m:t>
        </m:r>
        <m:sSub>
          <m:sSubPr/>
          <m:e>
            <m:r>
              <m:rPr>
                <m:sty m:val="p"/>
                <m:scr m:val="script"/>
              </m:rPr>
              <m:t>C</m:t>
            </m:r>
          </m:e>
          <m:sub>
            <m:r>
              <m:rPr/>
              <m:t>T</m:t>
            </m:r>
          </m:sub>
        </m:sSub>
      </m:oMath>
      <w:r>
        <w:rPr>
          <w:rFonts w:ascii="Times New Roman" w:hAnsi="Times New Roman" w:eastAsia="Times New Roman"/>
        </w:rPr>
        <w:t xml:space="preserve"> and </w:t>
      </w:r>
      <m:oMath>
        <m:r>
          <m:rPr/>
          <m:t>j</m:t>
        </m:r>
        <m:r>
          <m:rPr>
            <m:sty m:val="p"/>
          </m:rPr>
          <m:t>≠</m:t>
        </m:r>
        <m:sSup>
          <m:sSupPr/>
          <m:e>
            <m:r>
              <m:rPr/>
              <m:t>a</m:t>
            </m:r>
          </m:e>
          <m:sup>
            <m:r>
              <m:rPr>
                <m:sty m:val="p"/>
              </m:rPr>
              <m:t>∗</m:t>
            </m:r>
          </m:sup>
        </m:sSup>
      </m:oMath>
      <w:r>
        <w:rPr>
          <w:rFonts w:ascii="Times New Roman" w:hAnsi="Times New Roman" w:eastAsia="Times New Roman"/>
        </w:rPr>
        <w:t xml:space="preserve">, Cauchy–Schwarz gives </w:t>
      </w:r>
      <m:oMath>
        <m:sSup>
          <m:sSupPr/>
          <m:e>
            <m:d>
              <m:dPr>
                <m:sepChr m:val=""/>
              </m:dPr>
              <m:e>
                <m:sSub>
                  <m:sSubPr/>
                  <m:e>
                    <m:r>
                      <m:rPr>
                        <m:sty m:val="b"/>
                      </m:rPr>
                      <m:t>θ</m:t>
                    </m:r>
                  </m:e>
                  <m:sub>
                    <m:sSup>
                      <m:sSupPr/>
                      <m:e>
                        <m:r>
                          <m:rPr/>
                          <m:t>a</m:t>
                        </m:r>
                      </m:e>
                      <m:sup>
                        <m:r>
                          <m:rPr>
                            <m:sty m:val="p"/>
                          </m:rPr>
                          <m:t>∗</m:t>
                        </m:r>
                      </m:sup>
                    </m:sSup>
                  </m:sub>
                </m:sSub>
                <m:r>
                  <m:rPr>
                    <m:sty m:val="p"/>
                  </m:rPr>
                  <m:t>−</m:t>
                </m:r>
                <m:sSub>
                  <m:sSubPr/>
                  <m:e>
                    <m:r>
                      <m:rPr>
                        <m:sty m:val="b"/>
                      </m:rPr>
                      <m:t>θ</m:t>
                    </m:r>
                  </m:e>
                  <m:sub>
                    <m:r>
                      <m:rPr/>
                      <m:t>j</m:t>
                    </m:r>
                  </m:sub>
                </m:sSub>
              </m:e>
            </m:d>
          </m:e>
          <m:sup>
            <m:r>
              <m:rPr>
                <m:sty m:val="p"/>
                <m:scr m:val="sans-serif"/>
              </m:rPr>
              <m:t>T</m:t>
            </m:r>
          </m:sup>
        </m:sSup>
        <m:r>
          <m:rPr>
            <m:sty m:val="b"/>
          </m:rPr>
          <m:t>c</m:t>
        </m:r>
        <m:r>
          <m:rPr>
            <m:sty m:val="p"/>
          </m:rPr>
          <m:t>≥</m:t>
        </m:r>
        <m:sSub>
          <m:sSubPr/>
          <m:e>
            <m:r>
              <m:rPr/>
              <m:t>γ</m:t>
            </m:r>
          </m:e>
          <m:sub>
            <m:r>
              <m:rPr/>
              <m:t>0</m:t>
            </m:r>
          </m:sub>
        </m:sSub>
        <m:r>
          <m:rPr>
            <m:sty m:val="p"/>
          </m:rPr>
          <m:t>−</m:t>
        </m:r>
        <m:sSup>
          <m:sSupPr/>
          <m:e>
            <m:r>
              <m:rPr/>
              <m:t>L</m:t>
            </m:r>
          </m:e>
          <m:sup>
            <m:r>
              <m:rPr>
                <m:sty m:val="p"/>
              </m:rPr>
              <m:t>∗</m:t>
            </m:r>
          </m:sup>
        </m:sSup>
        <m:r>
          <m:rPr>
            <m:sty m:val="p"/>
          </m:rPr>
          <m:t>∥</m:t>
        </m:r>
        <m:r>
          <m:rPr>
            <m:sty m:val="b"/>
          </m:rPr>
          <m:t>c</m:t>
        </m:r>
        <m:r>
          <m:rPr>
            <m:sty m:val="p"/>
          </m:rPr>
          <m:t>−</m:t>
        </m:r>
        <m:sSub>
          <m:sSubPr/>
          <m:e>
            <m:r>
              <m:rPr>
                <m:sty m:val="b"/>
              </m:rPr>
              <m:t>c</m:t>
            </m:r>
          </m:e>
          <m:sub>
            <m:r>
              <m:rPr/>
              <m:t>0</m:t>
            </m:r>
          </m:sub>
        </m:sSub>
        <m:sSub>
          <m:sSubPr/>
          <m:e>
            <m:r>
              <m:rPr>
                <m:sty m:val="p"/>
              </m:rPr>
              <m:t>∥</m:t>
            </m:r>
          </m:e>
          <m:sub>
            <m:r>
              <m:rPr/>
              <m:t>2</m:t>
            </m:r>
          </m:sub>
        </m:sSub>
        <m:r>
          <m:rPr>
            <m:sty m:val="p"/>
          </m:rPr>
          <m:t>&gt;</m:t>
        </m:r>
        <m:r>
          <m:rPr/>
          <m:t>0</m:t>
        </m:r>
      </m:oMath>
      <w:r>
        <w:rPr>
          <w:rFonts w:ascii="Times New Roman" w:hAnsi="Times New Roman" w:eastAsia="Times New Roman"/>
        </w:rPr>
        <w:t xml:space="preserve">. Therefore </w:t>
      </w:r>
      <m:oMath>
        <m:sSubSup>
          <m:sSubSupPr/>
          <m:e>
            <m:r>
              <m:rPr>
                <m:sty m:val="b"/>
              </m:rPr>
              <m:t>θ</m:t>
            </m:r>
          </m:e>
          <m:sub>
            <m:sSup>
              <m:sSupPr/>
              <m:e>
                <m:r>
                  <m:rPr/>
                  <m:t>a</m:t>
                </m:r>
              </m:e>
              <m:sup>
                <m:r>
                  <m:rPr>
                    <m:sty m:val="p"/>
                  </m:rPr>
                  <m:t>∗</m:t>
                </m:r>
              </m:sup>
            </m:sSup>
          </m:sub>
          <m:sup>
            <m:r>
              <m:rPr>
                <m:sty m:val="p"/>
                <m:scr m:val="sans-serif"/>
              </m:rPr>
              <m:t>T</m:t>
            </m:r>
          </m:sup>
        </m:sSubSup>
        <m:r>
          <m:rPr>
            <m:sty m:val="b"/>
          </m:rPr>
          <m:t>c</m:t>
        </m:r>
        <m:r>
          <m:rPr>
            <m:sty m:val="p"/>
          </m:rPr>
          <m:t>&gt;</m:t>
        </m:r>
        <m:sSubSup>
          <m:sSubSupPr/>
          <m:e>
            <m:r>
              <m:rPr>
                <m:sty m:val="b"/>
              </m:rPr>
              <m:t>θ</m:t>
            </m:r>
          </m:e>
          <m:sub>
            <m:r>
              <m:rPr/>
              <m:t>j</m:t>
            </m:r>
          </m:sub>
          <m:sup>
            <m:r>
              <m:rPr>
                <m:sty m:val="p"/>
                <m:scr m:val="sans-serif"/>
              </m:rPr>
              <m:t>T</m:t>
            </m:r>
          </m:sup>
        </m:sSubSup>
        <m:r>
          <m:rPr>
            <m:sty m:val="b"/>
          </m:rPr>
          <m:t>c</m:t>
        </m:r>
      </m:oMath>
      <w:r>
        <w:rPr>
          <w:rFonts w:ascii="Times New Roman" w:hAnsi="Times New Roman" w:eastAsia="Times New Roman"/>
        </w:rPr>
        <w:t xml:space="preserve"> for all competitors </w:t>
      </w:r>
      <m:oMath>
        <m:r>
          <m:rPr/>
          <m:t>j</m:t>
        </m:r>
      </m:oMath>
      <w:r>
        <w:rPr>
          <w:rFonts w:ascii="Times New Roman" w:hAnsi="Times New Roman" w:eastAsia="Times New Roman"/>
        </w:rPr>
        <w:t xml:space="preserve">, so </w:t>
      </w:r>
      <m:oMath>
        <m:r>
          <m:rPr/>
          <m:t>a</m:t>
        </m:r>
        <m:d>
          <m:dPr>
            <m:sepChr m:val=""/>
          </m:dPr>
          <m:e>
            <m:r>
              <m:rPr>
                <m:sty m:val="b"/>
              </m:rPr>
              <m:t>c</m:t>
            </m:r>
          </m:e>
        </m:d>
        <m:r>
          <m:rPr>
            <m:sty m:val="p"/>
          </m:rPr>
          <m:t>=</m:t>
        </m:r>
        <m:sSup>
          <m:sSupPr/>
          <m:e>
            <m:r>
              <m:rPr/>
              <m:t>a</m:t>
            </m:r>
          </m:e>
          <m:sup>
            <m:r>
              <m:rPr>
                <m:sty m:val="p"/>
              </m:rPr>
              <m:t>∗</m:t>
            </m:r>
          </m:sup>
        </m:sSup>
      </m:oMath>
      <w:r>
        <w:rPr>
          <w:rFonts w:ascii="Times New Roman" w:hAnsi="Times New Roman" w:eastAsia="Times New Roman"/>
        </w:rPr>
        <w:t xml:space="preserve"> throughout </w:t>
      </w:r>
      <m:oMath>
        <m:sSub>
          <m:sSubPr/>
          <m:e>
            <m:r>
              <m:rPr>
                <m:sty m:val="p"/>
                <m:scr m:val="script"/>
              </m:rPr>
              <m:t>C</m:t>
            </m:r>
          </m:e>
          <m:sub>
            <m:r>
              <m:rPr/>
              <m:t>T</m:t>
            </m:r>
          </m:sub>
        </m:sSub>
      </m:oMath>
      <w:r>
        <w:rPr>
          <w:rFonts w:ascii="Times New Roman" w:hAnsi="Times New Roman" w:eastAsia="Times New Roman"/>
        </w:rPr>
        <w:t>.</w:t>
      </w:r>
    </w:p>
    <w:p w14:paraId="000006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b w:val="0"/>
          <w:i w:val="0"/>
        </w:rPr>
        <w:t>Empirically, very small score margins indicate near ties among actions. In that regime, modest distributional shifts can move a context cloud across a decision boundary; conversely, if a small target cloud lies wholly inside one decision region, the transferred policy becomes behaviorally static.</w:t>
      </w:r>
    </w:p>
    <w:p w14:paraId="000006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B.3 Context Cloud Overlap Metric</w:t>
      </w:r>
    </w:p>
    <w:p w14:paraId="000006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Define the normalized source–target context distance as </w:t>
      </w:r>
      <m:oMath>
        <m:sSub>
          <m:sSubPr/>
          <m:e>
            <m:r>
              <m:rPr/>
              <m:t>D</m:t>
            </m:r>
          </m:e>
          <m:sub>
            <m:r>
              <m:rPr>
                <m:sty m:val="p"/>
              </m:rPr>
              <m:t>ctx</m:t>
            </m:r>
          </m:sub>
        </m:sSub>
        <m:d>
          <m:dPr>
            <m:sepChr m:val=""/>
          </m:dPr>
          <m:e>
            <m:r>
              <m:rPr/>
              <m:t>S</m:t>
            </m:r>
            <m:r>
              <m:rPr>
                <m:sty m:val="p"/>
              </m:rPr>
              <m:t>,</m:t>
            </m:r>
            <m:r>
              <m:rPr/>
              <m:t>T</m:t>
            </m:r>
          </m:e>
        </m:d>
        <m:r>
          <m:rPr>
            <m:sty m:val="p"/>
          </m:rPr>
          <m:t>=</m:t>
        </m:r>
        <m:f>
          <m:fPr/>
          <m:num>
            <m:sSub>
              <m:sSubPr/>
              <m:e>
                <m:r>
                  <m:rPr/>
                  <m:t>W</m:t>
                </m:r>
              </m:e>
              <m:sub>
                <m:r>
                  <m:rPr/>
                  <m:t>1</m:t>
                </m:r>
              </m:sub>
            </m:sSub>
            <m:d>
              <m:dPr>
                <m:sepChr m:val=""/>
              </m:dPr>
              <m:e>
                <m:sSub>
                  <m:sSubPr/>
                  <m:e>
                    <m:r>
                      <m:rPr/>
                      <m:t>P</m:t>
                    </m:r>
                  </m:e>
                  <m:sub>
                    <m:r>
                      <m:rPr/>
                      <m:t>S</m:t>
                    </m:r>
                  </m:sub>
                </m:sSub>
                <m:r>
                  <m:rPr>
                    <m:sty m:val="p"/>
                  </m:rPr>
                  <m:t>,</m:t>
                </m:r>
                <m:sSub>
                  <m:sSubPr/>
                  <m:e>
                    <m:r>
                      <m:rPr/>
                      <m:t>P</m:t>
                    </m:r>
                  </m:e>
                  <m:sub>
                    <m:r>
                      <m:rPr/>
                      <m:t>T</m:t>
                    </m:r>
                  </m:sub>
                </m:sSub>
              </m:e>
            </m:d>
          </m:num>
          <m:den>
            <m:sSub>
              <m:sSubPr/>
              <m:e>
                <m:r>
                  <m:rPr/>
                  <m:t>σ</m:t>
                </m:r>
              </m:e>
              <m:sub>
                <m:r>
                  <m:rPr/>
                  <m:t>S</m:t>
                </m:r>
              </m:sub>
            </m:sSub>
            <m:r>
              <m:rPr>
                <m:sty m:val="p"/>
              </m:rPr>
              <m:t>+</m:t>
            </m:r>
            <m:sSub>
              <m:sSubPr/>
              <m:e>
                <m:r>
                  <m:rPr/>
                  <m:t>σ</m:t>
                </m:r>
              </m:e>
              <m:sub>
                <m:r>
                  <m:rPr/>
                  <m:t>T</m:t>
                </m:r>
              </m:sub>
            </m:sSub>
          </m:den>
        </m:f>
      </m:oMath>
      <w:r>
        <w:rPr>
          <w:rFonts w:ascii="Times New Roman" w:hAnsi="Times New Roman" w:eastAsia="Times New Roman"/>
        </w:rPr>
        <w:t xml:space="preserve">, where </w:t>
      </w:r>
      <m:oMath>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sSub>
          <m:sSubPr/>
          <m:e>
            <m:r>
              <m:rPr>
                <m:sty m:val="p"/>
              </m:rPr>
              <m:t>inf</m:t>
            </m:r>
          </m:e>
          <m:sub>
            <m:r>
              <m:rPr/>
              <m:t>γ</m:t>
            </m:r>
            <m:r>
              <m:rPr>
                <m:sty m:val="p"/>
              </m:rPr>
              <m:t>∈</m:t>
            </m:r>
            <m:r>
              <m:rPr/>
              <m:t>Π</m:t>
            </m:r>
            <m:d>
              <m:dPr>
                <m:sepChr m:val=""/>
              </m:dPr>
              <m:e>
                <m:sSub>
                  <m:sSubPr/>
                  <m:e>
                    <m:r>
                      <m:rPr/>
                      <m:t>P</m:t>
                    </m:r>
                  </m:e>
                  <m:sub>
                    <m:r>
                      <m:rPr/>
                      <m:t>S</m:t>
                    </m:r>
                  </m:sub>
                </m:sSub>
                <m:r>
                  <m:rPr>
                    <m:sty m:val="p"/>
                  </m:rPr>
                  <m:t>,</m:t>
                </m:r>
                <m:sSub>
                  <m:sSubPr/>
                  <m:e>
                    <m:r>
                      <m:rPr/>
                      <m:t>P</m:t>
                    </m:r>
                  </m:e>
                  <m:sub>
                    <m:r>
                      <m:rPr/>
                      <m:t>T</m:t>
                    </m:r>
                  </m:sub>
                </m:sSub>
              </m:e>
            </m:d>
          </m:sub>
        </m:sSub>
        <m:r>
          <m:rPr>
            <m:sty m:val="p"/>
          </m:rPr>
          <m:t>∫∥</m:t>
        </m:r>
        <m:r>
          <m:rPr>
            <m:sty m:val="b"/>
          </m:rPr>
          <m:t>x</m:t>
        </m:r>
        <m:r>
          <m:rPr>
            <m:sty m:val="p"/>
          </m:rPr>
          <m:t>−</m:t>
        </m:r>
        <m:r>
          <m:rPr>
            <m:sty m:val="b"/>
          </m:rPr>
          <m:t>y</m:t>
        </m:r>
        <m:sSub>
          <m:sSubPr/>
          <m:e>
            <m:r>
              <m:rPr>
                <m:sty m:val="p"/>
              </m:rPr>
              <m:t>∥</m:t>
            </m:r>
          </m:e>
          <m:sub>
            <m:r>
              <m:rPr/>
              <m:t>2</m:t>
            </m:r>
          </m:sub>
        </m:sSub>
        <m:r>
          <m:rPr/>
          <m:t> dγ</m:t>
        </m:r>
        <m:d>
          <m:dPr>
            <m:sepChr m:val=""/>
          </m:dPr>
          <m:e>
            <m:r>
              <m:rPr>
                <m:sty m:val="b"/>
              </m:rPr>
              <m:t>x</m:t>
            </m:r>
            <m:r>
              <m:rPr>
                <m:sty m:val="p"/>
              </m:rPr>
              <m:t>,</m:t>
            </m:r>
            <m:r>
              <m:rPr>
                <m:sty m:val="b"/>
              </m:rPr>
              <m:t>y</m:t>
            </m:r>
          </m:e>
        </m:d>
      </m:oMath>
      <w:r>
        <w:rPr>
          <w:rFonts w:ascii="Times New Roman" w:hAnsi="Times New Roman" w:eastAsia="Times New Roman"/>
        </w:rPr>
        <w:t xml:space="preserve"> is the 1-Wasserstein distance.</w:t>
      </w:r>
    </w:p>
    <w:p w14:paraId="000006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t>P</m:t>
            </m:r>
          </m:e>
          <m:sub>
            <m:r>
              <m:rPr/>
              <m:t>S</m:t>
            </m:r>
          </m:sub>
        </m:sSub>
      </m:oMath>
      <w:r>
        <w:rPr>
          <w:rFonts w:ascii="Times New Roman" w:hAnsi="Times New Roman" w:eastAsia="Times New Roman"/>
        </w:rPr>
        <w:t xml:space="preserve"> and </w:t>
      </w:r>
      <m:oMath>
        <m:sSub>
          <m:sSubPr/>
          <m:e>
            <m:r>
              <m:rPr/>
              <m:t>P</m:t>
            </m:r>
          </m:e>
          <m:sub>
            <m:r>
              <m:rPr/>
              <m:t>T</m:t>
            </m:r>
          </m:sub>
        </m:sSub>
      </m:oMath>
      <w:r>
        <w:rPr>
          <w:rFonts w:ascii="Times New Roman" w:hAnsi="Times New Roman" w:eastAsia="Times New Roman"/>
        </w:rPr>
        <w:t xml:space="preserve"> are the source and target context distributions, </w:t>
      </w:r>
      <m:oMath>
        <m:r>
          <m:rPr/>
          <m:t>Π</m:t>
        </m:r>
        <m:d>
          <m:dPr>
            <m:sepChr m:val=""/>
          </m:dPr>
          <m:e>
            <m:sSub>
              <m:sSubPr/>
              <m:e>
                <m:r>
                  <m:rPr/>
                  <m:t>P</m:t>
                </m:r>
              </m:e>
              <m:sub>
                <m:r>
                  <m:rPr/>
                  <m:t>S</m:t>
                </m:r>
              </m:sub>
            </m:sSub>
            <m:r>
              <m:rPr>
                <m:sty m:val="p"/>
              </m:rPr>
              <m:t>,</m:t>
            </m:r>
            <m:sSub>
              <m:sSubPr/>
              <m:e>
                <m:r>
                  <m:rPr/>
                  <m:t>P</m:t>
                </m:r>
              </m:e>
              <m:sub>
                <m:r>
                  <m:rPr/>
                  <m:t>T</m:t>
                </m:r>
              </m:sub>
            </m:sSub>
          </m:e>
        </m:d>
      </m:oMath>
      <w:r>
        <w:rPr>
          <w:rFonts w:ascii="Times New Roman" w:hAnsi="Times New Roman" w:eastAsia="Times New Roman"/>
        </w:rPr>
        <w:t xml:space="preserve"> is the set of their couplings, and </w:t>
      </w:r>
      <m:oMath>
        <m:sSub>
          <m:sSubPr/>
          <m:e>
            <m:r>
              <m:rPr/>
              <m:t>σ</m:t>
            </m:r>
          </m:e>
          <m:sub>
            <m:r>
              <m:rPr/>
              <m:t>S</m:t>
            </m:r>
          </m:sub>
        </m:sSub>
        <m:r>
          <m:rPr>
            <m:sty m:val="p"/>
          </m:rPr>
          <m:t>,</m:t>
        </m:r>
        <m:sSub>
          <m:sSubPr/>
          <m:e>
            <m:r>
              <m:rPr/>
              <m:t>σ</m:t>
            </m:r>
          </m:e>
          <m:sub>
            <m:r>
              <m:rPr/>
              <m:t>T</m:t>
            </m:r>
          </m:sub>
        </m:sSub>
      </m:oMath>
      <w:r>
        <w:rPr>
          <w:rFonts w:ascii="Times New Roman" w:hAnsi="Times New Roman" w:eastAsia="Times New Roman"/>
        </w:rPr>
        <w:t xml:space="preserve"> are aggregate marginal standard deviations. A small </w:t>
      </w:r>
      <m:oMath>
        <m:sSub>
          <m:sSubPr/>
          <m:e>
            <m:r>
              <m:rPr/>
              <m:t>D</m:t>
            </m:r>
          </m:e>
          <m:sub>
            <m:r>
              <m:rPr>
                <m:sty m:val="p"/>
              </m:rPr>
              <m:t>ctx</m:t>
            </m:r>
          </m:sub>
        </m:sSub>
      </m:oMath>
      <w:r>
        <w:rPr>
          <w:rFonts w:ascii="Times New Roman" w:hAnsi="Times New Roman" w:eastAsia="Times New Roman"/>
        </w:rPr>
        <w:t xml:space="preserve"> indicates substantial context-cloud overlap and makes zero-shot policy generalization more plausible.</w:t>
      </w:r>
    </w:p>
    <w:p>
      <w:pPr>
        <w:pStyle w:val="Heading2"/>
      </w:pPr>
      <w:r>
        <w:t xml:space="preserve">B.4 Formal Proof of Proposition 1</w:t>
      </w:r>
    </w:p>
    <w:p>
      <w:pPr>
        <w:pStyle w:val="FirstParagraph"/>
      </w:pPr>
      <w:r>
        <w:rPr>
          <w:b/>
          <w:bCs/>
        </w:rPr>
        <w:t xml:space="preserve">Deterministic-policy continuity clarification.</w:t>
      </w:r>
      <w:r>
        <w:t xml:space="preserve"> </w:t>
      </w:r>
      <w:r>
        <w:t xml:space="preserve">For a deterministic argmax policy, the hard action indicator</w:t>
      </w:r>
    </w:p>
    <w:p>
      <w:pPr>
        <w:pStyle w:val="BodyText"/>
      </w:pPr>
      <m:oMathPara>
        <m:oMathParaPr>
          <m:jc m:val="center"/>
        </m:oMathParaPr>
        <m:oMath>
          <m:r>
            <m:rPr>
              <m:sty m:val="p"/>
              <m:scr m:val="double-struck"/>
            </m:rPr>
            <m:t>I</m:t>
          </m:r>
          <m:r>
            <m:rPr>
              <m:sty m:val="p"/>
            </m:rPr>
            <m:t>{</m:t>
          </m:r>
          <m:r>
            <m:t>a</m:t>
          </m:r>
          <m:d>
            <m:dPr>
              <m:begChr m:val="("/>
              <m:endChr m:val=")"/>
              <m:sepChr m:val=""/>
              <m:grow/>
            </m:dPr>
            <m:e>
              <m:r>
                <m:t>c</m:t>
              </m:r>
            </m:e>
          </m:d>
          <m:r>
            <m:rPr>
              <m:sty m:val="p"/>
            </m:rPr>
            <m:t>=</m:t>
          </m:r>
          <m:sSup>
            <m:e>
              <m:r>
                <m:t>k</m:t>
              </m:r>
            </m:e>
            <m:sup>
              <m:r>
                <m:rPr>
                  <m:sty m:val="p"/>
                </m:rPr>
                <m:t>∗</m:t>
              </m:r>
            </m:sup>
          </m:sSup>
          <m:r>
            <m:rPr>
              <m:sty m:val="p"/>
            </m:rPr>
            <m:t>}</m:t>
          </m:r>
        </m:oMath>
      </m:oMathPara>
    </w:p>
    <w:p>
      <w:pPr>
        <w:pStyle w:val="FirstParagraph"/>
      </w:pPr>
      <w:r>
        <w:t xml:space="preserve">is discontinuous on decision boundaries and is therefore not globally Lipschitz. Consequently, the Kantorovich–Rubinstein bound cannot be applied directly to this raw indicator.</w:t>
      </w:r>
    </w:p>
    <w:p>
      <w:pPr>
        <w:pStyle w:val="BodyText"/>
      </w:pPr>
      <w:r>
        <w:t xml:space="preserve">For the deterministic policy, impose the following</w:t>
      </w:r>
      <w:r>
        <w:t xml:space="preserve"> </w:t>
      </w:r>
      <w:r>
        <w:rPr>
          <w:b/>
          <w:bCs/>
        </w:rPr>
        <w:t xml:space="preserve">positive-margin boundary condition</w:t>
      </w:r>
      <w:r>
        <w:t xml:space="preserve">. Let the dominant action be</w:t>
      </w:r>
      <w:r>
        <w:t xml:space="preserve"> </w:t>
      </w:r>
      <m:oMath>
        <m:sSup>
          <m:e>
            <m:r>
              <m:t>k</m:t>
            </m:r>
          </m:e>
          <m:sup>
            <m:r>
              <m:rPr>
                <m:sty m:val="p"/>
              </m:rPr>
              <m:t>∗</m:t>
            </m:r>
          </m:sup>
        </m:sSup>
      </m:oMath>
      <w:r>
        <w:t xml:space="preserve"> </w:t>
      </w:r>
      <w:r>
        <w:t xml:space="preserve">and define the pairwise score margin against action</w:t>
      </w:r>
      <w:r>
        <w:t xml:space="preserve"> </w:t>
      </w:r>
      <m:oMath>
        <m:r>
          <m:t>j</m:t>
        </m:r>
      </m:oMath>
      <w:r>
        <w:t xml:space="preserve"> </w:t>
      </w:r>
      <w:r>
        <w:t xml:space="preserve">by</w:t>
      </w:r>
    </w:p>
    <w:p>
      <w:pPr>
        <w:pStyle w:val="BodyText"/>
      </w:pPr>
      <m:oMathPara>
        <m:oMathParaPr>
          <m:jc m:val="center"/>
        </m:oMathParaPr>
        <m:oMath>
          <m:sSub>
            <m:e>
              <m:r>
                <m:t>g</m:t>
              </m:r>
            </m:e>
            <m:sub>
              <m:r>
                <m:t>j</m:t>
              </m:r>
            </m:sub>
          </m:sSub>
          <m:d>
            <m:dPr>
              <m:begChr m:val="("/>
              <m:endChr m:val=")"/>
              <m:sepChr m:val=""/>
              <m:grow/>
            </m:dPr>
            <m:e>
              <m:r>
                <m:t>c</m:t>
              </m:r>
            </m:e>
          </m:d>
          <m:r>
            <m:rPr>
              <m:sty m:val="p"/>
            </m:rPr>
            <m:t>=</m:t>
          </m:r>
          <m:sSup>
            <m:e>
              <m:d>
                <m:dPr>
                  <m:begChr m:val="("/>
                  <m:endChr m:val=")"/>
                  <m:sepChr m:val=""/>
                  <m:grow/>
                </m:dPr>
                <m:e>
                  <m:sSub>
                    <m:e>
                      <m:r>
                        <m:t>θ</m:t>
                      </m:r>
                    </m:e>
                    <m:sub>
                      <m:sSup>
                        <m:e>
                          <m:r>
                            <m:t>k</m:t>
                          </m:r>
                        </m:e>
                        <m:sup>
                          <m:r>
                            <m:rPr>
                              <m:sty m:val="p"/>
                            </m:rPr>
                            <m:t>∗</m:t>
                          </m:r>
                        </m:sup>
                      </m:sSup>
                    </m:sub>
                  </m:sSub>
                  <m:r>
                    <m:rPr>
                      <m:sty m:val="p"/>
                    </m:rPr>
                    <m:t>−</m:t>
                  </m:r>
                  <m:sSub>
                    <m:e>
                      <m:r>
                        <m:t>θ</m:t>
                      </m:r>
                    </m:e>
                    <m:sub>
                      <m:r>
                        <m:t>j</m:t>
                      </m:r>
                    </m:sub>
                  </m:sSub>
                </m:e>
              </m:d>
            </m:e>
            <m:sup>
              <m:r>
                <m:rPr>
                  <m:sty m:val="p"/>
                </m:rPr>
                <m:t>⊤</m:t>
              </m:r>
            </m:sup>
          </m:sSup>
          <m:r>
            <m:t>c</m:t>
          </m:r>
          <m:r>
            <m:rPr>
              <m:sty m:val="p"/>
            </m:rPr>
            <m:t>.</m:t>
          </m:r>
        </m:oMath>
      </m:oMathPara>
    </w:p>
    <w:p>
      <w:pPr>
        <w:pStyle w:val="FirstParagraph"/>
      </w:pPr>
      <w:r>
        <w:t xml:space="preserve">Assume there exist</w:t>
      </w:r>
      <w:r>
        <w:t xml:space="preserve"> </w:t>
      </w:r>
      <m:oMath>
        <m:r>
          <m:t>γ</m:t>
        </m:r>
        <m:r>
          <m:rPr>
            <m:sty m:val="p"/>
          </m:rPr>
          <m:t>&gt;</m:t>
        </m:r>
        <m:r>
          <m:t>0</m:t>
        </m:r>
      </m:oMath>
      <w:r>
        <w:t xml:space="preserve"> </w:t>
      </w:r>
      <w:r>
        <w:t xml:space="preserve">and</w:t>
      </w:r>
      <w:r>
        <w:t xml:space="preserve"> </w:t>
      </w:r>
      <m:oMath>
        <m:r>
          <m:t>0</m:t>
        </m:r>
        <m:r>
          <m:rPr>
            <m:sty m:val="p"/>
          </m:rPr>
          <m:t>≤</m:t>
        </m:r>
        <m:r>
          <m:t>δ</m:t>
        </m:r>
        <m:r>
          <m:rPr>
            <m:sty m:val="p"/>
          </m:rPr>
          <m:t>&lt;</m:t>
        </m:r>
        <m:r>
          <m:t>1</m:t>
        </m:r>
      </m:oMath>
      <w:r>
        <w:t xml:space="preserve"> </w:t>
      </w:r>
      <w:r>
        <w:t xml:space="preserve">such that</w:t>
      </w:r>
    </w:p>
    <w:p>
      <w:pPr>
        <w:pStyle w:val="BodyText"/>
      </w:pPr>
      <m:oMathPara>
        <m:oMathParaPr>
          <m:jc m:val="center"/>
        </m:oMathParaPr>
        <m:oMath>
          <m:sSub>
            <m:e>
              <m:r>
                <m:t>P</m:t>
              </m:r>
            </m:e>
            <m:sub>
              <m:r>
                <m:t>S</m:t>
              </m:r>
            </m:sub>
          </m:sSub>
          <m:d>
            <m:dPr>
              <m:begChr m:val="("/>
              <m:endChr m:val=")"/>
              <m:sepChr m:val=""/>
              <m:grow/>
            </m:dPr>
            <m:e>
              <m:sSub>
                <m:e>
                  <m:r>
                    <m:t>G</m:t>
                  </m:r>
                </m:e>
                <m:sub>
                  <m:r>
                    <m:t>γ</m:t>
                  </m:r>
                </m:sub>
              </m:sSub>
            </m:e>
          </m:d>
          <m:r>
            <m:rPr>
              <m:sty m:val="p"/>
            </m:rPr>
            <m:t>≥</m:t>
          </m:r>
          <m:r>
            <m:t>1</m:t>
          </m:r>
          <m:r>
            <m:rPr>
              <m:sty m:val="p"/>
            </m:rPr>
            <m:t>−</m:t>
          </m:r>
          <m:r>
            <m:t>δ</m:t>
          </m:r>
          <m:r>
            <m:rPr>
              <m:sty m:val="p"/>
            </m:rPr>
            <m:t>,</m:t>
          </m:r>
          <m:r>
            <m:t>  </m:t>
          </m:r>
          <m:sSub>
            <m:e>
              <m:r>
                <m:t>G</m:t>
              </m:r>
            </m:e>
            <m:sub>
              <m:r>
                <m:t>γ</m:t>
              </m:r>
            </m:sub>
          </m:sSub>
          <m:r>
            <m:rPr>
              <m:sty m:val="p"/>
            </m:rPr>
            <m:t>=</m:t>
          </m:r>
          <m:d>
            <m:dPr>
              <m:begChr m:val="{"/>
              <m:endChr m:val="}"/>
              <m:sepChr m:val=""/>
              <m:grow/>
            </m:dPr>
            <m:e>
              <m:r>
                <m:t>c</m:t>
              </m:r>
              <m:r>
                <m:rPr>
                  <m:sty m:val="p"/>
                </m:rPr>
                <m:t>:</m:t>
              </m:r>
              <m:limLow>
                <m:e>
                  <m:r>
                    <m:rPr>
                      <m:sty m:val="p"/>
                    </m:rPr>
                    <m:t>min</m:t>
                  </m:r>
                </m:e>
                <m:lim>
                  <m:r>
                    <m:t>j</m:t>
                  </m:r>
                  <m:r>
                    <m:rPr>
                      <m:sty m:val="p"/>
                    </m:rPr>
                    <m:t>≠</m:t>
                  </m:r>
                  <m:sSup>
                    <m:e>
                      <m:r>
                        <m:t>k</m:t>
                      </m:r>
                    </m:e>
                    <m:sup>
                      <m:r>
                        <m:rPr>
                          <m:sty m:val="p"/>
                        </m:rPr>
                        <m:t>∗</m:t>
                      </m:r>
                    </m:sup>
                  </m:sSup>
                </m:lim>
              </m:limLow>
              <m:sSub>
                <m:e>
                  <m:r>
                    <m:t>g</m:t>
                  </m:r>
                </m:e>
                <m:sub>
                  <m:r>
                    <m:t>j</m:t>
                  </m:r>
                </m:sub>
              </m:sSub>
              <m:d>
                <m:dPr>
                  <m:begChr m:val="("/>
                  <m:endChr m:val=")"/>
                  <m:sepChr m:val=""/>
                  <m:grow/>
                </m:dPr>
                <m:e>
                  <m:r>
                    <m:t>c</m:t>
                  </m:r>
                </m:e>
              </m:d>
              <m:r>
                <m:rPr>
                  <m:sty m:val="p"/>
                </m:rPr>
                <m:t>≥</m:t>
              </m:r>
              <m:r>
                <m:t>γ</m:t>
              </m:r>
            </m:e>
          </m:d>
          <m:r>
            <m:rPr>
              <m:sty m:val="p"/>
            </m:rPr>
            <m:t>.</m:t>
          </m:r>
        </m:oMath>
      </m:oMathPara>
    </w:p>
    <w:p>
      <w:pPr>
        <w:pStyle w:val="FirstParagraph"/>
      </w:pPr>
      <w:r>
        <w:t xml:space="preserve">Define</w:t>
      </w:r>
    </w:p>
    <w:p>
      <w:pPr>
        <w:pStyle w:val="BodyText"/>
      </w:pPr>
      <m:oMathPara>
        <m:oMathParaPr>
          <m:jc m:val="center"/>
        </m:oMathParaPr>
        <m:oMath>
          <m:r>
            <m:t>B</m:t>
          </m:r>
          <m:r>
            <m:rPr>
              <m:sty m:val="p"/>
            </m:rPr>
            <m:t>=</m:t>
          </m:r>
          <m:limLow>
            <m:e>
              <m:r>
                <m:rPr>
                  <m:sty m:val="p"/>
                </m:rPr>
                <m:t>max</m:t>
              </m:r>
            </m:e>
            <m:lim>
              <m:r>
                <m:t>j</m:t>
              </m:r>
              <m:r>
                <m:rPr>
                  <m:sty m:val="p"/>
                </m:rPr>
                <m:t>≠</m:t>
              </m:r>
              <m:sSup>
                <m:e>
                  <m:r>
                    <m:t>k</m:t>
                  </m:r>
                </m:e>
                <m:sup>
                  <m:r>
                    <m:rPr>
                      <m:sty m:val="p"/>
                    </m:rPr>
                    <m:t>∗</m:t>
                  </m:r>
                </m:sup>
              </m:sSup>
            </m:lim>
          </m:limLow>
          <m:r>
            <m:rPr>
              <m:sty m:val="p"/>
            </m:rPr>
            <m:t>∥</m:t>
          </m:r>
          <m:sSub>
            <m:e>
              <m:r>
                <m:t>θ</m:t>
              </m:r>
            </m:e>
            <m:sub>
              <m:sSup>
                <m:e>
                  <m:r>
                    <m:t>k</m:t>
                  </m:r>
                </m:e>
                <m:sup>
                  <m:r>
                    <m:rPr>
                      <m:sty m:val="p"/>
                    </m:rPr>
                    <m:t>∗</m:t>
                  </m:r>
                </m:sup>
              </m:sSup>
            </m:sub>
          </m:sSub>
          <m:r>
            <m:rPr>
              <m:sty m:val="p"/>
            </m:rPr>
            <m:t>−</m:t>
          </m:r>
          <m:sSub>
            <m:e>
              <m:r>
                <m:t>θ</m:t>
              </m:r>
            </m:e>
            <m:sub>
              <m:r>
                <m:t>j</m:t>
              </m:r>
            </m:sub>
          </m:sSub>
          <m:sSub>
            <m:e>
              <m:r>
                <m:rPr>
                  <m:sty m:val="p"/>
                </m:rPr>
                <m:t>∥</m:t>
              </m:r>
            </m:e>
            <m:sub>
              <m:r>
                <m:t>2</m:t>
              </m:r>
            </m:sub>
          </m:sSub>
          <m:r>
            <m:rPr>
              <m:sty m:val="p"/>
            </m:rPr>
            <m:t>,</m:t>
          </m:r>
          <m:r>
            <m:t>  </m:t>
          </m:r>
          <m:r>
            <m:t>ρ</m:t>
          </m:r>
          <m:r>
            <m:rPr>
              <m:sty m:val="p"/>
            </m:rPr>
            <m:t>=</m:t>
          </m:r>
          <m:f>
            <m:fPr>
              <m:type m:val="bar"/>
            </m:fPr>
            <m:num>
              <m:r>
                <m:t>γ</m:t>
              </m:r>
            </m:num>
            <m:den>
              <m:r>
                <m:t>B</m:t>
              </m:r>
            </m:den>
          </m:f>
          <m:r>
            <m:rPr>
              <m:sty m:val="p"/>
            </m:rPr>
            <m:t>.</m:t>
          </m:r>
        </m:oMath>
      </m:oMathPara>
    </w:p>
    <w:p>
      <w:pPr>
        <w:pStyle w:val="FirstParagraph"/>
      </w:pPr>
      <w:r>
        <w:t xml:space="preserve">Every</w:t>
      </w:r>
      <w:r>
        <w:t xml:space="preserve"> </w:t>
      </w:r>
      <m:oMath>
        <m:r>
          <m:t>c</m:t>
        </m:r>
        <m:r>
          <m:rPr>
            <m:sty m:val="p"/>
          </m:rPr>
          <m:t>∈</m:t>
        </m:r>
        <m:sSub>
          <m:e>
            <m:r>
              <m:t>G</m:t>
            </m:r>
          </m:e>
          <m:sub>
            <m:r>
              <m:t>γ</m:t>
            </m:r>
          </m:sub>
        </m:sSub>
      </m:oMath>
      <w:r>
        <w:t xml:space="preserve"> </w:t>
      </w:r>
      <w:r>
        <w:t xml:space="preserve">remains in the</w:t>
      </w:r>
      <w:r>
        <w:t xml:space="preserve"> </w:t>
      </w:r>
      <m:oMath>
        <m:sSup>
          <m:e>
            <m:r>
              <m:t>k</m:t>
            </m:r>
          </m:e>
          <m:sup>
            <m:r>
              <m:rPr>
                <m:sty m:val="p"/>
              </m:rPr>
              <m:t>∗</m:t>
            </m:r>
          </m:sup>
        </m:sSup>
      </m:oMath>
      <w:r>
        <w:t xml:space="preserve"> </w:t>
      </w:r>
      <w:r>
        <w:t xml:space="preserve">decision region after any perturbation of Euclidean norm less than</w:t>
      </w:r>
      <w:r>
        <w:t xml:space="preserve"> </w:t>
      </w:r>
      <m:oMath>
        <m:r>
          <m:t>ρ</m:t>
        </m:r>
      </m:oMath>
      <w:r>
        <w:t xml:space="preserve">. Hence, for any coupling of</w:t>
      </w:r>
      <w:r>
        <w:t xml:space="preserve"> </w:t>
      </w:r>
      <m:oMath>
        <m:sSub>
          <m:e>
            <m:r>
              <m:t>P</m:t>
            </m:r>
          </m:e>
          <m:sub>
            <m:r>
              <m:t>S</m:t>
            </m:r>
          </m:sub>
        </m:sSub>
      </m:oMath>
      <w:r>
        <w:t xml:space="preserve"> </w:t>
      </w:r>
      <w:r>
        <w:t xml:space="preserve">and</w:t>
      </w:r>
      <w:r>
        <w:t xml:space="preserve"> </w:t>
      </w:r>
      <m:oMath>
        <m:sSub>
          <m:e>
            <m:r>
              <m:t>P</m:t>
            </m:r>
          </m:e>
          <m:sub>
            <m:r>
              <m:t>T</m:t>
            </m:r>
          </m:sub>
        </m:sSub>
      </m:oMath>
      <w:r>
        <w:t xml:space="preserve">, a union-bound and Markov-inequality argument gives</w:t>
      </w:r>
    </w:p>
    <w:p>
      <w:pPr>
        <w:pStyle w:val="BodyText"/>
      </w:pPr>
      <m:oMathPara>
        <m:oMathParaPr>
          <m:jc m:val="center"/>
        </m:oMathParaPr>
        <m:oMath>
          <m:sSub>
            <m:e>
              <m:r>
                <m:t>P</m:t>
              </m:r>
            </m:e>
            <m:sub>
              <m:r>
                <m:t>T</m:t>
              </m:r>
            </m:sub>
          </m:sSub>
          <m:d>
            <m:dPr>
              <m:begChr m:val="("/>
              <m:endChr m:val=")"/>
              <m:sepChr m:val=""/>
              <m:grow/>
            </m:dPr>
            <m:e>
              <m:r>
                <m:t>a</m:t>
              </m:r>
              <m:d>
                <m:dPr>
                  <m:begChr m:val="("/>
                  <m:endChr m:val=")"/>
                  <m:sepChr m:val=""/>
                  <m:grow/>
                </m:dPr>
                <m:e>
                  <m:r>
                    <m:t>c</m:t>
                  </m:r>
                </m:e>
              </m:d>
              <m:r>
                <m:rPr>
                  <m:sty m:val="p"/>
                </m:rPr>
                <m:t>=</m:t>
              </m:r>
              <m:sSup>
                <m:e>
                  <m:r>
                    <m:t>k</m:t>
                  </m:r>
                </m:e>
                <m:sup>
                  <m:r>
                    <m:rPr>
                      <m:sty m:val="p"/>
                    </m:rPr>
                    <m:t>∗</m:t>
                  </m:r>
                </m:sup>
              </m:sSup>
            </m:e>
          </m:d>
          <m:r>
            <m:rPr>
              <m:sty m:val="p"/>
            </m:rPr>
            <m:t>≥</m:t>
          </m:r>
          <m:r>
            <m:t>1</m:t>
          </m:r>
          <m:r>
            <m:rPr>
              <m:sty m:val="p"/>
            </m:rPr>
            <m:t>−</m:t>
          </m:r>
          <m:r>
            <m:t>δ</m:t>
          </m:r>
          <m:r>
            <m:rPr>
              <m:sty m:val="p"/>
            </m:rPr>
            <m:t>−</m:t>
          </m:r>
          <m:f>
            <m:fPr>
              <m:type m:val="bar"/>
            </m:fPr>
            <m:num>
              <m:sSub>
                <m:e>
                  <m:r>
                    <m:t>W</m:t>
                  </m:r>
                </m:e>
                <m:sub>
                  <m:r>
                    <m:t>1</m:t>
                  </m:r>
                </m:sub>
              </m:sSub>
              <m:d>
                <m:dPr>
                  <m:begChr m:val="("/>
                  <m:endChr m:val=")"/>
                  <m:sepChr m:val=""/>
                  <m:grow/>
                </m:dPr>
                <m:e>
                  <m:sSub>
                    <m:e>
                      <m:r>
                        <m:t>P</m:t>
                      </m:r>
                    </m:e>
                    <m:sub>
                      <m:r>
                        <m:t>S</m:t>
                      </m:r>
                    </m:sub>
                  </m:sSub>
                  <m:r>
                    <m:rPr>
                      <m:sty m:val="p"/>
                    </m:rPr>
                    <m:t>,</m:t>
                  </m:r>
                  <m:sSub>
                    <m:e>
                      <m:r>
                        <m:t>P</m:t>
                      </m:r>
                    </m:e>
                    <m:sub>
                      <m:r>
                        <m:t>T</m:t>
                      </m:r>
                    </m:sub>
                  </m:sSub>
                </m:e>
              </m:d>
            </m:num>
            <m:den>
              <m:r>
                <m:t>ρ</m:t>
              </m:r>
            </m:den>
          </m:f>
          <m:r>
            <m:rPr>
              <m:sty m:val="p"/>
            </m:rPr>
            <m:t>=</m:t>
          </m:r>
          <m:r>
            <m:t>1</m:t>
          </m:r>
          <m:r>
            <m:rPr>
              <m:sty m:val="p"/>
            </m:rPr>
            <m:t>−</m:t>
          </m:r>
          <m:r>
            <m:t>δ</m:t>
          </m:r>
          <m:r>
            <m:rPr>
              <m:sty m:val="p"/>
            </m:rPr>
            <m:t>−</m:t>
          </m:r>
          <m:f>
            <m:fPr>
              <m:type m:val="bar"/>
            </m:fPr>
            <m:num>
              <m:r>
                <m:t>B</m:t>
              </m:r>
            </m:num>
            <m:den>
              <m:r>
                <m:t>γ</m:t>
              </m:r>
            </m:den>
          </m:f>
          <m:sSub>
            <m:e>
              <m:r>
                <m:t>W</m:t>
              </m:r>
            </m:e>
            <m:sub>
              <m:r>
                <m:t>1</m:t>
              </m:r>
            </m:sub>
          </m:sSub>
          <m:d>
            <m:dPr>
              <m:begChr m:val="("/>
              <m:endChr m:val=")"/>
              <m:sepChr m:val=""/>
              <m:grow/>
            </m:dPr>
            <m:e>
              <m:sSub>
                <m:e>
                  <m:r>
                    <m:t>P</m:t>
                  </m:r>
                </m:e>
                <m:sub>
                  <m:r>
                    <m:t>S</m:t>
                  </m:r>
                </m:sub>
              </m:sSub>
              <m:r>
                <m:rPr>
                  <m:sty m:val="p"/>
                </m:rPr>
                <m:t>,</m:t>
              </m:r>
              <m:sSub>
                <m:e>
                  <m:r>
                    <m:t>P</m:t>
                  </m:r>
                </m:e>
                <m:sub>
                  <m:r>
                    <m:t>T</m:t>
                  </m:r>
                </m:sub>
              </m:sSub>
            </m:e>
          </m:d>
          <m:r>
            <m:rPr>
              <m:sty m:val="p"/>
            </m:rPr>
            <m:t>.</m:t>
          </m:r>
        </m:oMath>
      </m:oMathPara>
    </w:p>
    <w:p>
      <w:pPr>
        <w:pStyle w:val="FirstParagraph"/>
      </w:pPr>
      <w:r>
        <w:t xml:space="preserve">This deterministic bound does</w:t>
      </w:r>
      <w:r>
        <w:t xml:space="preserve"> </w:t>
      </w:r>
      <w:r>
        <w:rPr>
          <w:b/>
          <w:bCs/>
        </w:rPr>
        <w:t xml:space="preserve">not</w:t>
      </w:r>
      <w:r>
        <w:t xml:space="preserve"> </w:t>
      </w:r>
      <w:r>
        <w:t xml:space="preserve">assume that the hard indicator itself is Lipschitz. Its validity comes from the explicit positive distance of most source probability mass from every competing decision boundary.</w:t>
      </w:r>
    </w:p>
    <w:p>
      <w:pPr>
        <w:pStyle w:val="BodyText"/>
      </w:pPr>
      <w:r>
        <w:rPr>
          <w:b/>
          <w:bCs/>
        </w:rPr>
        <w:t xml:space="preserve">Proposition 1 (Transfer of source action concentration, smoothed form).</w:t>
      </w:r>
      <w:r>
        <w:t xml:space="preserve"> </w:t>
      </w:r>
      <w:r>
        <w:t xml:space="preserve">Let</w:t>
      </w:r>
      <w:r>
        <w:t xml:space="preserve"> </w:t>
      </w:r>
      <m:oMath>
        <m:sSub>
          <m:e>
            <m:r>
              <m:t>f</m:t>
            </m:r>
          </m:e>
          <m:sub>
            <m:sSup>
              <m:e>
                <m:r>
                  <m:t>k</m:t>
                </m:r>
              </m:e>
              <m:sup>
                <m:r>
                  <m:rPr>
                    <m:sty m:val="p"/>
                  </m:rPr>
                  <m:t>∗</m:t>
                </m:r>
              </m:sup>
            </m:sSup>
          </m:sub>
        </m:sSub>
        <m:d>
          <m:dPr>
            <m:begChr m:val="("/>
            <m:endChr m:val=")"/>
            <m:sepChr m:val=""/>
            <m:grow/>
          </m:dPr>
          <m:e>
            <m:r>
              <m:t>c</m:t>
            </m:r>
          </m:e>
        </m:d>
      </m:oMath>
      <w:r>
        <w:t xml:space="preserve"> </w:t>
      </w:r>
      <w:r>
        <w:t xml:space="preserve">denote a genuinely smoothed probability that the frozen policy selects action</w:t>
      </w:r>
      <w:r>
        <w:t xml:space="preserve"> </w:t>
      </w:r>
      <m:oMath>
        <m:sSup>
          <m:e>
            <m:r>
              <m:t>k</m:t>
            </m:r>
          </m:e>
          <m:sup>
            <m:r>
              <m:rPr>
                <m:sty m:val="p"/>
              </m:rPr>
              <m:t>∗</m:t>
            </m:r>
          </m:sup>
        </m:sSup>
      </m:oMath>
      <w:r>
        <w:t xml:space="preserve"> </w:t>
      </w:r>
      <w:r>
        <w:t xml:space="preserve">at context</w:t>
      </w:r>
      <w:r>
        <w:t xml:space="preserve"> </w:t>
      </w:r>
      <m:oMath>
        <m:r>
          <m:t>c</m:t>
        </m:r>
      </m:oMath>
      <w:r>
        <w:t xml:space="preserve">, and suppose that</w:t>
      </w:r>
      <w:r>
        <w:t xml:space="preserve"> </w:t>
      </w:r>
      <m:oMath>
        <m:sSub>
          <m:e>
            <m:r>
              <m:t>f</m:t>
            </m:r>
          </m:e>
          <m:sub>
            <m:sSup>
              <m:e>
                <m:r>
                  <m:t>k</m:t>
                </m:r>
              </m:e>
              <m:sup>
                <m:r>
                  <m:rPr>
                    <m:sty m:val="p"/>
                  </m:rPr>
                  <m:t>∗</m:t>
                </m:r>
              </m:sup>
            </m:sSup>
          </m:sub>
        </m:sSub>
      </m:oMath>
      <w:r>
        <w:t xml:space="preserve"> </w:t>
      </w:r>
      <w:r>
        <w:t xml:space="preserve">is</w:t>
      </w:r>
      <w:r>
        <w:t xml:space="preserve"> </w:t>
      </w:r>
      <m:oMath>
        <m:r>
          <m:t>L</m:t>
        </m:r>
      </m:oMath>
      <w:r>
        <w:t xml:space="preserve">-Lipschitz. If</w:t>
      </w:r>
    </w:p>
    <w:p>
      <w:pPr>
        <w:pStyle w:val="BodyText"/>
      </w:pPr>
      <m:oMathPara>
        <m:oMathParaPr>
          <m:jc m:val="center"/>
        </m:oMathParaPr>
        <m:oMath>
          <m:sSub>
            <m:e>
              <m:r>
                <m:rPr>
                  <m:sty m:val="p"/>
                  <m:scr m:val="double-struck"/>
                </m:rPr>
                <m:t>E</m:t>
              </m:r>
            </m:e>
            <m:sub>
              <m:sSub>
                <m:e>
                  <m:r>
                    <m:t>P</m:t>
                  </m:r>
                </m:e>
                <m:sub>
                  <m:r>
                    <m:t>S</m:t>
                  </m:r>
                </m:sub>
              </m:sSub>
            </m:sub>
          </m:sSub>
          <m:d>
            <m:dPr>
              <m:begChr m:val="["/>
              <m:endChr m:val="]"/>
              <m:sepChr m:val=""/>
              <m:grow/>
            </m:dPr>
            <m:e>
              <m:sSub>
                <m:e>
                  <m:r>
                    <m:t>f</m:t>
                  </m:r>
                </m:e>
                <m:sub>
                  <m:sSup>
                    <m:e>
                      <m:r>
                        <m:t>k</m:t>
                      </m:r>
                    </m:e>
                    <m:sup>
                      <m:r>
                        <m:rPr>
                          <m:sty m:val="p"/>
                        </m:rPr>
                        <m:t>∗</m:t>
                      </m:r>
                    </m:sup>
                  </m:sSup>
                </m:sub>
              </m:sSub>
              <m:d>
                <m:dPr>
                  <m:begChr m:val="("/>
                  <m:endChr m:val=")"/>
                  <m:sepChr m:val=""/>
                  <m:grow/>
                </m:dPr>
                <m:e>
                  <m:r>
                    <m:t>c</m:t>
                  </m:r>
                </m:e>
              </m:d>
            </m:e>
          </m:d>
          <m:r>
            <m:rPr>
              <m:sty m:val="p"/>
            </m:rPr>
            <m:t>≥</m:t>
          </m:r>
          <m:r>
            <m:t>1</m:t>
          </m:r>
          <m:r>
            <m:rPr>
              <m:sty m:val="p"/>
            </m:rPr>
            <m:t>−</m:t>
          </m:r>
          <m:r>
            <m:t>δ</m:t>
          </m:r>
          <m:r>
            <m:rPr>
              <m:sty m:val="p"/>
            </m:rPr>
            <m:t>,</m:t>
          </m:r>
        </m:oMath>
      </m:oMathPara>
    </w:p>
    <w:p>
      <w:pPr>
        <w:pStyle w:val="FirstParagraph"/>
      </w:pPr>
      <w:r>
        <w:t xml:space="preserve">then, for any target context distribution</w:t>
      </w:r>
      <w:r>
        <w:t xml:space="preserve"> </w:t>
      </w:r>
      <m:oMath>
        <m:sSub>
          <m:e>
            <m:r>
              <m:t>P</m:t>
            </m:r>
          </m:e>
          <m:sub>
            <m:r>
              <m:t>T</m:t>
            </m:r>
          </m:sub>
        </m:sSub>
      </m:oMath>
      <w:r>
        <w:t xml:space="preserve">,</w:t>
      </w:r>
    </w:p>
    <w:p>
      <w:pPr>
        <w:pStyle w:val="BodyText"/>
      </w:pPr>
      <m:oMathPara>
        <m:oMathParaPr>
          <m:jc m:val="center"/>
        </m:oMathParaPr>
        <m:oMath>
          <m:sSub>
            <m:e>
              <m:r>
                <m:rPr>
                  <m:sty m:val="p"/>
                  <m:scr m:val="double-struck"/>
                </m:rPr>
                <m:t>E</m:t>
              </m:r>
            </m:e>
            <m:sub>
              <m:sSub>
                <m:e>
                  <m:r>
                    <m:t>P</m:t>
                  </m:r>
                </m:e>
                <m:sub>
                  <m:r>
                    <m:t>T</m:t>
                  </m:r>
                </m:sub>
              </m:sSub>
            </m:sub>
          </m:sSub>
          <m:d>
            <m:dPr>
              <m:begChr m:val="["/>
              <m:endChr m:val="]"/>
              <m:sepChr m:val=""/>
              <m:grow/>
            </m:dPr>
            <m:e>
              <m:sSub>
                <m:e>
                  <m:r>
                    <m:t>f</m:t>
                  </m:r>
                </m:e>
                <m:sub>
                  <m:sSup>
                    <m:e>
                      <m:r>
                        <m:t>k</m:t>
                      </m:r>
                    </m:e>
                    <m:sup>
                      <m:r>
                        <m:rPr>
                          <m:sty m:val="p"/>
                        </m:rPr>
                        <m:t>∗</m:t>
                      </m:r>
                    </m:sup>
                  </m:sSup>
                </m:sub>
              </m:sSub>
              <m:d>
                <m:dPr>
                  <m:begChr m:val="("/>
                  <m:endChr m:val=")"/>
                  <m:sepChr m:val=""/>
                  <m:grow/>
                </m:dPr>
                <m:e>
                  <m:r>
                    <m:t>c</m:t>
                  </m:r>
                </m:e>
              </m:d>
            </m:e>
          </m:d>
          <m:r>
            <m:rPr>
              <m:sty m:val="p"/>
            </m:rPr>
            <m:t>≥</m:t>
          </m:r>
          <m:r>
            <m:t>1</m:t>
          </m:r>
          <m:r>
            <m:rPr>
              <m:sty m:val="p"/>
            </m:rPr>
            <m:t>−</m:t>
          </m:r>
          <m:r>
            <m:t>δ</m:t>
          </m:r>
          <m:r>
            <m:rPr>
              <m:sty m:val="p"/>
            </m:rPr>
            <m:t>−</m:t>
          </m:r>
          <m:r>
            <m:t>L</m:t>
          </m:r>
          <m:sSub>
            <m:e>
              <m:r>
                <m:t>W</m:t>
              </m:r>
            </m:e>
            <m:sub>
              <m:r>
                <m:t>1</m:t>
              </m:r>
            </m:sub>
          </m:sSub>
          <m:d>
            <m:dPr>
              <m:begChr m:val="("/>
              <m:endChr m:val=")"/>
              <m:sepChr m:val=""/>
              <m:grow/>
            </m:dPr>
            <m:e>
              <m:sSub>
                <m:e>
                  <m:r>
                    <m:t>P</m:t>
                  </m:r>
                </m:e>
                <m:sub>
                  <m:r>
                    <m:t>S</m:t>
                  </m:r>
                </m:sub>
              </m:sSub>
              <m:r>
                <m:rPr>
                  <m:sty m:val="p"/>
                </m:rPr>
                <m:t>,</m:t>
              </m:r>
              <m:sSub>
                <m:e>
                  <m:r>
                    <m:t>P</m:t>
                  </m:r>
                </m:e>
                <m:sub>
                  <m:r>
                    <m:t>T</m:t>
                  </m:r>
                </m:sub>
              </m:sSub>
            </m:e>
          </m:d>
          <m:r>
            <m:rPr>
              <m:sty m:val="p"/>
            </m:rPr>
            <m:t>.</m:t>
          </m:r>
        </m:oMath>
      </m:oMathPara>
    </w:p>
    <w:p>
      <w:pPr>
        <w:pStyle w:val="FirstParagraph"/>
      </w:pPr>
      <w:r>
        <w:rPr>
          <w:b/>
          <w:bCs/>
        </w:rPr>
        <w:t xml:space="preserve">Proof.</w:t>
      </w:r>
      <w:r>
        <w:t xml:space="preserve"> </w:t>
      </w:r>
      <w:r>
        <w:t xml:space="preserve">By Kantorovich–Rubinstein duality, every</w:t>
      </w:r>
      <w:r>
        <w:t xml:space="preserve"> </w:t>
      </w:r>
      <m:oMath>
        <m:r>
          <m:t>L</m:t>
        </m:r>
      </m:oMath>
      <w:r>
        <w:t xml:space="preserve">-Lipschitz function</w:t>
      </w:r>
      <w:r>
        <w:t xml:space="preserve"> </w:t>
      </w:r>
      <m:oMath>
        <m:r>
          <m:t>f</m:t>
        </m:r>
      </m:oMath>
      <w:r>
        <w:t xml:space="preserve"> </w:t>
      </w:r>
      <w:r>
        <w:t xml:space="preserve">satisfies</w:t>
      </w:r>
    </w:p>
    <w:p>
      <w:pPr>
        <w:pStyle w:val="BodyText"/>
      </w:pPr>
      <m:oMathPara>
        <m:oMathParaPr>
          <m:jc m:val="center"/>
        </m:oMathParaPr>
        <m:oMath>
          <m:d>
            <m:dPr>
              <m:begChr m:val="|"/>
              <m:endChr m:val="|"/>
              <m:sepChr m:val=""/>
              <m:grow/>
            </m:dPr>
            <m:e>
              <m:sSub>
                <m:e>
                  <m:r>
                    <m:rPr>
                      <m:sty m:val="p"/>
                      <m:scr m:val="double-struck"/>
                    </m:rPr>
                    <m:t>E</m:t>
                  </m:r>
                </m:e>
                <m:sub>
                  <m:sSub>
                    <m:e>
                      <m:r>
                        <m:t>P</m:t>
                      </m:r>
                    </m:e>
                    <m:sub>
                      <m:r>
                        <m:t>T</m:t>
                      </m:r>
                    </m:sub>
                  </m:sSub>
                </m:sub>
              </m:sSub>
              <m:d>
                <m:dPr>
                  <m:begChr m:val="["/>
                  <m:endChr m:val="]"/>
                  <m:sepChr m:val=""/>
                  <m:grow/>
                </m:dPr>
                <m:e>
                  <m:r>
                    <m:t>f</m:t>
                  </m:r>
                </m:e>
              </m:d>
              <m:r>
                <m:rPr>
                  <m:sty m:val="p"/>
                </m:rPr>
                <m:t>−</m:t>
              </m:r>
              <m:sSub>
                <m:e>
                  <m:r>
                    <m:rPr>
                      <m:sty m:val="p"/>
                      <m:scr m:val="double-struck"/>
                    </m:rPr>
                    <m:t>E</m:t>
                  </m:r>
                </m:e>
                <m:sub>
                  <m:sSub>
                    <m:e>
                      <m:r>
                        <m:t>P</m:t>
                      </m:r>
                    </m:e>
                    <m:sub>
                      <m:r>
                        <m:t>S</m:t>
                      </m:r>
                    </m:sub>
                  </m:sSub>
                </m:sub>
              </m:sSub>
              <m:d>
                <m:dPr>
                  <m:begChr m:val="["/>
                  <m:endChr m:val="]"/>
                  <m:sepChr m:val=""/>
                  <m:grow/>
                </m:dPr>
                <m:e>
                  <m:r>
                    <m:t>f</m:t>
                  </m:r>
                </m:e>
              </m:d>
            </m:e>
          </m:d>
          <m:r>
            <m:rPr>
              <m:sty m:val="p"/>
            </m:rPr>
            <m:t>≤</m:t>
          </m:r>
          <m:r>
            <m:t>L</m:t>
          </m:r>
          <m:sSub>
            <m:e>
              <m:r>
                <m:t>W</m:t>
              </m:r>
            </m:e>
            <m:sub>
              <m:r>
                <m:t>1</m:t>
              </m:r>
            </m:sub>
          </m:sSub>
          <m:d>
            <m:dPr>
              <m:begChr m:val="("/>
              <m:endChr m:val=")"/>
              <m:sepChr m:val=""/>
              <m:grow/>
            </m:dPr>
            <m:e>
              <m:sSub>
                <m:e>
                  <m:r>
                    <m:t>P</m:t>
                  </m:r>
                </m:e>
                <m:sub>
                  <m:r>
                    <m:t>S</m:t>
                  </m:r>
                </m:sub>
              </m:sSub>
              <m:r>
                <m:rPr>
                  <m:sty m:val="p"/>
                </m:rPr>
                <m:t>,</m:t>
              </m:r>
              <m:sSub>
                <m:e>
                  <m:r>
                    <m:t>P</m:t>
                  </m:r>
                </m:e>
                <m:sub>
                  <m:r>
                    <m:t>T</m:t>
                  </m:r>
                </m:sub>
              </m:sSub>
            </m:e>
          </m:d>
          <m:r>
            <m:rPr>
              <m:sty m:val="p"/>
            </m:rPr>
            <m:t>.</m:t>
          </m:r>
        </m:oMath>
      </m:oMathPara>
    </w:p>
    <w:p>
      <w:pPr>
        <w:pStyle w:val="FirstParagraph"/>
      </w:pPr>
      <w:r>
        <w:t xml:space="preserve">Applying this inequality to</w:t>
      </w:r>
      <w:r>
        <w:t xml:space="preserve"> </w:t>
      </w:r>
      <m:oMath>
        <m:sSub>
          <m:e>
            <m:r>
              <m:t>f</m:t>
            </m:r>
          </m:e>
          <m:sub>
            <m:sSup>
              <m:e>
                <m:r>
                  <m:t>k</m:t>
                </m:r>
              </m:e>
              <m:sup>
                <m:r>
                  <m:rPr>
                    <m:sty m:val="p"/>
                  </m:rPr>
                  <m:t>∗</m:t>
                </m:r>
              </m:sup>
            </m:sSup>
          </m:sub>
        </m:sSub>
      </m:oMath>
      <w:r>
        <w:t xml:space="preserve"> </w:t>
      </w:r>
      <w:r>
        <w:t xml:space="preserve">and combining it with the source concentration assumption yields the stated lower bound. The deterministic and smoothed results are therefore separate: the former requires a positive-margin boundary condition, whereas the latter requires genuine Lipschitz regularity of the selection-probability map.</w:t>
      </w:r>
    </w:p>
    <w:p>
      <w:pPr>
        <w:pStyle w:val="Heading2"/>
      </w:pPr>
      <w:r>
        <w:t xml:space="preserve">B.5 Formal Proof of Proposition 2</w:t>
      </w:r>
    </w:p>
    <w:p>
      <w:pPr>
        <w:pStyle w:val="FirstParagraph"/>
      </w:pPr>
      <w:r>
        <w:rPr>
          <w:b/>
          <w:bCs/>
        </w:rPr>
        <w:t xml:space="preserve">Proposition 2 (Formal statement).</w:t>
      </w:r>
      <w:r>
        <w:t xml:space="preserve"> </w:t>
      </w:r>
      <w:r>
        <w:t xml:space="preserve">For a</w:t>
      </w:r>
      <w:r>
        <w:t xml:space="preserve"> </w:t>
      </w:r>
      <m:oMath>
        <m:r>
          <m:t>K</m:t>
        </m:r>
      </m:oMath>
      <w:r>
        <w:t xml:space="preserve">-action linear scoring policy with weight vectors</w:t>
      </w:r>
      <w:r>
        <w:t xml:space="preserve"> </w:t>
      </w:r>
      <m:oMath>
        <m:sSub>
          <m:e>
            <m:r>
              <m:t>θ</m:t>
            </m:r>
          </m:e>
          <m:sub>
            <m:r>
              <m:t>1</m:t>
            </m:r>
          </m:sub>
        </m:sSub>
        <m:r>
          <m:rPr>
            <m:sty m:val="p"/>
          </m:rPr>
          <m:t>,</m:t>
        </m:r>
        <m:r>
          <m:rPr>
            <m:sty m:val="p"/>
          </m:rPr>
          <m:t>…</m:t>
        </m:r>
        <m:r>
          <m:rPr>
            <m:sty m:val="p"/>
          </m:rPr>
          <m:t>,</m:t>
        </m:r>
        <m:sSub>
          <m:e>
            <m:r>
              <m:t>θ</m:t>
            </m:r>
          </m:e>
          <m:sub>
            <m:r>
              <m:t>K</m:t>
            </m:r>
          </m:sub>
        </m:sSub>
      </m:oMath>
      <w:r>
        <w:t xml:space="preserve">, define</w:t>
      </w:r>
    </w:p>
    <w:p>
      <w:pPr>
        <w:pStyle w:val="BodyText"/>
      </w:pPr>
      <m:oMathPara>
        <m:oMathParaPr>
          <m:jc m:val="center"/>
        </m:oMathParaPr>
        <m:oMath>
          <m:r>
            <m:t>a</m:t>
          </m:r>
          <m:d>
            <m:dPr>
              <m:begChr m:val="("/>
              <m:endChr m:val=")"/>
              <m:sepChr m:val=""/>
              <m:grow/>
            </m:dPr>
            <m:e>
              <m:r>
                <m:t>c</m:t>
              </m:r>
            </m:e>
          </m:d>
          <m:r>
            <m:rPr>
              <m:sty m:val="p"/>
            </m:rPr>
            <m:t>=</m:t>
          </m:r>
          <m:r>
            <m:rPr>
              <m:sty m:val="p"/>
            </m:rPr>
            <m:t>arg</m:t>
          </m:r>
          <m:limLow>
            <m:e>
              <m:r>
                <m:rPr>
                  <m:sty m:val="p"/>
                </m:rPr>
                <m:t>max</m:t>
              </m:r>
            </m:e>
            <m:lim>
              <m:r>
                <m:t>k</m:t>
              </m:r>
            </m:lim>
          </m:limLow>
          <m:sSubSup>
            <m:e>
              <m:r>
                <m:t>θ</m:t>
              </m:r>
            </m:e>
            <m:sub>
              <m:r>
                <m:t>k</m:t>
              </m:r>
            </m:sub>
            <m:sup>
              <m:r>
                <m:rPr>
                  <m:sty m:val="p"/>
                </m:rPr>
                <m:t>⊤</m:t>
              </m:r>
            </m:sup>
          </m:sSubSup>
          <m:r>
            <m:t>c</m:t>
          </m:r>
          <m:r>
            <m:rPr>
              <m:sty m:val="p"/>
            </m:rPr>
            <m:t>,</m:t>
          </m:r>
          <m:r>
            <m:t>  </m:t>
          </m:r>
          <m:r>
            <m:t>m</m:t>
          </m:r>
          <m:d>
            <m:dPr>
              <m:begChr m:val="("/>
              <m:endChr m:val=")"/>
              <m:sepChr m:val=""/>
              <m:grow/>
            </m:dPr>
            <m:e>
              <m:r>
                <m:t>c</m:t>
              </m:r>
            </m:e>
          </m:d>
          <m:r>
            <m:rPr>
              <m:sty m:val="p"/>
            </m:rPr>
            <m:t>=</m:t>
          </m:r>
          <m:sSubSup>
            <m:e>
              <m:r>
                <m:t>θ</m:t>
              </m:r>
            </m:e>
            <m:sub>
              <m:r>
                <m:t>a</m:t>
              </m:r>
              <m:d>
                <m:dPr>
                  <m:begChr m:val="("/>
                  <m:endChr m:val=")"/>
                  <m:sepChr m:val=""/>
                  <m:grow/>
                </m:dPr>
                <m:e>
                  <m:r>
                    <m:t>c</m:t>
                  </m:r>
                </m:e>
              </m:d>
            </m:sub>
            <m:sup>
              <m:r>
                <m:rPr>
                  <m:sty m:val="p"/>
                </m:rPr>
                <m:t>⊤</m:t>
              </m:r>
            </m:sup>
          </m:sSubSup>
          <m:r>
            <m:t>c</m:t>
          </m:r>
          <m:r>
            <m:rPr>
              <m:sty m:val="p"/>
            </m:rPr>
            <m:t>−</m:t>
          </m:r>
          <m:limLow>
            <m:e>
              <m:r>
                <m:rPr>
                  <m:sty m:val="p"/>
                </m:rPr>
                <m:t>max</m:t>
              </m:r>
            </m:e>
            <m:lim>
              <m:r>
                <m:t>j</m:t>
              </m:r>
              <m:r>
                <m:rPr>
                  <m:sty m:val="p"/>
                </m:rPr>
                <m:t>≠</m:t>
              </m:r>
              <m:r>
                <m:t>a</m:t>
              </m:r>
              <m:d>
                <m:dPr>
                  <m:begChr m:val="("/>
                  <m:endChr m:val=")"/>
                  <m:sepChr m:val=""/>
                  <m:grow/>
                </m:dPr>
                <m:e>
                  <m:r>
                    <m:t>c</m:t>
                  </m:r>
                </m:e>
              </m:d>
            </m:lim>
          </m:limLow>
          <m:sSubSup>
            <m:e>
              <m:r>
                <m:t>θ</m:t>
              </m:r>
            </m:e>
            <m:sub>
              <m:r>
                <m:t>j</m:t>
              </m:r>
            </m:sub>
            <m:sup>
              <m:r>
                <m:rPr>
                  <m:sty m:val="p"/>
                </m:rPr>
                <m:t>⊤</m:t>
              </m:r>
            </m:sup>
          </m:sSubSup>
          <m:r>
            <m:t>c</m:t>
          </m:r>
          <m:r>
            <m:rPr>
              <m:sty m:val="p"/>
            </m:rPr>
            <m:t>,</m:t>
          </m:r>
        </m:oMath>
      </m:oMathPara>
    </w:p>
    <w:p>
      <w:pPr>
        <w:pStyle w:val="FirstParagraph"/>
      </w:pPr>
      <w:r>
        <w:t xml:space="preserve">and let</w:t>
      </w:r>
    </w:p>
    <w:p>
      <w:pPr>
        <w:pStyle w:val="BodyText"/>
      </w:pPr>
      <m:oMathPara>
        <m:oMathParaPr>
          <m:jc m:val="center"/>
        </m:oMathParaPr>
        <m:oMath>
          <m:sSub>
            <m:e>
              <m:r>
                <m:t>d</m:t>
              </m:r>
            </m:e>
            <m:sub>
              <m:r>
                <m:t>T</m:t>
              </m:r>
            </m:sub>
          </m:sSub>
          <m:r>
            <m:rPr>
              <m:sty m:val="p"/>
            </m:rPr>
            <m:t>=</m:t>
          </m:r>
          <m:r>
            <m:rPr>
              <m:sty m:val="p"/>
            </m:rPr>
            <m:t>diam</m:t>
          </m:r>
          <m:d>
            <m:dPr>
              <m:begChr m:val="("/>
              <m:endChr m:val=")"/>
              <m:sepChr m:val=""/>
              <m:grow/>
            </m:dPr>
            <m:e>
              <m:sSub>
                <m:e>
                  <m:r>
                    <m:t>C</m:t>
                  </m:r>
                </m:e>
                <m:sub>
                  <m:r>
                    <m:t>T</m:t>
                  </m:r>
                </m:sub>
              </m:sSub>
            </m:e>
          </m:d>
          <m:r>
            <m:rPr>
              <m:sty m:val="p"/>
            </m:rPr>
            <m:t>,</m:t>
          </m:r>
          <m:r>
            <m:t>  </m:t>
          </m:r>
          <m:r>
            <m:t>M</m:t>
          </m:r>
          <m:r>
            <m:rPr>
              <m:sty m:val="p"/>
            </m:rPr>
            <m:t>=</m:t>
          </m:r>
          <m:limLow>
            <m:e>
              <m:r>
                <m:rPr>
                  <m:sty m:val="p"/>
                </m:rPr>
                <m:t>max</m:t>
              </m:r>
            </m:e>
            <m:lim>
              <m:r>
                <m:t>k</m:t>
              </m:r>
            </m:lim>
          </m:limLow>
          <m:r>
            <m:rPr>
              <m:sty m:val="p"/>
            </m:rPr>
            <m:t>∥</m:t>
          </m:r>
          <m:sSub>
            <m:e>
              <m:r>
                <m:t>θ</m:t>
              </m:r>
            </m:e>
            <m:sub>
              <m:r>
                <m:t>k</m:t>
              </m:r>
            </m:sub>
          </m:sSub>
          <m:sSub>
            <m:e>
              <m:r>
                <m:rPr>
                  <m:sty m:val="p"/>
                </m:rPr>
                <m:t>∥</m:t>
              </m:r>
            </m:e>
            <m:sub>
              <m:r>
                <m:t>2</m:t>
              </m:r>
            </m:sub>
          </m:sSub>
          <m:r>
            <m:rPr>
              <m:sty m:val="p"/>
            </m:rPr>
            <m:t>.</m:t>
          </m:r>
        </m:oMath>
      </m:oMathPara>
    </w:p>
    <w:p>
      <w:pPr>
        <w:pStyle w:val="FirstParagraph"/>
      </w:pPr>
      <w:r>
        <w:t xml:space="preserve">If</w:t>
      </w:r>
    </w:p>
    <w:p>
      <w:pPr>
        <w:pStyle w:val="BodyText"/>
      </w:pPr>
      <m:oMathPara>
        <m:oMathParaPr>
          <m:jc m:val="center"/>
        </m:oMathParaPr>
        <m:oMath>
          <m:limLow>
            <m:e>
              <m:r>
                <m:rPr>
                  <m:sty m:val="p"/>
                </m:rPr>
                <m:t>inf</m:t>
              </m:r>
            </m:e>
            <m:lim>
              <m:r>
                <m:t>c</m:t>
              </m:r>
              <m:r>
                <m:rPr>
                  <m:sty m:val="p"/>
                </m:rPr>
                <m:t>∈</m:t>
              </m:r>
              <m:sSub>
                <m:e>
                  <m:r>
                    <m:t>C</m:t>
                  </m:r>
                </m:e>
                <m:sub>
                  <m:r>
                    <m:t>T</m:t>
                  </m:r>
                </m:sub>
              </m:sSub>
            </m:lim>
          </m:limLow>
          <m:r>
            <m:t>m</m:t>
          </m:r>
          <m:d>
            <m:dPr>
              <m:begChr m:val="("/>
              <m:endChr m:val=")"/>
              <m:sepChr m:val=""/>
              <m:grow/>
            </m:dPr>
            <m:e>
              <m:r>
                <m:t>c</m:t>
              </m:r>
            </m:e>
          </m:d>
          <m:r>
            <m:rPr>
              <m:sty m:val="p"/>
            </m:rPr>
            <m:t>&gt;</m:t>
          </m:r>
          <m:r>
            <m:t>2</m:t>
          </m:r>
          <m:r>
            <m:t>M</m:t>
          </m:r>
          <m:sSub>
            <m:e>
              <m:r>
                <m:t>d</m:t>
              </m:r>
            </m:e>
            <m:sub>
              <m:r>
                <m:t>T</m:t>
              </m:r>
            </m:sub>
          </m:sSub>
          <m:r>
            <m:rPr>
              <m:sty m:val="p"/>
            </m:rPr>
            <m:t>,</m:t>
          </m:r>
        </m:oMath>
      </m:oMathPara>
    </w:p>
    <w:p>
      <w:pPr>
        <w:pStyle w:val="FirstParagraph"/>
      </w:pPr>
      <w:r>
        <w:t xml:space="preserve">then the policy selects the same action for every</w:t>
      </w:r>
      <w:r>
        <w:t xml:space="preserve"> </w:t>
      </w:r>
      <m:oMath>
        <m:r>
          <m:t>c</m:t>
        </m:r>
        <m:r>
          <m:rPr>
            <m:sty m:val="p"/>
          </m:rPr>
          <m:t>∈</m:t>
        </m:r>
        <m:sSub>
          <m:e>
            <m:r>
              <m:t>C</m:t>
            </m:r>
          </m:e>
          <m:sub>
            <m:r>
              <m:t>T</m:t>
            </m:r>
          </m:sub>
        </m:sSub>
      </m:oMath>
      <w:r>
        <w:t xml:space="preserve">.</w:t>
      </w:r>
    </w:p>
    <w:p>
      <w:pPr>
        <w:pStyle w:val="BodyText"/>
      </w:pPr>
      <w:r>
        <w:rPr>
          <w:b/>
          <w:bCs/>
        </w:rPr>
        <w:t xml:space="preserve">Proof.</w:t>
      </w:r>
      <w:r>
        <w:t xml:space="preserve"> </w:t>
      </w:r>
      <w:r>
        <w:t xml:space="preserve">Fix any</w:t>
      </w:r>
      <w:r>
        <w:t xml:space="preserve"> </w:t>
      </w:r>
      <m:oMath>
        <m:r>
          <m:t>c</m:t>
        </m:r>
        <m:r>
          <m:rPr>
            <m:sty m:val="p"/>
          </m:rPr>
          <m:t>,</m:t>
        </m:r>
        <m:r>
          <m:t>c</m:t>
        </m:r>
        <m:r>
          <m:rPr>
            <m:sty m:val="p"/>
          </m:rPr>
          <m:t>′</m:t>
        </m:r>
        <m:r>
          <m:rPr>
            <m:sty m:val="p"/>
          </m:rPr>
          <m:t>∈</m:t>
        </m:r>
        <m:sSub>
          <m:e>
            <m:r>
              <m:t>C</m:t>
            </m:r>
          </m:e>
          <m:sub>
            <m:r>
              <m:t>T</m:t>
            </m:r>
          </m:sub>
        </m:sSub>
      </m:oMath>
      <w:r>
        <w:t xml:space="preserve"> </w:t>
      </w:r>
      <w:r>
        <w:t xml:space="preserve">and let</w:t>
      </w:r>
      <w:r>
        <w:t xml:space="preserve"> </w:t>
      </w:r>
      <m:oMath>
        <m:r>
          <m:t>a</m:t>
        </m:r>
        <m:r>
          <m:rPr>
            <m:sty m:val="p"/>
          </m:rPr>
          <m:t>=</m:t>
        </m:r>
        <m:r>
          <m:t>a</m:t>
        </m:r>
        <m:d>
          <m:dPr>
            <m:begChr m:val="("/>
            <m:endChr m:val=")"/>
            <m:sepChr m:val=""/>
            <m:grow/>
          </m:dPr>
          <m:e>
            <m:r>
              <m:t>c</m:t>
            </m:r>
          </m:e>
        </m:d>
      </m:oMath>
      <w:r>
        <w:t xml:space="preserve">. For every competitor</w:t>
      </w:r>
      <w:r>
        <w:t xml:space="preserve"> </w:t>
      </w:r>
      <m:oMath>
        <m:r>
          <m:t>j</m:t>
        </m:r>
        <m:r>
          <m:rPr>
            <m:sty m:val="p"/>
          </m:rPr>
          <m:t>≠</m:t>
        </m:r>
        <m:r>
          <m:t>a</m:t>
        </m:r>
      </m:oMath>
      <w:r>
        <w:t xml:space="preserve">,</w:t>
      </w:r>
    </w:p>
    <w:p>
      <w:pPr>
        <w:pStyle w:val="BodyText"/>
      </w:pPr>
      <m:oMathPara>
        <m:oMathParaPr>
          <m:jc m:val="center"/>
        </m:oMathParaPr>
        <m:oMath>
          <m:sSup>
            <m:e>
              <m:d>
                <m:dPr>
                  <m:begChr m:val="("/>
                  <m:endChr m:val=")"/>
                  <m:sepChr m:val=""/>
                  <m:grow/>
                </m:dPr>
                <m:e>
                  <m:sSub>
                    <m:e>
                      <m:r>
                        <m:t>θ</m:t>
                      </m:r>
                    </m:e>
                    <m:sub>
                      <m:r>
                        <m:t>a</m:t>
                      </m:r>
                    </m:sub>
                  </m:sSub>
                  <m:r>
                    <m:rPr>
                      <m:sty m:val="p"/>
                    </m:rPr>
                    <m:t>−</m:t>
                  </m:r>
                  <m:sSub>
                    <m:e>
                      <m:r>
                        <m:t>θ</m:t>
                      </m:r>
                    </m:e>
                    <m:sub>
                      <m:r>
                        <m:t>j</m:t>
                      </m:r>
                    </m:sub>
                  </m:sSub>
                </m:e>
              </m:d>
            </m:e>
            <m:sup>
              <m:r>
                <m:rPr>
                  <m:sty m:val="p"/>
                </m:rPr>
                <m:t>⊤</m:t>
              </m:r>
            </m:sup>
          </m:sSup>
          <m:r>
            <m:t>c</m:t>
          </m:r>
          <m:r>
            <m:rPr>
              <m:sty m:val="p"/>
            </m:rPr>
            <m:t>′</m:t>
          </m:r>
          <m:r>
            <m:rPr>
              <m:sty m:val="p"/>
            </m:rPr>
            <m:t>=</m:t>
          </m:r>
          <m:sSup>
            <m:e>
              <m:d>
                <m:dPr>
                  <m:begChr m:val="("/>
                  <m:endChr m:val=")"/>
                  <m:sepChr m:val=""/>
                  <m:grow/>
                </m:dPr>
                <m:e>
                  <m:sSub>
                    <m:e>
                      <m:r>
                        <m:t>θ</m:t>
                      </m:r>
                    </m:e>
                    <m:sub>
                      <m:r>
                        <m:t>a</m:t>
                      </m:r>
                    </m:sub>
                  </m:sSub>
                  <m:r>
                    <m:rPr>
                      <m:sty m:val="p"/>
                    </m:rPr>
                    <m:t>−</m:t>
                  </m:r>
                  <m:sSub>
                    <m:e>
                      <m:r>
                        <m:t>θ</m:t>
                      </m:r>
                    </m:e>
                    <m:sub>
                      <m:r>
                        <m:t>j</m:t>
                      </m:r>
                    </m:sub>
                  </m:sSub>
                </m:e>
              </m:d>
            </m:e>
            <m:sup>
              <m:r>
                <m:rPr>
                  <m:sty m:val="p"/>
                </m:rPr>
                <m:t>⊤</m:t>
              </m:r>
            </m:sup>
          </m:sSup>
          <m:r>
            <m:t>c</m:t>
          </m:r>
          <m:r>
            <m:rPr>
              <m:sty m:val="p"/>
            </m:rPr>
            <m:t>+</m:t>
          </m:r>
          <m:sSup>
            <m:e>
              <m:d>
                <m:dPr>
                  <m:begChr m:val="("/>
                  <m:endChr m:val=")"/>
                  <m:sepChr m:val=""/>
                  <m:grow/>
                </m:dPr>
                <m:e>
                  <m:sSub>
                    <m:e>
                      <m:r>
                        <m:t>θ</m:t>
                      </m:r>
                    </m:e>
                    <m:sub>
                      <m:r>
                        <m:t>a</m:t>
                      </m:r>
                    </m:sub>
                  </m:sSub>
                  <m:r>
                    <m:rPr>
                      <m:sty m:val="p"/>
                    </m:rPr>
                    <m:t>−</m:t>
                  </m:r>
                  <m:sSub>
                    <m:e>
                      <m:r>
                        <m:t>θ</m:t>
                      </m:r>
                    </m:e>
                    <m:sub>
                      <m:r>
                        <m:t>j</m:t>
                      </m:r>
                    </m:sub>
                  </m:sSub>
                </m:e>
              </m:d>
            </m:e>
            <m:sup>
              <m:r>
                <m:rPr>
                  <m:sty m:val="p"/>
                </m:rPr>
                <m:t>⊤</m:t>
              </m:r>
            </m:sup>
          </m:sSup>
          <m:d>
            <m:dPr>
              <m:begChr m:val="("/>
              <m:endChr m:val=")"/>
              <m:sepChr m:val=""/>
              <m:grow/>
            </m:dPr>
            <m:e>
              <m:r>
                <m:t>c</m:t>
              </m:r>
              <m:r>
                <m:rPr>
                  <m:sty m:val="p"/>
                </m:rPr>
                <m:t>′</m:t>
              </m:r>
              <m:r>
                <m:rPr>
                  <m:sty m:val="p"/>
                </m:rPr>
                <m:t>−</m:t>
              </m:r>
              <m:r>
                <m:t>c</m:t>
              </m:r>
            </m:e>
          </m:d>
          <m:r>
            <m:rPr>
              <m:sty m:val="p"/>
            </m:rPr>
            <m:t>.</m:t>
          </m:r>
        </m:oMath>
      </m:oMathPara>
    </w:p>
    <w:p>
      <w:pPr>
        <w:pStyle w:val="FirstParagraph"/>
      </w:pPr>
      <w:r>
        <w:t xml:space="preserve">By Cauchy–Schwarz,</w:t>
      </w:r>
    </w:p>
    <w:p>
      <w:pPr>
        <w:pStyle w:val="BodyText"/>
      </w:pPr>
      <m:oMathPara>
        <m:oMathParaPr>
          <m:jc m:val="center"/>
        </m:oMathParaPr>
        <m:oMath>
          <m:sSup>
            <m:e>
              <m:d>
                <m:dPr>
                  <m:begChr m:val="("/>
                  <m:endChr m:val=")"/>
                  <m:sepChr m:val=""/>
                  <m:grow/>
                </m:dPr>
                <m:e>
                  <m:sSub>
                    <m:e>
                      <m:r>
                        <m:t>θ</m:t>
                      </m:r>
                    </m:e>
                    <m:sub>
                      <m:r>
                        <m:t>a</m:t>
                      </m:r>
                    </m:sub>
                  </m:sSub>
                  <m:r>
                    <m:rPr>
                      <m:sty m:val="p"/>
                    </m:rPr>
                    <m:t>−</m:t>
                  </m:r>
                  <m:sSub>
                    <m:e>
                      <m:r>
                        <m:t>θ</m:t>
                      </m:r>
                    </m:e>
                    <m:sub>
                      <m:r>
                        <m:t>j</m:t>
                      </m:r>
                    </m:sub>
                  </m:sSub>
                </m:e>
              </m:d>
            </m:e>
            <m:sup>
              <m:r>
                <m:rPr>
                  <m:sty m:val="p"/>
                </m:rPr>
                <m:t>⊤</m:t>
              </m:r>
            </m:sup>
          </m:sSup>
          <m:r>
            <m:t>c</m:t>
          </m:r>
          <m:r>
            <m:rPr>
              <m:sty m:val="p"/>
            </m:rPr>
            <m:t>′</m:t>
          </m:r>
          <m:r>
            <m:rPr>
              <m:sty m:val="p"/>
            </m:rPr>
            <m:t>≥</m:t>
          </m:r>
          <m:r>
            <m:t>m</m:t>
          </m:r>
          <m:d>
            <m:dPr>
              <m:begChr m:val="("/>
              <m:endChr m:val=")"/>
              <m:sepChr m:val=""/>
              <m:grow/>
            </m:dPr>
            <m:e>
              <m:r>
                <m:t>c</m:t>
              </m:r>
            </m:e>
          </m:d>
          <m:r>
            <m:rPr>
              <m:sty m:val="p"/>
            </m:rPr>
            <m:t>−</m:t>
          </m:r>
          <m:r>
            <m:rPr>
              <m:sty m:val="p"/>
            </m:rPr>
            <m:t>∥</m:t>
          </m:r>
          <m:sSub>
            <m:e>
              <m:r>
                <m:t>θ</m:t>
              </m:r>
            </m:e>
            <m:sub>
              <m:r>
                <m:t>a</m:t>
              </m:r>
            </m:sub>
          </m:sSub>
          <m:r>
            <m:rPr>
              <m:sty m:val="p"/>
            </m:rPr>
            <m:t>−</m:t>
          </m:r>
          <m:sSub>
            <m:e>
              <m:r>
                <m:t>θ</m:t>
              </m:r>
            </m:e>
            <m:sub>
              <m:r>
                <m:t>j</m:t>
              </m:r>
            </m:sub>
          </m:sSub>
          <m:sSub>
            <m:e>
              <m:r>
                <m:rPr>
                  <m:sty m:val="p"/>
                </m:rPr>
                <m:t>∥</m:t>
              </m:r>
            </m:e>
            <m:sub>
              <m:r>
                <m:t>2</m:t>
              </m:r>
            </m:sub>
          </m:sSub>
          <m:r>
            <m:t> </m:t>
          </m:r>
          <m:r>
            <m:rPr>
              <m:sty m:val="p"/>
            </m:rPr>
            <m:t>∥</m:t>
          </m:r>
          <m:r>
            <m:t>c</m:t>
          </m:r>
          <m:r>
            <m:rPr>
              <m:sty m:val="p"/>
            </m:rPr>
            <m:t>′</m:t>
          </m:r>
          <m:r>
            <m:rPr>
              <m:sty m:val="p"/>
            </m:rPr>
            <m:t>−</m:t>
          </m:r>
          <m:r>
            <m:t>c</m:t>
          </m:r>
          <m:sSub>
            <m:e>
              <m:r>
                <m:rPr>
                  <m:sty m:val="p"/>
                </m:rPr>
                <m:t>∥</m:t>
              </m:r>
            </m:e>
            <m:sub>
              <m:r>
                <m:t>2</m:t>
              </m:r>
            </m:sub>
          </m:sSub>
          <m:r>
            <m:rPr>
              <m:sty m:val="p"/>
            </m:rPr>
            <m:t>≥</m:t>
          </m:r>
          <m:r>
            <m:t>m</m:t>
          </m:r>
          <m:d>
            <m:dPr>
              <m:begChr m:val="("/>
              <m:endChr m:val=")"/>
              <m:sepChr m:val=""/>
              <m:grow/>
            </m:dPr>
            <m:e>
              <m:r>
                <m:t>c</m:t>
              </m:r>
            </m:e>
          </m:d>
          <m:r>
            <m:rPr>
              <m:sty m:val="p"/>
            </m:rPr>
            <m:t>−</m:t>
          </m:r>
          <m:r>
            <m:t>2</m:t>
          </m:r>
          <m:r>
            <m:t>M</m:t>
          </m:r>
          <m:sSub>
            <m:e>
              <m:r>
                <m:t>d</m:t>
              </m:r>
            </m:e>
            <m:sub>
              <m:r>
                <m:t>T</m:t>
              </m:r>
            </m:sub>
          </m:sSub>
          <m:r>
            <m:rPr>
              <m:sty m:val="p"/>
            </m:rPr>
            <m:t>&gt;</m:t>
          </m:r>
          <m:r>
            <m:t>0</m:t>
          </m:r>
          <m:r>
            <m:rPr>
              <m:sty m:val="p"/>
            </m:rPr>
            <m:t>.</m:t>
          </m:r>
        </m:oMath>
      </m:oMathPara>
    </w:p>
    <w:p>
      <w:pPr>
        <w:pStyle w:val="FirstParagraph"/>
      </w:pPr>
      <w:r>
        <w:t xml:space="preserve">Thus</w:t>
      </w:r>
      <w:r>
        <w:t xml:space="preserve"> </w:t>
      </w:r>
      <m:oMath>
        <m:sSubSup>
          <m:e>
            <m:r>
              <m:t>θ</m:t>
            </m:r>
          </m:e>
          <m:sub>
            <m:r>
              <m:t>a</m:t>
            </m:r>
          </m:sub>
          <m:sup>
            <m:r>
              <m:rPr>
                <m:sty m:val="p"/>
              </m:rPr>
              <m:t>⊤</m:t>
            </m:r>
          </m:sup>
        </m:sSubSup>
        <m:r>
          <m:t>c</m:t>
        </m:r>
        <m:r>
          <m:rPr>
            <m:sty m:val="p"/>
          </m:rPr>
          <m:t>′</m:t>
        </m:r>
        <m:r>
          <m:rPr>
            <m:sty m:val="p"/>
          </m:rPr>
          <m:t>&gt;</m:t>
        </m:r>
        <m:sSubSup>
          <m:e>
            <m:r>
              <m:t>θ</m:t>
            </m:r>
          </m:e>
          <m:sub>
            <m:r>
              <m:t>j</m:t>
            </m:r>
          </m:sub>
          <m:sup>
            <m:r>
              <m:rPr>
                <m:sty m:val="p"/>
              </m:rPr>
              <m:t>⊤</m:t>
            </m:r>
          </m:sup>
        </m:sSubSup>
        <m:r>
          <m:t>c</m:t>
        </m:r>
        <m:r>
          <m:rPr>
            <m:sty m:val="p"/>
          </m:rPr>
          <m:t>′</m:t>
        </m:r>
      </m:oMath>
      <w:r>
        <w:t xml:space="preserve"> </w:t>
      </w:r>
      <w:r>
        <w:t xml:space="preserve">for every</w:t>
      </w:r>
      <w:r>
        <w:t xml:space="preserve"> </w:t>
      </w:r>
      <m:oMath>
        <m:r>
          <m:t>j</m:t>
        </m:r>
        <m:r>
          <m:rPr>
            <m:sty m:val="p"/>
          </m:rPr>
          <m:t>≠</m:t>
        </m:r>
        <m:r>
          <m:t>a</m:t>
        </m:r>
      </m:oMath>
      <w:r>
        <w:t xml:space="preserve">, so</w:t>
      </w:r>
      <w:r>
        <w:t xml:space="preserve"> </w:t>
      </w:r>
      <m:oMath>
        <m:r>
          <m:t>a</m:t>
        </m:r>
        <m:d>
          <m:dPr>
            <m:begChr m:val="("/>
            <m:endChr m:val=")"/>
            <m:sepChr m:val=""/>
            <m:grow/>
          </m:dPr>
          <m:e>
            <m:r>
              <m:t>c</m:t>
            </m:r>
            <m:r>
              <m:rPr>
                <m:sty m:val="p"/>
              </m:rPr>
              <m:t>′</m:t>
            </m:r>
          </m:e>
        </m:d>
        <m:r>
          <m:rPr>
            <m:sty m:val="p"/>
          </m:rPr>
          <m:t>=</m:t>
        </m:r>
        <m:r>
          <m:t>a</m:t>
        </m:r>
        <m:d>
          <m:dPr>
            <m:begChr m:val="("/>
            <m:endChr m:val=")"/>
            <m:sepChr m:val=""/>
            <m:grow/>
          </m:dPr>
          <m:e>
            <m:r>
              <m:t>c</m:t>
            </m:r>
          </m:e>
        </m:d>
      </m:oMath>
      <w:r>
        <w:t xml:space="preserve">. Because</w:t>
      </w:r>
      <w:r>
        <w:t xml:space="preserve"> </w:t>
      </w:r>
      <m:oMath>
        <m:r>
          <m:t>c</m:t>
        </m:r>
      </m:oMath>
      <w:r>
        <w:t xml:space="preserve"> </w:t>
      </w:r>
      <w:r>
        <w:t xml:space="preserve">and</w:t>
      </w:r>
      <w:r>
        <w:t xml:space="preserve"> </w:t>
      </w:r>
      <m:oMath>
        <m:r>
          <m:t>c</m:t>
        </m:r>
        <m:r>
          <m:rPr>
            <m:sty m:val="p"/>
          </m:rPr>
          <m:t>′</m:t>
        </m:r>
      </m:oMath>
      <w:r>
        <w:t xml:space="preserve"> </w:t>
      </w:r>
      <w:r>
        <w:t xml:space="preserve">were arbitrary, the selected action is constant on</w:t>
      </w:r>
      <w:r>
        <w:t xml:space="preserve"> </w:t>
      </w:r>
      <m:oMath>
        <m:sSub>
          <m:e>
            <m:r>
              <m:t>C</m:t>
            </m:r>
          </m:e>
          <m:sub>
            <m:r>
              <m:t>T</m:t>
            </m:r>
          </m:sub>
        </m:sSub>
      </m:oMath>
      <w:r>
        <w:t xml:space="preserve">.</w:t>
      </w:r>
    </w:p>
    <w:p w14:paraId="00000635">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C: LinUCB Exploration Parameter Sensitivity Analysis Detail</w:t>
      </w:r>
    </w:p>
    <w:p w14:paraId="000006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hint="eastAsia" w:ascii="Google Sans" w:hAnsi="Google Sans" w:eastAsia="Google Sans" w:cs="Google Sans"/>
          <w:color w:val="1F1F1F"/>
          <w:lang w:eastAsia="zh-CN"/>
        </w:rPr>
      </w:pPr>
      <w:r>
        <w:rPr>
          <w:rFonts w:ascii="Times New Roman" w:hAnsi="Times New Roman" w:eastAsia="Times New Roman" w:cs="Google Sans"/>
          <w:color w:val="1F1F1F"/>
          <w:sz w:val="24"/>
          <w:rtl w:val="0"/>
        </w:rPr>
        <w:t xml:space="preserve">To further check our findings, we plotted the relationship between the exploration parameter </w:t>
      </w:r>
      <w:r>
        <w:t>α</w:t>
      </w:r>
      <w:r>
        <w:rPr>
          <w:rFonts w:ascii="Times New Roman" w:hAnsi="Times New Roman" w:eastAsia="Times New Roman" w:cs="Google Sans"/>
          <w:color w:val="1F1F1F"/>
          <w:sz w:val="24"/>
          <w:rtl w:val="0"/>
        </w:rPr>
        <w:t xml:space="preserve"> and the action selection patterns.</w:t>
      </w:r>
      <w:r>
        <w:rPr>
          <w:rFonts w:ascii="Times New Roman" w:hAnsi="Times New Roman" w:eastAsia="Times New Roman" w:cs="Google Sans"/>
          <w:color w:val="1F1F1F"/>
          <w:sz w:val="24"/>
          <w:rtl w:val="0"/>
        </w:rPr>
        <w:br w:type="textWrapping"/>
      </w:r>
      <w:r>
        <w:rPr>
          <w:rFonts w:hint="eastAsia" w:ascii="Times New Roman" w:hAnsi="Times New Roman" w:eastAsia="Times New Roman" w:cs="Google Sans"/>
          <w:color w:val="1F1F1F"/>
          <w:sz w:val="24"/>
          <w:lang w:eastAsia="zh-CN"/>
        </w:rPr>
        <w:drawing>
          <wp:inline distT="0" distB="0" distL="114300" distR="114300">
            <wp:extent cx="5930900" cy="4448175"/>
            <wp:effectExtent l="0" t="0" r="12700" b="22225"/>
            <wp:docPr id="1" name="图片 1" descr="ChatGPT Image 2026年7月13日 14_44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7月13日 14_44_36"/>
                    <pic:cNvPicPr>
                      <a:picLocks noChangeAspect="1"/>
                    </pic:cNvPicPr>
                  </pic:nvPicPr>
                  <pic:blipFill>
                    <a:blip r:embed="rId23"/>
                    <a:stretch>
                      <a:fillRect/>
                    </a:stretch>
                  </pic:blipFill>
                  <pic:spPr>
                    <a:xfrm>
                      <a:off x="0" y="0"/>
                      <a:ext cx="5930900" cy="4448175"/>
                    </a:xfrm>
                    <a:prstGeom prst="rect">
                      <a:avLst/>
                    </a:prstGeom>
                  </pic:spPr>
                </pic:pic>
              </a:graphicData>
            </a:graphic>
          </wp:inline>
        </w:drawing>
      </w:r>
    </w:p>
    <w:p w14:paraId="23B2F76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flat line for SPY confirms that increasing exploration parameter </w:t>
      </w:r>
      <w:r>
        <w:t>α</w:t>
      </w:r>
      <w:r>
        <w:rPr>
          <w:rFonts w:ascii="Times New Roman" w:hAnsi="Times New Roman" w:eastAsia="Times New Roman" w:cs="Google Sans"/>
          <w:color w:val="1F1F1F"/>
          <w:sz w:val="24"/>
          <w:rtl w:val="0"/>
        </w:rPr>
        <w:t xml:space="preserve"> is completely ineffective at breaking the training-induced static collapse. For TLT, a larger </w:t>
      </w:r>
      <w:r>
        <w:t>α</w:t>
      </w:r>
      <w:r>
        <w:rPr>
          <w:rFonts w:ascii="Times New Roman" w:hAnsi="Times New Roman" w:eastAsia="Times New Roman" w:cs="Google Sans"/>
          <w:color w:val="1F1F1F"/>
          <w:sz w:val="24"/>
          <w:rtl w:val="0"/>
        </w:rPr>
        <w:t xml:space="preserve"> gradually decreases the modal share by adding exploration noise, but this does not alter the underlying structural parameter mapping.</w:t>
      </w:r>
    </w:p>
    <w:sectPr>
      <w:footerReference r:id="rId5" w:type="default"/>
      <w:pgSz w:w="12240" w:h="15840"/>
      <w:pgMar w:top="1037" w:right="1123" w:bottom="1037" w:left="1123" w:header="0" w:footer="720" w:gutter="0"/>
      <w:lnNumType w:countBy="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61BB7FD7-DC98-53AB-7FEE-546AD09B937B}"/>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A80F0E2B-6DDB-42EE-7FEE-546A3897E823}"/>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763E8">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F71FC"/>
    <w:multiLevelType w:val="multilevel"/>
    <w:tmpl w:val="971F71F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D4AA5A6"/>
    <w:multiLevelType w:val="multilevel"/>
    <w:tmpl w:val="9D4AA5A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D7CFEAC"/>
    <w:multiLevelType w:val="multilevel"/>
    <w:tmpl w:val="9D7CFEA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9FEEF950"/>
    <w:multiLevelType w:val="multilevel"/>
    <w:tmpl w:val="9FEEF950"/>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A5FE3AB2"/>
    <w:multiLevelType w:val="multilevel"/>
    <w:tmpl w:val="A5FE3AB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A7BCC9CE"/>
    <w:multiLevelType w:val="multilevel"/>
    <w:tmpl w:val="A7BCC9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A7F35702"/>
    <w:multiLevelType w:val="multilevel"/>
    <w:tmpl w:val="A7F3570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B3FF5596"/>
    <w:multiLevelType w:val="multilevel"/>
    <w:tmpl w:val="B3FF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BB7F2DCB"/>
    <w:multiLevelType w:val="multilevel"/>
    <w:tmpl w:val="BB7F2DC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BDBEA3EF"/>
    <w:multiLevelType w:val="multilevel"/>
    <w:tmpl w:val="BDBEA3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BEFE8DB9"/>
    <w:multiLevelType w:val="multilevel"/>
    <w:tmpl w:val="BEFE8DB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BF1F1E0A"/>
    <w:multiLevelType w:val="multilevel"/>
    <w:tmpl w:val="BF1F1E0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BFBE9E55"/>
    <w:multiLevelType w:val="multilevel"/>
    <w:tmpl w:val="BFBE9E5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BFDCBC74"/>
    <w:multiLevelType w:val="multilevel"/>
    <w:tmpl w:val="BFDCBC7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BFFD49BD"/>
    <w:multiLevelType w:val="multilevel"/>
    <w:tmpl w:val="BFFD49B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BFFFB1DE"/>
    <w:multiLevelType w:val="multilevel"/>
    <w:tmpl w:val="BFFFB1D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C7FE5596"/>
    <w:multiLevelType w:val="multilevel"/>
    <w:tmpl w:val="C7FE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CC7A36F4"/>
    <w:multiLevelType w:val="multilevel"/>
    <w:tmpl w:val="CC7A36F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CFF5BCE2"/>
    <w:multiLevelType w:val="multilevel"/>
    <w:tmpl w:val="CFF5BCE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D7FF465E"/>
    <w:multiLevelType w:val="multilevel"/>
    <w:tmpl w:val="D7FF465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D8F4EA64"/>
    <w:multiLevelType w:val="multilevel"/>
    <w:tmpl w:val="D8F4EA6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DADD994F"/>
    <w:multiLevelType w:val="multilevel"/>
    <w:tmpl w:val="DADD994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DBCD8C03"/>
    <w:multiLevelType w:val="multilevel"/>
    <w:tmpl w:val="DBCD8C0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DFFE92B8"/>
    <w:multiLevelType w:val="multilevel"/>
    <w:tmpl w:val="DFFE92B8"/>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EB3E516A"/>
    <w:multiLevelType w:val="multilevel"/>
    <w:tmpl w:val="EB3E516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EEBA50F9"/>
    <w:multiLevelType w:val="multilevel"/>
    <w:tmpl w:val="EEBA50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F46E0294"/>
    <w:multiLevelType w:val="multilevel"/>
    <w:tmpl w:val="F46E029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F7EB2739"/>
    <w:multiLevelType w:val="multilevel"/>
    <w:tmpl w:val="F7EB273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FB0D5AD0"/>
    <w:multiLevelType w:val="multilevel"/>
    <w:tmpl w:val="FB0D5AD0"/>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FCDA8DDC"/>
    <w:multiLevelType w:val="multilevel"/>
    <w:tmpl w:val="FCDA8DD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FDECF069"/>
    <w:multiLevelType w:val="multilevel"/>
    <w:tmpl w:val="FDECF06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FDFF8D43"/>
    <w:multiLevelType w:val="multilevel"/>
    <w:tmpl w:val="FDFF8D4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FE67F43F"/>
    <w:multiLevelType w:val="multilevel"/>
    <w:tmpl w:val="FE67F43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FEFF7341"/>
    <w:multiLevelType w:val="multilevel"/>
    <w:tmpl w:val="FEFF7341"/>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FFBEE86E"/>
    <w:multiLevelType w:val="multilevel"/>
    <w:tmpl w:val="FFBEE86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FFC286A7"/>
    <w:multiLevelType w:val="multilevel"/>
    <w:tmpl w:val="FFC286A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FFEF75A3"/>
    <w:multiLevelType w:val="multilevel"/>
    <w:tmpl w:val="FFEF75A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FFFF0F2E"/>
    <w:multiLevelType w:val="multilevel"/>
    <w:tmpl w:val="FFFF0F2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14FB3166"/>
    <w:multiLevelType w:val="multilevel"/>
    <w:tmpl w:val="14FB316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3BF7D2D5"/>
    <w:multiLevelType w:val="multilevel"/>
    <w:tmpl w:val="3BF7D2D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3FFEE30E"/>
    <w:multiLevelType w:val="multilevel"/>
    <w:tmpl w:val="3FFEE30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5FFCB472"/>
    <w:multiLevelType w:val="multilevel"/>
    <w:tmpl w:val="5FFCB47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65B48A33"/>
    <w:multiLevelType w:val="multilevel"/>
    <w:tmpl w:val="65B48A3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3">
    <w:nsid w:val="6BDFC4E9"/>
    <w:multiLevelType w:val="multilevel"/>
    <w:tmpl w:val="6BDFC4E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4">
    <w:nsid w:val="6D16C452"/>
    <w:multiLevelType w:val="multilevel"/>
    <w:tmpl w:val="6D16C45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5">
    <w:nsid w:val="6FFC3689"/>
    <w:multiLevelType w:val="multilevel"/>
    <w:tmpl w:val="6FFC368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6">
    <w:nsid w:val="6FFE3DF1"/>
    <w:multiLevelType w:val="multilevel"/>
    <w:tmpl w:val="6FFE3DF1"/>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7">
    <w:nsid w:val="776E4E6D"/>
    <w:multiLevelType w:val="multilevel"/>
    <w:tmpl w:val="776E4E6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8">
    <w:nsid w:val="7A7AAD58"/>
    <w:multiLevelType w:val="multilevel"/>
    <w:tmpl w:val="7A7AAD5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9">
    <w:nsid w:val="7FBF7AB5"/>
    <w:multiLevelType w:val="multilevel"/>
    <w:tmpl w:val="7FBF7AB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48"/>
  </w:num>
  <w:num w:numId="3">
    <w:abstractNumId w:val="23"/>
  </w:num>
  <w:num w:numId="4">
    <w:abstractNumId w:val="19"/>
  </w:num>
  <w:num w:numId="5">
    <w:abstractNumId w:val="11"/>
  </w:num>
  <w:num w:numId="6">
    <w:abstractNumId w:val="20"/>
  </w:num>
  <w:num w:numId="7">
    <w:abstractNumId w:val="39"/>
  </w:num>
  <w:num w:numId="8">
    <w:abstractNumId w:val="15"/>
  </w:num>
  <w:num w:numId="9">
    <w:abstractNumId w:val="34"/>
  </w:num>
  <w:num w:numId="10">
    <w:abstractNumId w:val="5"/>
  </w:num>
  <w:num w:numId="11">
    <w:abstractNumId w:val="10"/>
  </w:num>
  <w:num w:numId="12">
    <w:abstractNumId w:val="49"/>
  </w:num>
  <w:num w:numId="13">
    <w:abstractNumId w:val="41"/>
  </w:num>
  <w:num w:numId="14">
    <w:abstractNumId w:val="13"/>
  </w:num>
  <w:num w:numId="15">
    <w:abstractNumId w:val="36"/>
  </w:num>
  <w:num w:numId="16">
    <w:abstractNumId w:val="2"/>
  </w:num>
  <w:num w:numId="17">
    <w:abstractNumId w:val="45"/>
  </w:num>
  <w:num w:numId="18">
    <w:abstractNumId w:val="3"/>
  </w:num>
  <w:num w:numId="19">
    <w:abstractNumId w:val="40"/>
  </w:num>
  <w:num w:numId="20">
    <w:abstractNumId w:val="14"/>
  </w:num>
  <w:num w:numId="21">
    <w:abstractNumId w:val="24"/>
  </w:num>
  <w:num w:numId="22">
    <w:abstractNumId w:val="27"/>
  </w:num>
  <w:num w:numId="23">
    <w:abstractNumId w:val="17"/>
  </w:num>
  <w:num w:numId="24">
    <w:abstractNumId w:val="21"/>
  </w:num>
  <w:num w:numId="25">
    <w:abstractNumId w:val="46"/>
  </w:num>
  <w:num w:numId="26">
    <w:abstractNumId w:val="38"/>
  </w:num>
  <w:num w:numId="27">
    <w:abstractNumId w:val="4"/>
  </w:num>
  <w:num w:numId="28">
    <w:abstractNumId w:val="9"/>
  </w:num>
  <w:num w:numId="29">
    <w:abstractNumId w:val="30"/>
  </w:num>
  <w:num w:numId="30">
    <w:abstractNumId w:val="8"/>
  </w:num>
  <w:num w:numId="31">
    <w:abstractNumId w:val="6"/>
  </w:num>
  <w:num w:numId="32">
    <w:abstractNumId w:val="26"/>
  </w:num>
  <w:num w:numId="33">
    <w:abstractNumId w:val="7"/>
  </w:num>
  <w:num w:numId="34">
    <w:abstractNumId w:val="18"/>
  </w:num>
  <w:num w:numId="35">
    <w:abstractNumId w:val="22"/>
  </w:num>
  <w:num w:numId="36">
    <w:abstractNumId w:val="47"/>
  </w:num>
  <w:num w:numId="37">
    <w:abstractNumId w:val="32"/>
  </w:num>
  <w:num w:numId="38">
    <w:abstractNumId w:val="37"/>
  </w:num>
  <w:num w:numId="39">
    <w:abstractNumId w:val="42"/>
  </w:num>
  <w:num w:numId="40">
    <w:abstractNumId w:val="29"/>
  </w:num>
  <w:num w:numId="41">
    <w:abstractNumId w:val="44"/>
  </w:num>
  <w:num w:numId="42">
    <w:abstractNumId w:val="43"/>
  </w:num>
  <w:num w:numId="43">
    <w:abstractNumId w:val="25"/>
  </w:num>
  <w:num w:numId="44">
    <w:abstractNumId w:val="12"/>
  </w:num>
  <w:num w:numId="45">
    <w:abstractNumId w:val="31"/>
  </w:num>
  <w:num w:numId="46">
    <w:abstractNumId w:val="35"/>
  </w:num>
  <w:num w:numId="47">
    <w:abstractNumId w:val="16"/>
  </w:num>
  <w:num w:numId="48">
    <w:abstractNumId w:val="33"/>
  </w:num>
  <w:num w:numId="49">
    <w:abstractNumId w:val="28"/>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1BFB9B13"/>
    <w:rsid w:val="1F7B666F"/>
    <w:rsid w:val="27FF2008"/>
    <w:rsid w:val="2F97A307"/>
    <w:rsid w:val="367D6D81"/>
    <w:rsid w:val="3BF668B8"/>
    <w:rsid w:val="3EDF1087"/>
    <w:rsid w:val="3F8F37EB"/>
    <w:rsid w:val="3FFD0B65"/>
    <w:rsid w:val="5BDF38F0"/>
    <w:rsid w:val="5BFD7757"/>
    <w:rsid w:val="5D3F3297"/>
    <w:rsid w:val="67DD09FF"/>
    <w:rsid w:val="67F77EC3"/>
    <w:rsid w:val="67FF9E13"/>
    <w:rsid w:val="6A5E6D69"/>
    <w:rsid w:val="73BE5013"/>
    <w:rsid w:val="75FCDA03"/>
    <w:rsid w:val="77DF777A"/>
    <w:rsid w:val="7BFF3595"/>
    <w:rsid w:val="7D7BD11A"/>
    <w:rsid w:val="7F538A98"/>
    <w:rsid w:val="7F7777A6"/>
    <w:rsid w:val="7FE741B2"/>
    <w:rsid w:val="85F3A125"/>
    <w:rsid w:val="9FAFF7CC"/>
    <w:rsid w:val="AFBF3754"/>
    <w:rsid w:val="BCEF848A"/>
    <w:rsid w:val="BEBFA5CA"/>
    <w:rsid w:val="BFBF5F58"/>
    <w:rsid w:val="C6E5945A"/>
    <w:rsid w:val="CAFF6B71"/>
    <w:rsid w:val="CFE9DD73"/>
    <w:rsid w:val="CFEE4A62"/>
    <w:rsid w:val="D57D86A0"/>
    <w:rsid w:val="D7B71F92"/>
    <w:rsid w:val="D7EC8213"/>
    <w:rsid w:val="DBEF72F7"/>
    <w:rsid w:val="E7DBFC56"/>
    <w:rsid w:val="F2FA2539"/>
    <w:rsid w:val="F6BFAAA6"/>
    <w:rsid w:val="F77F3335"/>
    <w:rsid w:val="F9F526F6"/>
    <w:rsid w:val="FBDFEBF8"/>
    <w:rsid w:val="FBFE08EF"/>
    <w:rsid w:val="FD6DB104"/>
    <w:rsid w:val="FEBFF41C"/>
    <w:rsid w:val="FF3FC810"/>
    <w:rsid w:val="FF6379D0"/>
    <w:rsid w:val="FF771082"/>
    <w:rsid w:val="FFBB53C2"/>
    <w:rsid w:val="FFDEBC7D"/>
    <w:rsid w:val="FFFFBF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80" w:line="259" w:lineRule="auto"/>
    </w:pPr>
    <w:rPr>
      <w:rFonts w:ascii="Times New Roman" w:hAnsi="Times New Roman" w:eastAsia="Times New Roman" w:cs="Arial"/>
      <w:sz w:val="21"/>
      <w:szCs w:val="22"/>
    </w:rPr>
  </w:style>
  <w:style w:type="paragraph" w:styleId="2">
    <w:name w:val="heading 1"/>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8"/>
      <w:szCs w:val="48"/>
    </w:rPr>
  </w:style>
  <w:style w:type="paragraph" w:styleId="3">
    <w:name w:val="heading 2"/>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25" w:after="225"/>
    </w:pPr>
    <w:rPr>
      <w:rFonts w:ascii="Arial" w:hAnsi="Arial" w:eastAsia="Arial"/>
      <w:b/>
      <w:bCs/>
      <w:sz w:val="24"/>
      <w:szCs w:val="36"/>
    </w:rPr>
  </w:style>
  <w:style w:type="paragraph" w:styleId="4">
    <w:name w:val="heading 3"/>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2"/>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rFonts w:ascii="Arial" w:hAnsi="Arial" w:eastAsia="Arial"/>
      <w:b/>
      <w:bCs/>
      <w:sz w:val="36"/>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TotalTime>2</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2026-07-15T22:44:00Z</dcterms:created>
  <dc:creator>Data</dc:creator>
  <cp:keywords>contextual bandits; policy transfer; decision gating; degeneracy audit</cp:keywords>
  <cp:lastModifiedBy>黄旻</cp:lastModifiedBy>
  <dcterms:modified xsi:type="dcterms:W3CDTF">2026-07-13T21:56:15Z</dcterms:modified>
  <dc:subject>JFDS manuscript</dc:subject>
  <dc:title>Parameters Transfer, Policies May Not: Diagnosing Source Static Degeneracy in Cross-Asset Decision Gating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B7D3A422BFBD256438EC546AA6559865_43</vt:lpwstr>
  </property>
</Properties>
</file>