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Parameters Transfer, Policies May Not: Diagnosing Source Static Degeneracy in Cross-Asset Decision Gating</w:t>
      </w:r>
    </w:p>
    <w:p/>
    <w:p>
      <w:r>
        <w:rPr>
          <w:rFonts w:ascii="Times New Roman" w:hAnsi="Times New Roman"/>
          <w:sz w:val="24"/>
        </w:rPr>
        <w:t>Abstract</w:t>
      </w:r>
    </w:p>
    <w:p>
      <w:r>
        <w:rPr/>
        <w:t>We identify Source Static Degeneracy, a silent failure mode in cross-asset decision-layer transfer where a frozen contextual policy degenerates into a fixed probability threshold. This degeneracy remains invisible to standard backtesting protocols: the collapsed policy may still outperform a naive static threshold, masking the complete loss of contextual adaptation. A quantitative team deploying such a policy would conclude that "transfer works," unaware that the policy has abandoned context-dependent decision-making entirely.</w:t>
      </w:r>
      <w:r>
        <w:rPr/>
        <w:br/>
      </w:r>
      <w:r>
        <w:rPr/>
        <w:br/>
      </w:r>
      <w:r>
        <w:rPr/>
        <w:t>Across 228 source-target pairs spanning seven asset categories, we establish an empirical taxonomy: degenerate sources (SPY, QQQ, EEM, GLD) trigger universal action concentration on 100% of targets, whereas diverse sources (TLT, IWM) maintain behavioral variation. We document a strong empirical association between source-side action concentration and target-side degeneracy, providing sufficient conditions linking source diversity to transfer outcomes.</w:t>
      </w:r>
    </w:p>
    <w:p/>
    <w:p>
      <w:r>
        <w:rPr>
          <w:rFonts w:ascii="Times New Roman" w:hAnsi="Times New Roman"/>
        </w:rPr>
        <w:t>We introduce FCTT-DA (Frozen Contextual Threshold Transfer with Degeneracy Audit), a deployable framework featuring source diversity pre-checks, behavioral-equivalent baseline comparisons, and transaction cost sensitivity analysis. This framework is designed to detect what standard backtests cannot: policies that appear to adapt but are behaviorally static.</w:t>
      </w:r>
    </w:p>
    <w:p/>
    <w:p>
      <w:r>
        <w:rPr>
          <w:rFonts w:ascii="Times New Roman" w:hAnsi="Times New Roman"/>
        </w:rPr>
        <w:t>Our findings challenge the implicit assumption that contextual policies inherently transfer contextual behavior. The critical question is not whether a policy transfers, but whether it transfers adaptation. FCTT-DA provides the diagnostic tools to answer this question prior to deployment. In our experimental setting, source-side action concentration proves to be a highly effective screening diagnostic for transfer failure.</w:t>
      </w:r>
    </w:p>
    <w:p/>
    <w:p>
      <w:r>
        <w:rPr>
          <w:rFonts w:ascii="Times New Roman" w:hAnsi="Times New Roman"/>
          <w:b/>
          <w:sz w:val="24"/>
        </w:rPr>
        <w:t>Keywords:</w:t>
      </w:r>
      <w:r>
        <w:rPr>
          <w:rFonts w:ascii="Times New Roman" w:hAnsi="Times New Roman"/>
          <w:sz w:val="24"/>
        </w:rPr>
        <w:t xml:space="preserve"> </w:t>
      </w:r>
      <w:r>
        <w:rPr>
          <w:rFonts w:ascii="Times New Roman" w:hAnsi="Times New Roman"/>
          <w:i/>
          <w:sz w:val="24"/>
        </w:rPr>
        <w:t>contextual bandits, policy transfer, decision gating, source static degeneracy, cross-asset learning</w:t>
      </w:r>
    </w:p>
    <w:p>
      <w:r>
        <w:rPr>
          <w:rFonts w:ascii="Times New Roman" w:hAnsi="Times New Roman"/>
          <w:sz w:val="24"/>
        </w:rPr>
        <w:t>1. Introduction</w:t>
      </w:r>
    </w:p>
    <w:p>
      <w:r>
        <w:rPr>
          <w:rFonts w:ascii="Times New Roman" w:hAnsi="Times New Roman"/>
          <w:sz w:val="24"/>
        </w:rPr>
        <w:t>1.1 The Operational Appeal of Decision-Layer Reuse</w:t>
      </w:r>
    </w:p>
    <w:p>
      <w:r>
        <w:rPr>
          <w:rFonts w:ascii="Times New Roman" w:hAnsi="Times New Roman"/>
          <w:sz w:val="24"/>
        </w:rPr>
        <w:t>In quantitative asset management, the standard workflow separates prediction from decision. A machine learning model forecasts the probability of a favorable outcome, and a decision layer converts that probability into a trading signal. While asset-specific predictors are now common, optimizing and validating a separate decision layer for every target asset is computationally costly and statistically fragile. This creates a strong operational incentive: train a decision policy on a highly liquid, well-studied source asset and deploy it, frozen, across multiple targets.</w:t>
      </w:r>
    </w:p>
    <w:p>
      <w:r>
        <w:rPr>
          <w:rFonts w:ascii="Times New Roman" w:hAnsi="Times New Roman"/>
          <w:sz w:val="24"/>
        </w:rPr>
        <w:t xml:space="preserve">Consider a concrete example: a quantitative team develops an optimal decision policy for the SPDR S&amp;P 500 ETF (SPY) that achieves an annualized Sharpe ratio of </w:t>
      </w:r>
      <w:r>
        <w:rPr>
          <w:rFonts w:ascii="Times New Roman" w:hAnsi="Times New Roman"/>
          <w:sz w:val="24"/>
        </w:rPr>
        <w:t xml:space="preserve"> over five years of walk-forward validation. The natural next step is to deploy this policy on the iShares Russell 2000 ETF (IWM) or the Invesco QQQ Trust (QQQ). Standard industry practice compares the transferred policy against a static </w:t>
      </w:r>
      <w:r>
        <w:rPr>
          <w:rFonts w:ascii="Times New Roman" w:hAnsi="Times New Roman"/>
          <w:sz w:val="24"/>
        </w:rPr>
        <w:t xml:space="preserve"> cutoff. If the policy achieves a Sharpe of </w:t>
      </w:r>
      <w:r>
        <w:rPr>
          <w:rFonts w:ascii="Times New Roman" w:hAnsi="Times New Roman"/>
          <w:sz w:val="24"/>
        </w:rPr>
        <w:t xml:space="preserve"> on IWM versus </w:t>
      </w:r>
      <w:r>
        <w:rPr>
          <w:rFonts w:ascii="Times New Roman" w:hAnsi="Times New Roman"/>
          <w:sz w:val="24"/>
        </w:rPr>
        <w:t xml:space="preserve"> for the static cutoff, the team concludes that contextual transfer "works." However, this conclusion may be entirely spurious.</w:t>
      </w:r>
    </w:p>
    <w:p>
      <w:r>
        <w:rPr>
          <w:rFonts w:ascii="Times New Roman" w:hAnsi="Times New Roman"/>
          <w:sz w:val="24"/>
        </w:rPr>
        <w:t>1.2 The Diagnostic Gap</w:t>
      </w:r>
    </w:p>
    <w:p>
      <w:r>
        <w:rPr/>
        <w:t>Source Static Degeneracy is distinct from both conventional overfitting and concept drift. Overfitting is an estimation or generalization failure in which a model performs well in-sample but deteriorates out-of-sample. Concept drift is a change in the data-generating relationship over time. By contrast, Source Static Degeneracy is a behavioral failure of the decision layer: a nominally contextual policy concentrates on one action and becomes functionally equivalent to a fixed threshold. It may occur even when predictive performance remains acceptable, the Sharpe ratio remains positive, or the transferred rule still outperforms a conventional 0.50 cutoff. Accordingly, neither out-of-sample performance deterioration nor evidence of distribution shift is necessary to diagnose the failure; the defining evidence is action concentration together with behavioral equivalence to a static rule.</w:t>
      </w:r>
    </w:p>
    <w:p>
      <w:r>
        <w:rPr>
          <w:rFonts w:ascii="Times New Roman" w:hAnsi="Times New Roman"/>
          <w:sz w:val="24"/>
        </w:rPr>
        <w:t xml:space="preserve">Standard backtests compare a learned policy against a conventional cutoff (typically </w:t>
      </w:r>
      <w:r>
        <w:rPr>
          <w:rFonts w:ascii="Times New Roman" w:hAnsi="Times New Roman"/>
          <w:sz w:val="24"/>
        </w:rPr>
        <w:t>). These comparisons cannot distinguish between two distinct regimes:</w:t>
      </w:r>
    </w:p>
    <w:p>
      <w:r>
        <w:rPr>
          <w:rFonts w:ascii="Times New Roman" w:hAnsi="Times New Roman"/>
          <w:b/>
          <w:sz w:val="24"/>
        </w:rPr>
        <w:t>Contextual Transfer:</w:t>
      </w:r>
      <w:r>
        <w:rPr>
          <w:rFonts w:ascii="Times New Roman" w:hAnsi="Times New Roman"/>
          <w:sz w:val="24"/>
        </w:rPr>
        <w:t xml:space="preserve"> The policy uses market-state information to select different thresholds at different times.</w:t>
      </w:r>
    </w:p>
    <w:p>
      <w:r>
        <w:rPr>
          <w:rFonts w:ascii="Times New Roman" w:hAnsi="Times New Roman"/>
          <w:b/>
          <w:sz w:val="24"/>
        </w:rPr>
        <w:t>Static-Rule Collapse:</w:t>
      </w:r>
      <w:r>
        <w:rPr>
          <w:rFonts w:ascii="Times New Roman" w:hAnsi="Times New Roman"/>
          <w:sz w:val="24"/>
        </w:rPr>
        <w:t xml:space="preserve"> The policy consistently selects the same threshold, behaving identically to a simple static rule.</w:t>
      </w:r>
    </w:p>
    <w:p>
      <w:r>
        <w:rPr>
          <w:rFonts w:ascii="Times New Roman" w:hAnsi="Times New Roman"/>
          <w:sz w:val="24"/>
        </w:rPr>
        <w:t xml:space="preserve">When scenario (2) occurs, apparent improvements over </w:t>
      </w:r>
      <w:r>
        <w:rPr>
          <w:rFonts w:ascii="Times New Roman" w:hAnsi="Times New Roman"/>
          <w:sz w:val="24"/>
        </w:rPr>
        <w:t xml:space="preserve"> are merely the consequence of a different (but still fixed) probability cutoff.</w:t>
      </w:r>
    </w:p>
    <w:p>
      <w:r>
        <w:rPr>
          <w:rFonts w:ascii="Times New Roman" w:hAnsi="Times New Roman"/>
          <w:sz w:val="24"/>
        </w:rPr>
        <w:t xml:space="preserve">The diagnostic gap we identify is subtle but highly consequential. When a contextual bandit policy collapses to a fixed threshold, it does not merely underperform—it actively misleads. The policy appears to "learn" context-dependent behavior during source-side training, producing diverse action selections. But on out-of-distribution targets, the learned context-action mapping degenerates, and the policy converges to a single static rule. Standard backtests, which compare against the conventional </w:t>
      </w:r>
      <w:r>
        <w:rPr>
          <w:rFonts w:ascii="Times New Roman" w:hAnsi="Times New Roman"/>
          <w:sz w:val="24"/>
        </w:rPr>
        <w:t xml:space="preserve"> cutoff, cannot detect this failure mode because the collapsed policy still outperforms </w:t>
      </w:r>
      <w:r>
        <w:rPr>
          <w:rFonts w:ascii="Times New Roman" w:hAnsi="Times New Roman"/>
          <w:sz w:val="24"/>
        </w:rPr>
        <w:t>—it simply does so by selecting a different fixed threshold, not by adapting to market conditions.</w:t>
      </w:r>
    </w:p>
    <w:p>
      <w:r>
        <w:rPr>
          <w:rFonts w:ascii="Times New Roman" w:hAnsi="Times New Roman"/>
          <w:sz w:val="24"/>
        </w:rPr>
        <w:t>1.3 Contributions</w:t>
      </w:r>
    </w:p>
    <w:p>
      <w:r>
        <w:rPr>
          <w:rFonts w:ascii="Times New Roman" w:hAnsi="Times New Roman"/>
          <w:sz w:val="24"/>
        </w:rPr>
        <w:t>Our contributions can be summarized as follows:</w:t>
      </w:r>
    </w:p>
    <w:p>
      <w:r>
        <w:rPr>
          <w:rFonts w:ascii="Times New Roman" w:hAnsi="Times New Roman"/>
          <w:b/>
          <w:sz w:val="24"/>
        </w:rPr>
        <w:t>Identification of Source Static Degeneracy:</w:t>
      </w:r>
      <w:r>
        <w:rPr>
          <w:rFonts w:ascii="Times New Roman" w:hAnsi="Times New Roman"/>
          <w:sz w:val="24"/>
        </w:rPr>
        <w:t xml:space="preserve"> We formally define and demonstrate that </w:t>
      </w:r>
      <w:r>
        <w:rPr>
          <w:rFonts w:ascii="Times New Roman" w:hAnsi="Times New Roman"/>
          <w:i/>
          <w:sz w:val="24"/>
        </w:rPr>
        <w:t>Source Static Degeneracy</w:t>
      </w:r>
      <w:r>
        <w:rPr>
          <w:rFonts w:ascii="Times New Roman" w:hAnsi="Times New Roman"/>
          <w:sz w:val="24"/>
        </w:rPr>
        <w:t xml:space="preserve"> is a pervasive failure mode in cross-asset policy transfer. Across 228 source-target pairs </w:t>
      </w:r>
      <w:r>
        <w:rPr>
          <w:rFonts w:ascii="Times New Roman" w:hAnsi="Times New Roman"/>
          <w:sz w:val="24"/>
        </w:rPr>
        <w:t>spanning seven asset categories</w:t>
      </w:r>
      <w:r>
        <w:rPr>
          <w:rFonts w:ascii="Times New Roman" w:hAnsi="Times New Roman"/>
          <w:sz w:val="24"/>
        </w:rPr>
        <w:t>, we show that 67% of transfers result in complete policy degeneration.</w:t>
      </w:r>
    </w:p>
    <w:p>
      <w:r>
        <w:rPr/>
        <w:t>Source Diversity as a Screening Criterion: We show empirically that source policy diversity during training is a useful screening indicator for transfer outcomes in our experimental setting. When the source policy concentrates on a single action during training (modal share ), the transferred policy inherits this degeneracy on all evaluated targets.</w:t>
      </w:r>
    </w:p>
    <w:p>
      <w:r>
        <w:rPr>
          <w:rFonts w:ascii="Times New Roman" w:hAnsi="Times New Roman"/>
          <w:b/>
          <w:sz w:val="24"/>
        </w:rPr>
        <w:t>The Behavioral Equivalence Paradox:</w:t>
      </w:r>
      <w:r>
        <w:rPr>
          <w:rFonts w:ascii="Times New Roman" w:hAnsi="Times New Roman"/>
          <w:sz w:val="24"/>
        </w:rPr>
        <w:t xml:space="preserve"> We discover that even when a policy maintains diversity (e.g., using a TLT source), it may provide no economic value over a simple static threshold. This finding challenges the assumption that contextual complexity necessarily improves decision quality.</w:t>
      </w:r>
    </w:p>
    <w:p>
      <w:r>
        <w:rPr>
          <w:rFonts w:ascii="Times New Roman" w:hAnsi="Times New Roman"/>
          <w:b/>
          <w:sz w:val="24"/>
        </w:rPr>
        <w:t>The FCTT-DA Audit Framework:</w:t>
      </w:r>
      <w:r>
        <w:rPr>
          <w:rFonts w:ascii="Times New Roman" w:hAnsi="Times New Roman"/>
          <w:sz w:val="24"/>
        </w:rPr>
        <w:t xml:space="preserve"> We contribute FCTT-DA (</w:t>
      </w:r>
      <w:r>
        <w:rPr>
          <w:rFonts w:ascii="Times New Roman" w:hAnsi="Times New Roman"/>
          <w:i/>
          <w:sz w:val="24"/>
        </w:rPr>
        <w:t>Frozen Contextual Threshold Transfer with Degeneracy Audit</w:t>
      </w:r>
      <w:r>
        <w:rPr>
          <w:rFonts w:ascii="Times New Roman" w:hAnsi="Times New Roman"/>
          <w:sz w:val="24"/>
        </w:rPr>
        <w:t>), a practical, modular audit framework with complete pseudocode for production deployment. The framework requires no proprietary data or infrastructure and can be easily implemented by quantitative teams to prevent futile transfers and save computational resources.</w:t>
      </w:r>
    </w:p>
    <w:p>
      <w:r>
        <w:rPr>
          <w:rFonts w:ascii="Times New Roman" w:hAnsi="Times New Roman"/>
          <w:b/>
          <w:sz w:val="24"/>
        </w:rPr>
        <w:t>Theoretical Framework:</w:t>
      </w:r>
      <w:r>
        <w:rPr>
          <w:rFonts w:ascii="Times New Roman" w:hAnsi="Times New Roman"/>
          <w:sz w:val="24"/>
        </w:rPr>
        <w:t xml:space="preserve"> We provide sufficient conditions linking source diversity to target collapse based on decision-region geometry.</w:t>
      </w:r>
    </w:p>
    <w:p>
      <w:r>
        <w:rPr>
          <w:rFonts w:ascii="Times New Roman" w:hAnsi="Times New Roman"/>
        </w:rPr>
        <w:t>1.4 The Narrative Task: From Optimism to Audit</w:t>
      </w:r>
      <w:r>
        <w:rPr>
          <w:rFonts w:ascii="Times New Roman" w:hAnsi="Times New Roman"/>
        </w:rPr>
        <w:br/>
      </w:r>
      <w:r>
        <w:rPr>
          <w:rFonts w:ascii="Times New Roman" w:hAnsi="Times New Roman"/>
        </w:rPr>
        <w:br/>
      </w:r>
      <w:r>
        <w:rPr>
          <w:rFonts w:ascii="Times New Roman" w:hAnsi="Times New Roman"/>
          <w:b w:val="0"/>
        </w:rPr>
        <w:t>The financial machine learning literature has developed an implicit optimism about cross-asset policy transfer. The prevailing narrative assumes that if a prediction model transfers well across assets, the decision layer will follow. This paper challenges that assumption.</w:t>
      </w:r>
      <w:r>
        <w:rPr>
          <w:rFonts w:ascii="Times New Roman" w:hAnsi="Times New Roman"/>
          <w:b w:val="0"/>
        </w:rPr>
        <w:br/>
      </w:r>
      <w:r>
        <w:rPr>
          <w:rFonts w:ascii="Times New Roman" w:hAnsi="Times New Roman"/>
          <w:b w:val="0"/>
        </w:rPr>
        <w:br/>
      </w:r>
      <w:r>
        <w:rPr>
          <w:rFonts w:ascii="Times New Roman" w:hAnsi="Times New Roman"/>
          <w:b w:val="0"/>
        </w:rPr>
        <w:t>We propose a reframing of the research question:</w:t>
      </w:r>
      <w:r>
        <w:rPr>
          <w:rFonts w:ascii="Times New Roman" w:hAnsi="Times New Roman"/>
          <w:b w:val="0"/>
        </w:rPr>
        <w:br/>
      </w:r>
      <w:r>
        <w:rPr>
          <w:rFonts w:ascii="Times New Roman" w:hAnsi="Times New Roman"/>
          <w:b w:val="0"/>
        </w:rPr>
        <w:br/>
      </w:r>
      <w:r>
        <w:rPr>
          <w:rFonts w:ascii="Times New Roman" w:hAnsi="Times New Roman"/>
          <w:b w:val="0"/>
        </w:rPr>
        <w:t>• Prevailing: "Can this policy transfer to asset X?" → Ours: "Does this policy retain contextual adaptation on asset X?"</w:t>
      </w:r>
      <w:r>
        <w:rPr>
          <w:rFonts w:ascii="Times New Roman" w:hAnsi="Times New Roman"/>
          <w:b w:val="0"/>
        </w:rPr>
        <w:br/>
      </w:r>
      <w:r>
        <w:rPr>
          <w:rFonts w:ascii="Times New Roman" w:hAnsi="Times New Roman"/>
          <w:b w:val="0"/>
        </w:rPr>
        <w:t>• Prevailing: "Does the transferred policy outperform 0.50?" → Ours: "Does the transferred policy outperform its behavioral equivalent?"</w:t>
      </w:r>
      <w:r>
        <w:rPr>
          <w:rFonts w:ascii="Times New Roman" w:hAnsi="Times New Roman"/>
          <w:b w:val="0"/>
        </w:rPr>
        <w:br/>
      </w:r>
      <w:r>
        <w:rPr>
          <w:rFonts w:ascii="Times New Roman" w:hAnsi="Times New Roman"/>
          <w:b w:val="0"/>
        </w:rPr>
        <w:t>• Prevailing: "Is the Sharpe ratio positive?" → Ours: "Is the action distribution diverse?"</w:t>
      </w:r>
      <w:r>
        <w:rPr>
          <w:rFonts w:ascii="Times New Roman" w:hAnsi="Times New Roman"/>
          <w:b w:val="0"/>
        </w:rPr>
        <w:br/>
      </w:r>
      <w:r>
        <w:rPr>
          <w:rFonts w:ascii="Times New Roman" w:hAnsi="Times New Roman"/>
          <w:b w:val="0"/>
        </w:rPr>
        <w:t>• Prevailing: "Does transfer work?" → Ours: "Is decision diversity sufficient?"</w:t>
      </w:r>
      <w:r>
        <w:rPr>
          <w:rFonts w:ascii="Times New Roman" w:hAnsi="Times New Roman"/>
          <w:b w:val="0"/>
        </w:rPr>
        <w:br/>
      </w:r>
      <w:r>
        <w:rPr>
          <w:rFonts w:ascii="Times New Roman" w:hAnsi="Times New Roman"/>
          <w:b w:val="0"/>
        </w:rPr>
        <w:br/>
      </w:r>
      <w:r>
        <w:rPr>
          <w:rFonts w:ascii="Times New Roman" w:hAnsi="Times New Roman"/>
          <w:b w:val="0"/>
        </w:rPr>
        <w:t>This reframing shifts the focus from outcome evaluation to behavioral audit. A policy that outperforms a naive baseline may still be behaviorally static—and a static policy, however profitable, has abandoned the very adaptation that justified using a contextual bandit in the first place.</w:t>
      </w:r>
      <w:r>
        <w:rPr>
          <w:rFonts w:ascii="Times New Roman" w:hAnsi="Times New Roman"/>
          <w:b w:val="0"/>
        </w:rPr>
        <w:br/>
      </w:r>
      <w:r>
        <w:rPr>
          <w:rFonts w:ascii="Times New Roman" w:hAnsi="Times New Roman"/>
          <w:b w:val="0"/>
        </w:rPr>
        <w:br/>
      </w:r>
      <w:r>
        <w:rPr>
          <w:rFonts w:ascii="Times New Roman" w:hAnsi="Times New Roman"/>
          <w:b w:val="0"/>
        </w:rPr>
        <w:t>The practical implication is profound: standard backtesting protocols cannot distinguish between genuine contextual transfer and inherited static degeneracy. This creates a blind spot in model validation that affects any firm deploying machine learning policies across multiple assets.</w:t>
      </w:r>
      <w:r>
        <w:rPr>
          <w:rFonts w:ascii="Times New Roman" w:hAnsi="Times New Roman"/>
          <w:b w:val="0"/>
        </w:rPr>
        <w:br/>
      </w:r>
      <w:r>
        <w:rPr>
          <w:rFonts w:ascii="Times New Roman" w:hAnsi="Times New Roman"/>
          <w:b w:val="0"/>
        </w:rPr>
        <w:br/>
      </w:r>
      <w:r>
        <w:rPr>
          <w:rFonts w:ascii="Times New Roman" w:hAnsi="Times New Roman"/>
          <w:b w:val="0"/>
        </w:rPr>
        <w:t>FCTT-DA is designed to fill this blind spot. By auditing source-side diversity before transfer and verifying behavioral equivalence after transfer, the framework provides what backtests cannot: a diagnostic for decision-layer adaptation.</w:t>
      </w:r>
    </w:p>
    <w:p>
      <w:r>
        <w:rPr>
          <w:rFonts w:ascii="Times New Roman" w:hAnsi="Times New Roman"/>
          <w:sz w:val="24"/>
        </w:rPr>
        <w:t>2. Related Work</w:t>
      </w:r>
    </w:p>
    <w:p>
      <w:r>
        <w:rPr>
          <w:rFonts w:ascii="Times New Roman" w:hAnsi="Times New Roman"/>
          <w:sz w:val="24"/>
        </w:rPr>
        <w:t>2.1 Contextual Bandits in Finance</w:t>
      </w:r>
    </w:p>
    <w:p>
      <w:r>
        <w:rPr>
          <w:rFonts w:ascii="Times New Roman" w:hAnsi="Times New Roman"/>
          <w:sz w:val="24"/>
        </w:rPr>
        <w:t>Contextual bandits (Li et al., 2010; Chu et al., 2011) have emerged as a powerful framework for sequential decision-making under uncertainty, with applications spanning portfolio allocation (Shen et al., 2015), order execution (Nevmyvaka et al., 2006), and dynamic trading (Zhang et al., 2020). The key advantage of contextual bandits over traditional supervised learning is their ability to balance exploration and exploitation by incorporating contextual information—such as market state features, volatility regimes, and cross-asset correlations—directly into the decision process.</w:t>
      </w:r>
    </w:p>
    <w:p>
      <w:r>
        <w:rPr>
          <w:rFonts w:ascii="Times New Roman" w:hAnsi="Times New Roman"/>
          <w:sz w:val="24"/>
        </w:rPr>
        <w:t>In portfolio management, contextual bandits have been used to dynamically adjust asset allocations based on changing market conditions. Shen et al. (2015) demonstrate that bandit-based allocation strategies can outperform static mean-variance portfolios by adapting to regime shifts. Similarly, Nevmyvaka et al. (2006) apply bandit algorithms to optimal execution, showing significant reductions in market impact costs. More recently, Zhang et al. (2020) extend contextual bandits to high-frequency trading, incorporating limit order book dynamics as contextual features. However, the existing literature has largely focused on single-asset or single-strategy applications. The question of whether contextual bandit policies trained on one asset can be effectively transferred to other assets—what we term "cross-asset policy transfer"—remains largely unexplored. Our work addresses this gap by identifying a pervasive failure mode in such transfers.</w:t>
      </w:r>
    </w:p>
    <w:p>
      <w:r>
        <w:rPr>
          <w:rFonts w:ascii="Times New Roman" w:hAnsi="Times New Roman"/>
          <w:sz w:val="24"/>
        </w:rPr>
        <w:t>2.2 Transfer Learning in Finance</w:t>
      </w:r>
    </w:p>
    <w:p>
      <w:r>
        <w:rPr>
          <w:rFonts w:ascii="Times New Roman" w:hAnsi="Times New Roman"/>
          <w:sz w:val="24"/>
        </w:rPr>
        <w:t>Transfer learning has been applied to cross-asset return forecasting (Zhang et al., 2023) and volatility modeling (Li et al., 2021). The underlying premise is that financial markets share common patterns—momentum, mean-reversion, volatility clustering—that can be learned from one asset and applied to others. Gu, Kelly, and Xiu (2020) demonstrate that return prediction models trained on broad cross-sections of stocks can improve individual asset forecasts, while Leippold, Wang, and Zhou (2022) extend this finding to international markets.</w:t>
      </w:r>
    </w:p>
    <w:p>
      <w:r>
        <w:rPr>
          <w:rFonts w:ascii="Times New Roman" w:hAnsi="Times New Roman"/>
          <w:sz w:val="24"/>
        </w:rPr>
        <w:t xml:space="preserve">In the deep learning era, transfer learning has become increasingly sophisticated. Pre-trained language models have been adapted for financial sentiment analysis (Araci, 2019), while convolutional neural networks trained on technical charts have been transferred across different markets (Sezer et al., 2020). Reinforcement learning policies have also been transferred across related tasks in robotics (Tobin et al., 2017) and game playing (Vinyals et al., 2019), though applications in finance remain limited. Crucially, most work transfers </w:t>
      </w:r>
      <w:r>
        <w:rPr>
          <w:rFonts w:ascii="Times New Roman" w:hAnsi="Times New Roman"/>
          <w:i/>
          <w:sz w:val="24"/>
        </w:rPr>
        <w:t>predictive models</w:t>
      </w:r>
      <w:r>
        <w:rPr>
          <w:rFonts w:ascii="Times New Roman" w:hAnsi="Times New Roman"/>
          <w:sz w:val="24"/>
        </w:rPr>
        <w:t xml:space="preserve">, not </w:t>
      </w:r>
      <w:r>
        <w:rPr>
          <w:rFonts w:ascii="Times New Roman" w:hAnsi="Times New Roman"/>
          <w:i/>
          <w:sz w:val="24"/>
        </w:rPr>
        <w:t>decision policies</w:t>
      </w:r>
      <w:r>
        <w:rPr>
          <w:rFonts w:ascii="Times New Roman" w:hAnsi="Times New Roman"/>
          <w:sz w:val="24"/>
        </w:rPr>
        <w:t>. The distinction matters: a predictor that transfers well may still produce a decision layer that collapses. Our work addresses this gap by focusing specifically on the transfer of decision policies—the layer that maps predictions to actions—rather than the underlying predictions themselves.</w:t>
      </w:r>
    </w:p>
    <w:p>
      <w:r>
        <w:rPr>
          <w:rFonts w:ascii="Times New Roman" w:hAnsi="Times New Roman"/>
          <w:sz w:val="24"/>
        </w:rPr>
        <w:t>2.3 Policy Robustness and Distributional Shift</w:t>
      </w:r>
    </w:p>
    <w:p>
      <w:r>
        <w:rPr>
          <w:rFonts w:ascii="Times New Roman" w:hAnsi="Times New Roman"/>
          <w:sz w:val="24"/>
        </w:rPr>
        <w:t>The machine learning literature on distributional shift (Quiñonero-Candela et al., 2009; Moreno-Torres et al., 2012) identifies two primary forms: covariate shift, where the input distribution changes, and concept shift, where the relationship between inputs and outputs changes. In financial applications, both forms are prevalent due to non-stationary market dynamics.</w:t>
      </w:r>
    </w:p>
    <w:p>
      <w:r>
        <w:rPr>
          <w:rFonts w:ascii="Times New Roman" w:hAnsi="Times New Roman"/>
          <w:sz w:val="24"/>
        </w:rPr>
        <w:t>Robust optimization techniques have been proposed to address distributional shift. Ben-Tal et al. (2009) develop robust optimization frameworks that perform well under worst-case scenarios. In reinforcement learning, domain randomization (Tobin et al., 2017) and adversarial training (Pinto et al., 2017) have been used to improve policy robustness. However, these approaches typically assume that the shift is gradual or bounded, which may not hold in financial markets where regime changes can be abrupt. Our work contributes by identifying a specific failure mode linked directly to source-side training dynamics. We show that policies trained on "degenerate" sources—assets where the contextual bandit converges to a static rule—</w:t>
      </w:r>
      <w:r>
        <w:rPr>
          <w:rFonts w:ascii="Times New Roman" w:hAnsi="Times New Roman"/>
          <w:sz w:val="24"/>
        </w:rPr>
        <w:t>collapsed across all targets and policy specifications examined in our experiments</w:t>
      </w:r>
      <w:r>
        <w:rPr>
          <w:rFonts w:ascii="Times New Roman" w:hAnsi="Times New Roman"/>
          <w:sz w:val="24"/>
        </w:rPr>
        <w:t>.</w:t>
      </w:r>
    </w:p>
    <w:p>
      <w:r>
        <w:rPr>
          <w:rFonts w:ascii="Times New Roman" w:hAnsi="Times New Roman"/>
          <w:sz w:val="24"/>
        </w:rPr>
        <w:t>2.4 Negative Results and Model Audit</w:t>
      </w:r>
    </w:p>
    <w:p>
      <w:r>
        <w:rPr>
          <w:rFonts w:ascii="Times New Roman" w:hAnsi="Times New Roman"/>
          <w:sz w:val="24"/>
        </w:rPr>
        <w:t>Financial research has increasingly emphasized negative results and replication concerns, as exemplified by Harvey et al. (2016), contributing to the scientific integrity of financial research. Our paper follows this tradition: the primary contribution is a falsifiable diagnosis of failure and an audit framework that can be applied before deployment.</w:t>
      </w:r>
    </w:p>
    <w:p>
      <w:r>
        <w:rPr>
          <w:rFonts w:ascii="Times New Roman" w:hAnsi="Times New Roman"/>
          <w:sz w:val="24"/>
        </w:rPr>
        <w:t xml:space="preserve">The importance of negative results in finance cannot be overstated. Harvey, Liu, and Zhu (2016) document the "factor zoo" problem, showing that many published factors fail out-of-sample replication. McLean and Pontiff (2016) demonstrate that post-publication factor returns decay by </w:t>
      </w:r>
      <w:r>
        <w:rPr>
          <w:rFonts w:ascii="Times New Roman" w:hAnsi="Times New Roman"/>
          <w:sz w:val="24"/>
        </w:rPr>
        <w:t>, suggesting data-mining biases in the original studies. Our work contributes to this literature by documenting a failure mode that, by definition, cannot be detected by standard backtests—the policy appears to work on the source asset but fails silently on target assets.</w:t>
      </w:r>
    </w:p>
    <w:p>
      <w:r>
        <w:rPr>
          <w:rFonts w:ascii="Times New Roman" w:hAnsi="Times New Roman"/>
          <w:sz w:val="24"/>
        </w:rPr>
        <w:t>Model audit frameworks have gained importance in regulated industries. Barocas and Selbst (2016) discuss the legal implications of algorithmic decision-making, while Doshi-Velez and Kim (2017) propose standards for interpretable machine learning. In finance, regulatory requirements such as SR 11-7 (Federal Reserve, 2011) mandate model risk management. Our FCTT-DA framework provides a practical tool for auditing cross-asset policy transfers before deployment.</w:t>
      </w:r>
    </w:p>
    <w:p>
      <w:r>
        <w:rPr>
          <w:rFonts w:ascii="Times New Roman" w:hAnsi="Times New Roman"/>
          <w:sz w:val="24"/>
        </w:rPr>
        <w:t>2.5 Calibration and Probability Thresholds</w:t>
      </w:r>
    </w:p>
    <w:p>
      <w:r>
        <w:rPr>
          <w:rFonts w:ascii="Times New Roman" w:hAnsi="Times New Roman"/>
          <w:sz w:val="24"/>
        </w:rPr>
        <w:t xml:space="preserve">Well-calibrated probabilities are essential for threshold-based decisions (Niculescu-Mizil and Caruana, 2005). A classifier is well-calibrated if, among all instances predicted with probability </w:t>
      </w:r>
      <w:r>
        <w:rPr>
          <w:rFonts w:ascii="Times New Roman" w:hAnsi="Times New Roman"/>
          <w:sz w:val="24"/>
        </w:rPr>
        <w:t xml:space="preserve">, approximately a fraction </w:t>
      </w:r>
      <w:r>
        <w:rPr>
          <w:rFonts w:ascii="Times New Roman" w:hAnsi="Times New Roman"/>
          <w:sz w:val="24"/>
        </w:rPr>
        <w:t xml:space="preserve"> actually belong to the positive class. In financial applications, calibration is particularly important because trading decisions often hinge on probability thresholds—for example, buying when the predicted probability of an upward move exceeds </w:t>
      </w:r>
      <w:r>
        <w:rPr>
          <w:rFonts w:ascii="Times New Roman" w:hAnsi="Times New Roman"/>
          <w:sz w:val="24"/>
        </w:rPr>
        <w:t>.</w:t>
      </w:r>
    </w:p>
    <w:p>
      <w:r>
        <w:rPr>
          <w:rFonts w:ascii="Times New Roman" w:hAnsi="Times New Roman"/>
          <w:b/>
          <w:sz w:val="24"/>
        </w:rPr>
        <w:t>Design Choice: Deliberate Non-Calibration.</w:t>
      </w:r>
      <w:r>
        <w:rPr>
          <w:rFonts w:ascii="Times New Roman" w:hAnsi="Times New Roman"/>
          <w:sz w:val="24"/>
        </w:rPr>
        <w:t xml:space="preserve"> Our Gradient Boosted Tree (GBT) predictors use walk-forward validation, but we deliberately do not apply explicit probability calibration (e.g., Platt Scaling or Isotonic Regression). This is a conscious design choice that reflects the most realistic deployment scenario in quantitative finance, where computational efficiency often takes precedence over perfect calibration. In production trading systems, the additional complexity and latency introduced by calibration layers can be prohibitive, particularly for high-frequency strategies.</w:t>
      </w:r>
    </w:p>
    <w:p>
      <w:r>
        <w:rPr>
          <w:rFonts w:ascii="Times New Roman" w:hAnsi="Times New Roman"/>
          <w:b/>
          <w:sz w:val="24"/>
        </w:rPr>
        <w:t>Robustness of Source Static Degeneracy.</w:t>
      </w:r>
      <w:r>
        <w:rPr>
          <w:rFonts w:ascii="Times New Roman" w:hAnsi="Times New Roman"/>
          <w:sz w:val="24"/>
        </w:rPr>
        <w:t xml:space="preserve"> We emphasize that the Source Static Degeneracy phenomenon documented in this paper is </w:t>
      </w:r>
      <w:r>
        <w:rPr>
          <w:rFonts w:ascii="Times New Roman" w:hAnsi="Times New Roman"/>
          <w:b/>
          <w:sz w:val="24"/>
        </w:rPr>
        <w:t>not an artifact of miscalibrated probabilities</w:t>
      </w:r>
      <w:r>
        <w:rPr>
          <w:rFonts w:ascii="Times New Roman" w:hAnsi="Times New Roman"/>
          <w:sz w:val="24"/>
        </w:rPr>
        <w:t xml:space="preserve">. Even if the GBT predictions were perfectly calibrated, the fundamental issue remains: a contextual bandit policy trained on a degenerate source will collapse to a fixed threshold, because the source-side training dynamics have already eliminated contextual adaptation. To verify this claim, we conduct a diagnostic analysis (Section 7.8.1) showing that the collapse rate remains at </w:t>
      </w:r>
      <w:r>
        <w:rPr>
          <w:rFonts w:ascii="Times New Roman" w:hAnsi="Times New Roman"/>
          <w:sz w:val="24"/>
        </w:rPr>
        <w:t xml:space="preserve"> for degenerate sources regardless of the probability calibration method applied. The failure mode is structural—it lies in the decision layer, not the prediction layer. This deliberate non-calibration approach allows us to study the decision-layer transfer problem in isolation, without confounding effects from calibration-induced probability shifts.</w:t>
      </w:r>
    </w:p>
    <w:p>
      <w:r>
        <w:rPr>
          <w:rFonts w:ascii="Times New Roman" w:hAnsi="Times New Roman"/>
        </w:rPr>
        <w:t>The choice of threshold is itself a critical decision. Traditional approaches use fixed thresholds (e.g., ), while more sophisticated methods adapt thresholds based on market conditions (López de Prado, 2018). Our work shows that the contextual bandit's ability to select adaptive thresholds is precisely what degenerates during cross-asset policy transfer, leading to collapse.</w:t>
      </w:r>
    </w:p>
    <w:p>
      <w:r>
        <w:rPr>
          <w:rFonts w:ascii="Times New Roman" w:hAnsi="Times New Roman"/>
          <w:sz w:val="24"/>
        </w:rPr>
        <w:t>2.6 Model Interpretability and Explanation</w:t>
      </w:r>
    </w:p>
    <w:p>
      <w:r>
        <w:rPr>
          <w:rFonts w:ascii="Times New Roman" w:hAnsi="Times New Roman"/>
          <w:sz w:val="24"/>
        </w:rPr>
        <w:t>The growing complexity of machine learning models has spurred research on interpretability. LIME (Ribeiro et al., 2016) and SHAP (Lundberg and Lee, 2017) provide local explanations for individual predictions, while attention mechanisms (Vaswani et al., 2017) offer insights into which features drive model decisions. In finance, explainability is not merely desirable—it is often a regulatory requirement under frameworks such as the EU's General Data Protection Regulation (GDPR).</w:t>
      </w:r>
    </w:p>
    <w:p>
      <w:r>
        <w:rPr>
          <w:rFonts w:ascii="Times New Roman" w:hAnsi="Times New Roman"/>
          <w:sz w:val="24"/>
        </w:rPr>
        <w:t>Interpretability methods have been applied to financial models with mixed results. Guidotti et al. (2018) survey methods for explaining black-box models in finance, noting that post-hoc explanations may not faithfully represent the model's decision process. Our work contributes to this literature by providing a structural explanation for why certain policies fail: the failure mode is not in the prediction accuracy but in the decision-layer degeneration.</w:t>
      </w:r>
    </w:p>
    <w:p>
      <w:r>
        <w:rPr>
          <w:rFonts w:ascii="Times New Roman" w:hAnsi="Times New Roman"/>
          <w:sz w:val="24"/>
        </w:rPr>
        <w:t>The concept of "behavioral equivalence" that we introduce provides a new lens for understanding policy failure. Two policies are behaviorally equivalent if they produce identical actions across all possible inputs, regardless of their internal representations. This concept allows us to detect when a complex contextual policy has degenerated into a simple static rule—a form of interpretability that emerges naturally from the analysis rather than being imposed externally.</w:t>
      </w:r>
    </w:p>
    <w:p>
      <w:r>
        <w:rPr>
          <w:rFonts w:ascii="Times New Roman" w:hAnsi="Times New Roman"/>
          <w:sz w:val="24"/>
        </w:rPr>
        <w:t>2.7 Cross-Asset Transfer in Quantitative Finance</w:t>
      </w:r>
    </w:p>
    <w:p>
      <w:r>
        <w:rPr>
          <w:rFonts w:ascii="Times New Roman" w:hAnsi="Times New Roman"/>
          <w:sz w:val="24"/>
        </w:rPr>
        <w:t>Cross-asset transfer has been explored in several contexts. Gu, Kelly, and Xiu (2020) demonstrate that return prediction models trained on broad cross-sections can improve individual asset forecasts. Leippold, Wang, and Zhou (2022) extend this to international markets, showing that transfer learning can mitigate data limitations in emerging markets. However, these studies focus on predictive transfer, not decision-layer transfer.</w:t>
      </w:r>
    </w:p>
    <w:p>
      <w:r>
        <w:rPr>
          <w:rFonts w:ascii="Times New Roman" w:hAnsi="Times New Roman"/>
          <w:sz w:val="24"/>
        </w:rPr>
        <w:t>In portfolio construction, the concept of "style factors" (Fama and French, 1993) represents a form of cross-asset knowledge transfer. Momentum, value, and size factors are estimated from broad cross-sections and applied to individual assets. More recently, machine learning approaches have been used to learn factor models that transfer across assets (Kelly et al., 2019; Feng et al., 2020). Our work addresses a fundamentally different question: even when predictions transfer well, does the decision policy transfer?</w:t>
      </w:r>
    </w:p>
    <w:p>
      <w:r>
        <w:rPr>
          <w:rFonts w:ascii="Times New Roman" w:hAnsi="Times New Roman"/>
          <w:sz w:val="24"/>
        </w:rPr>
        <w:t>The distinction between predictive transfer and decision-layer transfer is crucial. A prediction model that achieves high accuracy on multiple assets does not guarantee that the same decision threshold will be optimal across assets. Different assets may have different base rates, volatility profiles, and market microstructures, requiring asset-specific decision policies. Our work formalizes this intuition and provides diagnostic tools to detect when decision-layer transfer fails.</w:t>
      </w:r>
    </w:p>
    <w:p>
      <w:r>
        <w:rPr>
          <w:rFonts w:ascii="Times New Roman" w:hAnsi="Times New Roman"/>
          <w:sz w:val="24"/>
        </w:rPr>
        <w:t>2.8 Decision Gating Mechanisms</w:t>
      </w:r>
    </w:p>
    <w:p>
      <w:r>
        <w:rPr>
          <w:rFonts w:ascii="Times New Roman" w:hAnsi="Times New Roman"/>
          <w:sz w:val="24"/>
        </w:rPr>
        <w:t>Decision gating—the process of converting predictions into actions—has received relatively little attention in the financial machine learning literature. Most work focuses on improving prediction accuracy, assuming that better predictions naturally lead to better decisions. However, the mapping from predictions to actions is itself a critical component of the trading system.</w:t>
      </w:r>
    </w:p>
    <w:p>
      <w:r>
        <w:rPr>
          <w:rFonts w:ascii="Times New Roman" w:hAnsi="Times New Roman"/>
          <w:sz w:val="24"/>
        </w:rPr>
        <w:t>In reinforcement learning, the concept of a "policy" explicitly models this mapping. Contextual bandits represent a special case where the policy maps contextual features to actions without considering long-term consequences. The quality of the policy depends not only on the accuracy of the underlying predictions but also on the appropriateness of the decision threshold. Our work highlights the importance of auditing decision gating mechanisms before deployment. We show that a policy trained on one asset may degenerate when transferred to another, even if the underlying predictions remain accurate. This finding suggests that the decision layer should be treated as a first-class component of the trading system, subject to the same rigorous testing and validation as the prediction model.</w:t>
      </w:r>
    </w:p>
    <w:p>
      <w:r>
        <w:rPr>
          <w:rFonts w:ascii="Times New Roman" w:hAnsi="Times New Roman"/>
          <w:sz w:val="24"/>
        </w:rPr>
        <w:t>3. Problem Formulation</w:t>
      </w:r>
    </w:p>
    <w:p>
      <w:r>
        <w:rPr>
          <w:rFonts w:ascii="Times New Roman" w:hAnsi="Times New Roman"/>
          <w:sz w:val="24"/>
        </w:rPr>
        <w:t>3.1 Setup</w:t>
      </w:r>
    </w:p>
    <w:p>
      <w:r>
        <w:rPr>
          <w:rFonts w:ascii="Times New Roman" w:hAnsi="Times New Roman"/>
        </w:rPr>
        <w:t xml:space="preserve">Consider a source asset </w:t>
      </w:r>
      <w:r>
        <w:rPr>
          <w:rFonts w:ascii="Times New Roman" w:hAnsi="Times New Roman"/>
        </w:rPr>
        <w:t xml:space="preserve"> and target assets </w:t>
      </w:r>
      <w:r>
        <w:rPr>
          <w:rFonts w:ascii="Times New Roman" w:hAnsi="Times New Roman"/>
        </w:rPr>
        <w:t xml:space="preserve">. For each asset </w:t>
      </w:r>
      <w:r>
        <w:rPr>
          <w:rFonts w:ascii="Times New Roman" w:hAnsi="Times New Roman"/>
        </w:rPr>
        <w:t xml:space="preserve">, we observe features </w:t>
      </w:r>
      <w:r>
        <w:rPr>
          <w:rFonts w:ascii="Times New Roman" w:hAnsi="Times New Roman"/>
        </w:rPr>
        <w:t xml:space="preserve"> at time </w:t>
      </w:r>
      <w:r>
        <w:rPr>
          <w:rFonts w:ascii="Times New Roman" w:hAnsi="Times New Roman"/>
        </w:rPr>
        <w:t xml:space="preserve">, a prediction </w:t>
      </w:r>
      <w:r>
        <w:rPr>
          <w:rFonts w:ascii="Times New Roman" w:hAnsi="Times New Roman"/>
        </w:rPr>
        <w:t xml:space="preserve"> generated by a machine-learning model, and the realized return </w:t>
      </w:r>
      <w:r>
        <w:rPr>
          <w:rFonts w:ascii="Times New Roman" w:hAnsi="Times New Roman"/>
        </w:rPr>
        <w:t>. The features capture market-state information including price momentum, volatility regimes, volume patterns, and cross-asset correlations.</w:t>
      </w:r>
    </w:p>
    <w:p>
      <w:r>
        <w:rPr/>
        <w:t>The prediction p̂_t^A represents the model’s estimate of the probability that asset A will experience a positive return over the next period. This prediction is generated by a gradient boosted tree (GBT) model trained using walk-forward validation on historical data. Our setup assumes that predictions are generated independently for each asset, without any cross-asset information sharing. This isolates the decision-layer transfer problem from the prediction-layer transfer problem, allowing us to study the former in a controlled setting.</w:t>
      </w:r>
    </w:p>
    <w:p>
      <w:r>
        <w:rPr>
          <w:rFonts w:ascii="Times New Roman" w:hAnsi="Times New Roman"/>
          <w:sz w:val="24"/>
        </w:rPr>
        <w:t>3.2 Decision Policy</w:t>
      </w:r>
    </w:p>
    <w:p>
      <w:r>
        <w:rPr>
          <w:rFonts w:ascii="Times New Roman" w:hAnsi="Times New Roman"/>
        </w:rPr>
        <w:t xml:space="preserve">A decision policy </w:t>
      </w:r>
      <w:r>
        <w:rPr>
          <w:rFonts w:ascii="Times New Roman" w:hAnsi="Times New Roman"/>
        </w:rPr>
        <w:t xml:space="preserve"> maps the prediction and contextual information to a trading signal: </w:t>
      </w:r>
      <w:r>
        <w:rPr>
          <w:rFonts w:ascii="Times New Roman" w:hAnsi="Times New Roman"/>
        </w:rPr>
        <w:t>.</w:t>
      </w:r>
    </w:p>
    <w:p>
      <w:r>
        <w:rPr>
          <w:rFonts w:ascii="Times New Roman" w:hAnsi="Times New Roman"/>
        </w:rPr>
        <w:t xml:space="preserve">Here </w:t>
      </w:r>
      <w:r>
        <w:rPr>
          <w:rFonts w:ascii="Times New Roman" w:hAnsi="Times New Roman"/>
        </w:rPr>
        <w:t xml:space="preserve"> is a context-dependent threshold selected from a discrete set. The trading signal </w:t>
      </w:r>
      <w:r>
        <w:rPr>
          <w:rFonts w:ascii="Times New Roman" w:hAnsi="Times New Roman"/>
        </w:rPr>
        <w:t xml:space="preserve"> indicates whether to take a long position in the asset.</w:t>
      </w:r>
    </w:p>
    <w:p>
      <w:r>
        <w:rPr>
          <w:rFonts w:ascii="Times New Roman" w:hAnsi="Times New Roman"/>
        </w:rPr>
        <w:t xml:space="preserve">The context vector </w:t>
      </w:r>
      <w:r>
        <w:rPr>
          <w:rFonts w:ascii="Times New Roman" w:hAnsi="Times New Roman"/>
        </w:rPr>
        <w:t xml:space="preserve"> captures three market-regime indicators:</w:t>
      </w:r>
    </w:p>
    <w:p>
      <w:r>
        <w:rPr/>
        <w:t>Empirical Mode Decomposition (EMD) Trend: The first Intrinsic Mode Function (IMF) of the price series, computed using a rolling window of 252 trading days. At each date t, EMD is re-estimated using only observations in [t-251, t] to avoid look-ahead bias. Mirror boundary conditions (63 points at each end) are applied to mitigate endpoint effects.</w:t>
      </w:r>
    </w:p>
    <w:p>
      <w:r>
        <w:rPr>
          <w:rFonts w:ascii="Times New Roman" w:hAnsi="Times New Roman"/>
          <w:b/>
          <w:sz w:val="24"/>
        </w:rPr>
        <w:t>Volatility Quantile:</w:t>
      </w:r>
      <w:r>
        <w:rPr>
          <w:rFonts w:ascii="Times New Roman" w:hAnsi="Times New Roman"/>
          <w:sz w:val="24"/>
        </w:rPr>
        <w:t xml:space="preserve"> The current volatility level relative to its historical distribution, indicating whether the market is in a high or low volatility regime.</w:t>
      </w:r>
    </w:p>
    <w:p>
      <w:r>
        <w:rPr>
          <w:rFonts w:ascii="Times New Roman" w:hAnsi="Times New Roman"/>
          <w:b/>
          <w:sz w:val="24"/>
        </w:rPr>
        <w:t>Trend Strength:</w:t>
      </w:r>
      <w:r>
        <w:rPr>
          <w:rFonts w:ascii="Times New Roman" w:hAnsi="Times New Roman"/>
          <w:sz w:val="24"/>
        </w:rPr>
        <w:t xml:space="preserve"> A measure of the consistency of recent price movements, distinguishing trending from mean-reverting markets.</w:t>
      </w:r>
    </w:p>
    <w:p>
      <w:r>
        <w:rPr>
          <w:rFonts w:ascii="Times New Roman" w:hAnsi="Times New Roman"/>
        </w:rPr>
        <w:t xml:space="preserve">These three features were selected to capture the key dimensions of market state that are likely to affect optimal threshold selection. The discrete threshold set </w:t>
      </w:r>
      <w:r>
        <w:rPr>
          <w:rFonts w:ascii="Times New Roman" w:hAnsi="Times New Roman"/>
        </w:rPr>
        <w:t xml:space="preserve"> spans a range from aggressive (low threshold, high trade frequency) to conservative (high threshold, low trade frequency). The threshold </w:t>
      </w:r>
      <w:r>
        <w:rPr>
          <w:rFonts w:ascii="Times New Roman" w:hAnsi="Times New Roman"/>
        </w:rPr>
        <w:t xml:space="preserve"> corresponds to the “no-trade baseline” (never taking a position), serving as a conservative default.</w:t>
      </w:r>
    </w:p>
    <w:p>
      <w:r>
        <w:rPr>
          <w:rFonts w:ascii="Times New Roman" w:hAnsi="Times New Roman"/>
          <w:sz w:val="24"/>
        </w:rPr>
        <w:t>3.3 Contextual Bandit Formulation</w:t>
      </w:r>
    </w:p>
    <w:p>
      <w:r>
        <w:rPr>
          <w:rFonts w:ascii="Cambria Math" w:hAnsi="Cambria Math"/>
        </w:rPr>
        <w:t>We formulate the threshold-selection problem as a contextual bandit. At each time t:</w:t>
      </w:r>
    </w:p>
    <w:p>
      <w:r>
        <w:rPr>
          <w:rFonts w:ascii="Cambria Math" w:hAnsi="Cambria Math"/>
        </w:rPr>
        <w:t>Observe Context: The agent observes the context vector c_t representing the current market state.</w:t>
      </w:r>
    </w:p>
    <w:p>
      <w:r>
        <w:rPr>
          <w:rFonts w:ascii="Times New Roman" w:hAnsi="Times New Roman"/>
        </w:rPr>
        <w:t xml:space="preserve">Select Action: The agent selects an action </w:t>
      </w:r>
      <w:r>
        <w:rPr>
          <w:rFonts w:ascii="Times New Roman" w:hAnsi="Times New Roman"/>
        </w:rPr>
        <w:t xml:space="preserve">, corresponding to one of the </w:t>
      </w:r>
      <w:r>
        <w:rPr>
          <w:rFonts w:ascii="Times New Roman" w:hAnsi="Times New Roman"/>
        </w:rPr>
        <w:t xml:space="preserve"> thresholds in </w:t>
      </w:r>
      <w:r>
        <w:rPr>
          <w:rFonts w:ascii="Times New Roman" w:hAnsi="Times New Roman"/>
        </w:rPr>
        <w:t>.</w:t>
      </w:r>
    </w:p>
    <w:p>
      <w:r>
        <w:rPr>
          <w:rFonts w:ascii="Cambria Math" w:hAnsi="Cambria Math"/>
        </w:rPr>
        <w:t>Receive Reward: The agent receives a reward r_t based on the trading performance obtained with the selected threshold.</w:t>
      </w:r>
    </w:p>
    <w:p>
      <w:r>
        <w:rPr>
          <w:rFonts w:ascii="Times New Roman" w:hAnsi="Times New Roman"/>
        </w:rPr>
        <w:t xml:space="preserve">The objective is to maximize cumulative reward </w:t>
      </w:r>
      <w:r>
        <w:rPr>
          <w:rFonts w:ascii="Times New Roman" w:hAnsi="Times New Roman"/>
        </w:rPr>
        <w:t xml:space="preserve"> over the evaluation period. We use the LinUCB algorithm (Li et al., 2010) with disjoint linear models, where the expected reward for action </w:t>
      </w:r>
      <w:r>
        <w:rPr>
          <w:rFonts w:ascii="Times New Roman" w:hAnsi="Times New Roman"/>
        </w:rPr>
        <w:t xml:space="preserve"> is modeled as </w:t>
      </w:r>
      <w:r>
        <w:rPr>
          <w:rFonts w:ascii="Times New Roman" w:hAnsi="Times New Roman"/>
        </w:rPr>
        <w:t>.</w:t>
      </w:r>
    </w:p>
    <w:p>
      <w:r>
        <w:rPr>
          <w:rFonts w:ascii="Times New Roman" w:hAnsi="Times New Roman"/>
          <w:sz w:val="24"/>
        </w:rPr>
        <w:t>The LinUCB algorithm balances exploration and exploitation by selecting actions according to:</w:t>
      </w:r>
    </w:p>
    <w:p>
      <w:r>
        <w:rPr>
          <w:rFonts w:ascii="Times New Roman" w:hAnsi="Times New Roman"/>
        </w:rPr>
        <w:t xml:space="preserve">The LinUCB action is </w:t>
      </w:r>
      <w:r>
        <w:rPr>
          <w:rFonts w:ascii="Times New Roman" w:hAnsi="Times New Roman"/>
        </w:rPr>
        <w:t xml:space="preserve">, where </w:t>
      </w:r>
      <w:r>
        <w:rPr>
          <w:rFonts w:ascii="Times New Roman" w:hAnsi="Times New Roman"/>
        </w:rPr>
        <w:t xml:space="preserve"> is the design matrix for action </w:t>
      </w:r>
      <w:r>
        <w:rPr>
          <w:rFonts w:ascii="Times New Roman" w:hAnsi="Times New Roman"/>
        </w:rPr>
        <w:t xml:space="preserve">, and </w:t>
      </w:r>
      <w:r>
        <w:rPr>
          <w:rFonts w:ascii="Times New Roman" w:hAnsi="Times New Roman"/>
        </w:rPr>
        <w:t xml:space="preserve"> is the exploration parameter. We set </w:t>
      </w:r>
      <w:r>
        <w:rPr>
          <w:rFonts w:ascii="Times New Roman" w:hAnsi="Times New Roman"/>
        </w:rPr>
        <w:t xml:space="preserve"> based on preliminary experiments.</w:t>
      </w:r>
    </w:p>
    <w:p>
      <w:r>
        <w:rPr>
          <w:rFonts w:ascii="Times New Roman" w:hAnsi="Times New Roman"/>
          <w:sz w:val="24"/>
        </w:rPr>
        <w:t>3.4 Zero-Shot Transfer</w:t>
      </w:r>
    </w:p>
    <w:p>
      <w:r>
        <w:rPr/>
        <w:t>In the zero-shot transfer setting, a policy π_S trained on source asset S is deployed on target asset T without any target-side learning. This is the most challenging transfer scenario, as the policy must generalize from the source context distribution to the target context distribution without adaptation.</w:t>
      </w:r>
    </w:p>
    <w:p>
      <w:r>
        <w:rPr>
          <w:rFonts w:ascii="Times New Roman" w:hAnsi="Times New Roman"/>
        </w:rPr>
        <w:t xml:space="preserve">Formally, the transferred policy on target </w:t>
      </w:r>
      <w:r>
        <w:rPr>
          <w:rFonts w:ascii="Times New Roman" w:hAnsi="Times New Roman"/>
        </w:rPr>
        <w:t xml:space="preserve"> is </w:t>
      </w:r>
      <w:r>
        <w:rPr>
          <w:rFonts w:ascii="Times New Roman" w:hAnsi="Times New Roman"/>
        </w:rPr>
        <w:t xml:space="preserve">, where </w:t>
      </w:r>
      <w:r>
        <w:rPr>
          <w:rFonts w:ascii="Times New Roman" w:hAnsi="Times New Roman"/>
        </w:rPr>
        <w:t>.</w:t>
      </w:r>
    </w:p>
    <w:p>
      <w:r>
        <w:rPr>
          <w:rFonts w:ascii="Times New Roman" w:hAnsi="Times New Roman"/>
        </w:rPr>
        <w:t xml:space="preserve">Here </w:t>
      </w:r>
      <w:r>
        <w:rPr>
          <w:rFonts w:ascii="Times New Roman" w:hAnsi="Times New Roman"/>
        </w:rPr>
        <w:t xml:space="preserve"> and </w:t>
      </w:r>
      <w:r>
        <w:rPr>
          <w:rFonts w:ascii="Times New Roman" w:hAnsi="Times New Roman"/>
        </w:rPr>
        <w:t xml:space="preserve"> are the parameters learned on the source asset.</w:t>
      </w:r>
    </w:p>
    <w:p>
      <w:r>
        <w:rPr>
          <w:rFonts w:ascii="Times New Roman" w:hAnsi="Times New Roman"/>
          <w:sz w:val="24"/>
        </w:rPr>
        <w:t>3.5 The Collapse Question</w:t>
      </w:r>
    </w:p>
    <w:p>
      <w:r>
        <w:rPr>
          <w:rFonts w:ascii="Times New Roman" w:hAnsi="Times New Roman"/>
          <w:sz w:val="24"/>
        </w:rPr>
        <w:t>We now formalize the collapse phenomenon that motivates our work.</w:t>
      </w:r>
    </w:p>
    <w:p>
      <w:r>
        <w:rPr/>
        <w:t>Definition 1 (Severe Collapse). A policy π exhibits severe collapse on target T if:</w:t>
      </w:r>
    </w:p>
    <w:p>
      <w:r>
        <w:rPr>
          <w:rFonts w:ascii="Times New Roman" w:hAnsi="Times New Roman"/>
        </w:rPr>
        <w:t xml:space="preserve">Modal-Action Share: </w:t>
      </w:r>
      <w:r>
        <w:rPr>
          <w:rFonts w:ascii="Times New Roman" w:hAnsi="Times New Roman"/>
        </w:rPr>
        <w:t xml:space="preserve">, where </w:t>
      </w:r>
      <w:r>
        <w:rPr>
          <w:rFonts w:ascii="Times New Roman" w:hAnsi="Times New Roman"/>
        </w:rPr>
        <w:t xml:space="preserve"> is the empirical frequency of action </w:t>
      </w:r>
      <w:r>
        <w:rPr>
          <w:rFonts w:ascii="Times New Roman" w:hAnsi="Times New Roman"/>
        </w:rPr>
        <w:t>.</w:t>
      </w:r>
    </w:p>
    <w:p>
      <w:r>
        <w:rPr>
          <w:rFonts w:ascii="Times New Roman" w:hAnsi="Times New Roman"/>
        </w:rPr>
        <w:t xml:space="preserve">Normalized Entropy: </w:t>
      </w:r>
      <w:r>
        <w:rPr>
          <w:rFonts w:ascii="Times New Roman" w:hAnsi="Times New Roman"/>
        </w:rPr>
        <w:t xml:space="preserve">, where </w:t>
      </w:r>
      <w:r>
        <w:rPr>
          <w:rFonts w:ascii="Times New Roman" w:hAnsi="Times New Roman"/>
        </w:rPr>
        <w:t xml:space="preserve"> is the entropy of the action distribution.</w:t>
      </w:r>
    </w:p>
    <w:p>
      <w:r>
        <w:rPr>
          <w:rFonts w:ascii="Times New Roman" w:hAnsi="Times New Roman"/>
          <w:sz w:val="24"/>
        </w:rPr>
        <w:t>Severe collapse indicates that the policy has effectively degenerated into a static rule, selecting the same action for almost all contexts. This defeats the purpose of using a contextual bandit, which is to adapt the threshold based on market conditions.</w:t>
      </w:r>
    </w:p>
    <w:p>
      <w:r>
        <w:rPr>
          <w:rFonts w:ascii="Times New Roman" w:hAnsi="Times New Roman"/>
        </w:rPr>
        <w:t xml:space="preserve">Definition 2 (Source Degeneracy). A source policy </w:t>
      </w:r>
      <w:r>
        <w:rPr>
          <w:rFonts w:ascii="Times New Roman" w:hAnsi="Times New Roman"/>
        </w:rPr>
        <w:t xml:space="preserve"> is degenerate if its modal-action share during source-side evaluation exceeds </w:t>
      </w:r>
      <w:r>
        <w:rPr>
          <w:rFonts w:ascii="Times New Roman" w:hAnsi="Times New Roman"/>
        </w:rPr>
        <w:t xml:space="preserve">. We use </w:t>
      </w:r>
      <w:r>
        <w:rPr>
          <w:rFonts w:ascii="Times New Roman" w:hAnsi="Times New Roman"/>
        </w:rPr>
        <w:t xml:space="preserve"> throughout this paper.</w:t>
      </w:r>
    </w:p>
    <w:p>
      <w:r>
        <w:rPr/>
        <w:t>In our empirical sample, source degeneracy perfectly classifies the observed target-collapse outcomes. If the source policy already concentrates on a single action, the transferred policy has no demonstrated source-side evidence of contextual adaptation to preserve.</w:t>
      </w:r>
    </w:p>
    <w:p>
      <w:r>
        <w:rPr>
          <w:rFonts w:ascii="Times New Roman" w:hAnsi="Times New Roman"/>
        </w:rPr>
        <w:t xml:space="preserve">Definition 3 (Behavioral Equivalence). A policy </w:t>
      </w:r>
      <w:r>
        <w:rPr>
          <w:rFonts w:ascii="Times New Roman" w:hAnsi="Times New Roman"/>
        </w:rPr>
        <w:t xml:space="preserve"> is behaviorally equivalent to a static threshold </w:t>
      </w:r>
      <w:r>
        <w:rPr>
          <w:rFonts w:ascii="Times New Roman" w:hAnsi="Times New Roman"/>
        </w:rPr>
        <w:t xml:space="preserve"> on target </w:t>
      </w:r>
      <w:r>
        <w:rPr>
          <w:rFonts w:ascii="Times New Roman" w:hAnsi="Times New Roman"/>
        </w:rPr>
        <w:t xml:space="preserve"> if </w:t>
      </w:r>
      <w:r>
        <w:rPr>
          <w:rFonts w:ascii="Times New Roman" w:hAnsi="Times New Roman"/>
        </w:rPr>
        <w:t>.</w:t>
      </w:r>
    </w:p>
    <w:p>
      <w:r>
        <w:rPr/>
        <w:t>Here C_T is the set of all observed contexts on target T. Behavioral equivalence is a stronger condition than severe collapse. A policy can exhibit severe collapse without being behaviorally equivalent to any single threshold—it might occasionally select different actions for extreme contexts. However, in practice, severe collapse often implies approximate behavioral equivalence.</w:t>
      </w:r>
    </w:p>
    <w:p>
      <w:r>
        <w:rPr>
          <w:rFonts w:ascii="Times New Roman" w:hAnsi="Times New Roman"/>
          <w:sz w:val="24"/>
        </w:rPr>
        <w:t>4. Algorithm: FCTT-DA</w:t>
      </w:r>
    </w:p>
    <w:p>
      <w:r>
        <w:rPr>
          <w:rFonts w:ascii="Times New Roman" w:hAnsi="Times New Roman"/>
          <w:sz w:val="24"/>
        </w:rPr>
        <w:t>4.1 Architecture</w:t>
      </w:r>
    </w:p>
    <w:p>
      <w:r>
        <w:rPr>
          <w:rFonts w:ascii="Times New Roman" w:hAnsi="Times New Roman"/>
          <w:sz w:val="24"/>
        </w:rPr>
        <w:t>The Frozen Contextual Threshold Transfer with Degeneracy Audit (FCTT-DA) framework consists of three distinct modules designed to diagnose and mitigate cross-asset policy transfer failures.</w:t>
      </w:r>
    </w:p>
    <w:p>
      <w:pPr>
        <w:jc w:val="center"/>
      </w:pPr>
      <w:r>
        <w:rPr>
          <w:rFonts w:ascii="Times New Roman" w:hAnsi="Times New Roman"/>
          <w:sz w:val="24"/>
        </w:rPr>
      </w:r>
    </w:p>
    <w:p>
      <w:pPr>
        <w:jc w:val="center"/>
      </w:pPr>
      <w:r>
        <w:rPr>
          <w:rFonts w:ascii="Times New Roman" w:hAnsi="Times New Roman"/>
          <w:i/>
          <w:sz w:val="18"/>
        </w:rPr>
        <w:t>Figure 1. Architecture of the FCTT-DA framework. The framework integrates a local predictor, a frozen contextual threshold policy, and a degeneracy audit engine.</w:t>
      </w:r>
    </w:p>
    <w:p>
      <w:r>
        <w:rPr>
          <w:rFonts w:ascii="Times New Roman" w:hAnsi="Times New Roman"/>
        </w:rPr>
        <w:t xml:space="preserve">Module 1: Local Predictor. For each asset, we train a gradient boosted tree (GBT) using walk-forward validation. The training window is </w:t>
      </w:r>
      <w:r>
        <w:rPr/>
        <w:t>504</w:t>
      </w:r>
      <w:r>
        <w:rPr>
          <w:rFonts w:ascii="Times New Roman" w:hAnsi="Times New Roman"/>
        </w:rPr>
        <w:t xml:space="preserve"> trading days (approximately two years), the test window is </w:t>
      </w:r>
      <w:r>
        <w:rPr/>
        <w:t>63</w:t>
      </w:r>
      <w:r>
        <w:rPr>
          <w:rFonts w:ascii="Times New Roman" w:hAnsi="Times New Roman"/>
        </w:rPr>
        <w:t xml:space="preserve"> trading days (approximately one quarter), and the step size is </w:t>
      </w:r>
      <w:r>
        <w:rPr/>
        <w:t>63</w:t>
      </w:r>
      <w:r>
        <w:rPr>
          <w:rFonts w:ascii="Times New Roman" w:hAnsi="Times New Roman"/>
        </w:rPr>
        <w:t xml:space="preserve"> days. This setup ensures that predictions are generated out-of-sample, mimicking real-world deployment conditions. The GBT model uses  technical, volatility, volume, and price-based features to predict the probability of a positive excess return over the next period. Hyperparameters are tuned via cross-validation within each training window.</w:t>
      </w:r>
    </w:p>
    <w:p>
      <w:r>
        <w:rPr>
          <w:rFonts w:ascii="Times New Roman" w:hAnsi="Times New Roman"/>
        </w:rPr>
        <w:t xml:space="preserve">Module 2: Frozen Contextual Threshold Policy. The threshold selection policy is a LinUCB algorithm with </w:t>
      </w:r>
      <w:r>
        <w:rPr>
          <w:rFonts w:ascii="Times New Roman" w:hAnsi="Times New Roman"/>
        </w:rPr>
        <w:t>α=0.3</w:t>
      </w:r>
      <w:r>
        <w:rPr>
          <w:rFonts w:ascii="Times New Roman" w:hAnsi="Times New Roman"/>
        </w:rPr>
        <w:t xml:space="preserve"> and 3D context features: Empirical Mode Decomposition (EMD) trend, volatility quantile, and trend strength. The policy is trained on the source asset's training period and then frozen (no further learning) for transfer to target assets. The threshold set is </w:t>
      </w:r>
      <w:r>
        <w:rPr>
          <w:rFonts w:ascii="Times New Roman" w:hAnsi="Times New Roman"/>
        </w:rPr>
        <w:t>T={0.35,0.45,0.50,0.55,0.65,0.75,1.00}</w:t>
      </w:r>
      <w:r>
        <w:rPr>
          <w:rFonts w:ascii="Times New Roman" w:hAnsi="Times New Roman"/>
        </w:rPr>
        <w:t>.</w:t>
      </w:r>
    </w:p>
    <w:p>
      <w:r>
        <w:rPr>
          <w:rFonts w:ascii="Times New Roman" w:hAnsi="Times New Roman"/>
          <w:b/>
          <w:sz w:val="24"/>
        </w:rPr>
        <w:t>Module 3: Degeneracy Audit.</w:t>
      </w:r>
      <w:r>
        <w:rPr>
          <w:rFonts w:ascii="Times New Roman" w:hAnsi="Times New Roman"/>
          <w:sz w:val="24"/>
        </w:rPr>
        <w:t xml:space="preserve"> Before deploying the transferred policy on a target asset, we perform pre-deployment diagnostics on the source policy. The audit includes three metrics:</w:t>
      </w:r>
    </w:p>
    <w:p>
      <w:r>
        <w:rPr>
          <w:rFonts w:ascii="Times New Roman" w:hAnsi="Times New Roman"/>
          <w:b/>
          <w:sz w:val="24"/>
        </w:rPr>
        <w:t>Normalized action entropy:</w:t>
      </w:r>
      <w:r>
        <w:rPr>
          <w:rFonts w:ascii="Times New Roman" w:hAnsi="Times New Roman"/>
          <w:sz w:val="24"/>
        </w:rPr>
        <w:t xml:space="preserve"> </w:t>
      </w:r>
      <w:r>
        <w:rPr>
          <w:rFonts w:ascii="Times New Roman" w:hAnsi="Times New Roman"/>
          <w:sz w:val="24"/>
        </w:rPr>
        <w:t>, measuring the diversity of action selections.</w:t>
      </w:r>
    </w:p>
    <w:p>
      <w:r>
        <w:rPr>
          <w:rFonts w:ascii="Times New Roman" w:hAnsi="Times New Roman"/>
          <w:b/>
          <w:sz w:val="24"/>
        </w:rPr>
        <w:t>Modal-action share:</w:t>
      </w:r>
      <w:r>
        <w:rPr>
          <w:rFonts w:ascii="Times New Roman" w:hAnsi="Times New Roman"/>
          <w:sz w:val="24"/>
        </w:rPr>
        <w:t xml:space="preserve"> </w:t>
      </w:r>
      <w:r>
        <w:rPr>
          <w:rFonts w:ascii="Times New Roman" w:hAnsi="Times New Roman"/>
          <w:sz w:val="24"/>
        </w:rPr>
        <w:t>, measuring the concentration on the most frequent action.</w:t>
      </w:r>
    </w:p>
    <w:p>
      <w:r>
        <w:rPr>
          <w:rFonts w:ascii="Times New Roman" w:hAnsi="Times New Roman"/>
          <w:b/>
          <w:sz w:val="24"/>
        </w:rPr>
        <w:t>Effective actions:</w:t>
      </w:r>
      <w:r>
        <w:rPr>
          <w:rFonts w:ascii="Times New Roman" w:hAnsi="Times New Roman"/>
          <w:sz w:val="24"/>
        </w:rPr>
        <w:t xml:space="preserve"> </w:t>
      </w:r>
      <w:r>
        <w:rPr>
          <w:rFonts w:ascii="Times New Roman" w:hAnsi="Times New Roman"/>
          <w:sz w:val="24"/>
        </w:rPr>
        <w:t>, an alternative measure of action diversity.</w:t>
      </w:r>
    </w:p>
    <w:p>
      <w:r>
        <w:rPr>
          <w:rFonts w:ascii="Times New Roman" w:hAnsi="Times New Roman"/>
          <w:sz w:val="24"/>
        </w:rPr>
        <w:t xml:space="preserve">The rejection rule is: if source modal share </w:t>
      </w:r>
      <w:r>
        <w:rPr>
          <w:rFonts w:ascii="Times New Roman" w:hAnsi="Times New Roman"/>
          <w:sz w:val="24"/>
        </w:rPr>
        <w:t>, reject the transfer. This threshold is conservative, ensuring that only sufficiently diverse policies are transferred.</w:t>
      </w:r>
    </w:p>
    <w:p>
      <w:r>
        <w:rPr>
          <w:rFonts w:ascii="Times New Roman" w:hAnsi="Times New Roman"/>
          <w:sz w:val="24"/>
        </w:rPr>
        <w:t>4.2 Comparison Baselines</w:t>
      </w:r>
    </w:p>
    <w:p>
      <w:r>
        <w:rPr>
          <w:rFonts w:ascii="Times New Roman" w:hAnsi="Times New Roman"/>
          <w:sz w:val="24"/>
        </w:rPr>
        <w:t>To evaluate the performance of FCTT-DA, we compare against three baseline approaches:</w:t>
      </w:r>
    </w:p>
    <w:p>
      <w:r>
        <w:rPr/>
        <w:t>NoGating: A static threshold of 0.50 (also called "Ungated classifier"), representing the common practice of using a fixed decision rule without contextual adaptation.</w:t>
      </w:r>
    </w:p>
    <w:p>
      <w:r>
        <w:rPr>
          <w:rFonts w:ascii="Times New Roman" w:hAnsi="Times New Roman"/>
          <w:b/>
          <w:sz w:val="24"/>
        </w:rPr>
        <w:t>Fixed-</w:t>
      </w:r>
      <w:r>
        <w:rPr>
          <w:rFonts w:ascii="Times New Roman" w:hAnsi="Times New Roman"/>
          <w:b/>
          <w:sz w:val="24"/>
        </w:rPr>
        <w:t>:</w:t>
      </w:r>
      <w:r>
        <w:rPr>
          <w:rFonts w:ascii="Times New Roman" w:hAnsi="Times New Roman"/>
          <w:sz w:val="24"/>
        </w:rPr>
        <w:t xml:space="preserve"> Static thresholds at </w:t>
      </w:r>
      <w:r>
        <w:rPr>
          <w:rFonts w:ascii="Times New Roman" w:hAnsi="Times New Roman"/>
          <w:sz w:val="24"/>
        </w:rPr>
        <w:t>, representing a grid search over possible fixed thresholds.</w:t>
      </w:r>
    </w:p>
    <w:p>
      <w:r>
        <w:rPr>
          <w:rFonts w:ascii="Times New Roman" w:hAnsi="Times New Roman"/>
          <w:b/>
          <w:sz w:val="24"/>
        </w:rPr>
        <w:t>Behavioral-equivalent:</w:t>
      </w:r>
      <w:r>
        <w:rPr>
          <w:rFonts w:ascii="Times New Roman" w:hAnsi="Times New Roman"/>
          <w:sz w:val="24"/>
        </w:rPr>
        <w:t xml:space="preserve"> The fixed threshold closest to the learned policy's behavior on the source asset, representing the best possible static approximation of the contextual policy.</w:t>
      </w:r>
    </w:p>
    <w:p>
      <w:r>
        <w:rPr>
          <w:rFonts w:ascii="Times New Roman" w:hAnsi="Times New Roman"/>
          <w:sz w:val="24"/>
        </w:rPr>
        <w:t>These baselines allow us to assess whether the contextual policy provides genuine value over simpler alternatives. If the contextual policy collapses to a static rule, it should perform no better than the behavioral-equivalent baseline.</w:t>
      </w:r>
    </w:p>
    <w:p>
      <w:r>
        <w:rPr>
          <w:rFonts w:ascii="Times New Roman" w:hAnsi="Times New Roman"/>
          <w:sz w:val="24"/>
        </w:rPr>
        <w:t>4.3 Statistical Inference</w:t>
      </w:r>
    </w:p>
    <w:p>
      <w:r>
        <w:rPr>
          <w:rFonts w:ascii="Times New Roman" w:hAnsi="Times New Roman"/>
          <w:sz w:val="24"/>
        </w:rPr>
        <w:t>We employ rigorous statistical methods to ensure the robustness of our findings:</w:t>
      </w:r>
    </w:p>
    <w:p>
      <w:r>
        <w:rPr/>
        <w:t>Stationary Bootstrap: We use the stationary bootstrap (Politis and Romano, 1994) with 2,000 replications and a mean block length of 10 periods. This method preserves the temporal dependence structure of the data while providing valid confidence intervals.</w:t>
      </w:r>
    </w:p>
    <w:p>
      <w:r>
        <w:rPr>
          <w:rFonts w:ascii="Times New Roman" w:hAnsi="Times New Roman"/>
          <w:b/>
          <w:sz w:val="24"/>
        </w:rPr>
        <w:t>Paired Tests:</w:t>
      </w:r>
      <w:r>
        <w:rPr>
          <w:rFonts w:ascii="Times New Roman" w:hAnsi="Times New Roman"/>
          <w:sz w:val="24"/>
        </w:rPr>
        <w:t xml:space="preserve"> All comparisons are performed on the same return series, ensuring that differences are not driven by different market conditions. We use paired </w:t>
      </w:r>
      <w:r>
        <w:rPr>
          <w:rFonts w:ascii="Times New Roman" w:hAnsi="Times New Roman"/>
          <w:sz w:val="24"/>
        </w:rPr>
        <w:t>-tests for means and paired Wilcoxon tests for medians.</w:t>
      </w:r>
    </w:p>
    <w:p>
      <w:r>
        <w:rPr>
          <w:rFonts w:ascii="Times New Roman" w:hAnsi="Times New Roman"/>
          <w:b/>
          <w:sz w:val="24"/>
        </w:rPr>
        <w:t>False Discovery Rate Control:</w:t>
      </w:r>
      <w:r>
        <w:rPr>
          <w:rFonts w:ascii="Times New Roman" w:hAnsi="Times New Roman"/>
          <w:sz w:val="24"/>
        </w:rPr>
        <w:t xml:space="preserve"> We apply the Benjamini-Hochberg procedure (Benjamini and Hochberg, 1995) at a </w:t>
      </w:r>
      <w:r>
        <w:rPr>
          <w:rFonts w:ascii="Times New Roman" w:hAnsi="Times New Roman"/>
          <w:sz w:val="24"/>
        </w:rPr>
        <w:t xml:space="preserve"> false discovery rate to account for multiple testing across the </w:t>
      </w:r>
      <w:r>
        <w:rPr>
          <w:sz w:val="24"/>
        </w:rPr>
        <w:t xml:space="preserve">228 </w:t>
      </w:r>
      <w:r>
        <w:rPr>
          <w:rFonts w:ascii="Times New Roman" w:hAnsi="Times New Roman"/>
          <w:sz w:val="24"/>
        </w:rPr>
        <w:t>source-target pairs.</w:t>
      </w:r>
    </w:p>
    <w:p>
      <w:r>
        <w:rPr>
          <w:rFonts w:ascii="Times New Roman" w:hAnsi="Times New Roman"/>
          <w:sz w:val="24"/>
        </w:rPr>
        <w:t>5. Theoretical Analysis</w:t>
      </w:r>
    </w:p>
    <w:p>
      <w:r>
        <w:rPr>
          <w:rFonts w:ascii="Times New Roman" w:hAnsi="Times New Roman"/>
          <w:sz w:val="24"/>
        </w:rPr>
        <w:t>5.0 Scope and Assumptions</w:t>
      </w:r>
    </w:p>
    <w:p>
      <w:r>
        <w:rPr>
          <w:rFonts w:ascii="Times New Roman" w:hAnsi="Times New Roman"/>
          <w:b/>
          <w:sz w:val="24"/>
        </w:rPr>
        <w:t>Important Note:</w:t>
      </w:r>
      <w:r>
        <w:rPr>
          <w:rFonts w:ascii="Times New Roman" w:hAnsi="Times New Roman"/>
          <w:sz w:val="24"/>
        </w:rPr>
        <w:t xml:space="preserve"> The theoretical results in this section apply to a </w:t>
      </w:r>
      <w:r>
        <w:rPr>
          <w:rFonts w:ascii="Times New Roman" w:hAnsi="Times New Roman"/>
          <w:b/>
          <w:sz w:val="24"/>
        </w:rPr>
        <w:t>simplified policy</w:t>
      </w:r>
      <w:r>
        <w:rPr>
          <w:rFonts w:ascii="Times New Roman" w:hAnsi="Times New Roman"/>
          <w:sz w:val="24"/>
        </w:rPr>
        <w:t xml:space="preserve"> that uses only the exploitation term of LinUCB. Specifically, we analyze a policy of the form:</w:t>
      </w:r>
    </w:p>
    <w:p>
      <w:r>
        <w:rPr>
          <w:rFonts w:ascii="Times New Roman" w:hAnsi="Times New Roman"/>
        </w:rPr>
        <w:t xml:space="preserve">Here </w:t>
      </w:r>
      <w:r>
        <w:rPr>
          <w:rFonts w:ascii="Times New Roman" w:hAnsi="Times New Roman"/>
        </w:rPr>
        <w:t xml:space="preserve"> are fixed weight vectors estimated from source data. This is equivalent to LinUCB with </w:t>
      </w:r>
      <w:r>
        <w:rPr>
          <w:rFonts w:ascii="Times New Roman" w:hAnsi="Times New Roman"/>
        </w:rPr>
        <w:t xml:space="preserve"> (no exploration), or to a linear scoring policy </w:t>
      </w:r>
      <w:r>
        <w:rPr>
          <w:rFonts w:ascii="Times New Roman" w:hAnsi="Times New Roman"/>
        </w:rPr>
        <w:t>.</w:t>
      </w:r>
    </w:p>
    <w:p>
      <w:r>
        <w:rPr>
          <w:rFonts w:ascii="Times New Roman" w:hAnsi="Times New Roman"/>
        </w:rPr>
        <w:t xml:space="preserve">The full LinUCB policy with exploration term </w:t>
      </w:r>
      <w:r>
        <w:rPr>
          <w:rFonts w:ascii="Times New Roman" w:hAnsi="Times New Roman"/>
        </w:rPr>
        <w:t xml:space="preserve"> is used in the empirical analysis (Section 7), but its theoretical properties are more complex because of the nonlinear uncertainty term. Our empirical findings (Section 7.8.3) demonstrate that the collapse phenomenon persists regardless of whether the exploration term is included.</w:t>
      </w:r>
    </w:p>
    <w:p>
      <w:r>
        <w:rPr/>
        <w:t>The role of the alpha = 0 analysis is therefore mechanistic rather than universal. It isolates the exploitation geometry that creates dominant decision regions. For the full LinUCB score, the exploration bonus perturbs, rather than replaces, this geometry. Whenever the exploitation margin of the dominant action exceeds the largest alpha-scaled cross-action uncertainty-bonus difference, the argmax is unchanged and the alpha = 0 decision region is locally preserved. We do not claim that this sufficient margin condition holds everywhere for every alpha &gt; 0. Instead, Section 7.8.3 provides the empirical bridge: across the tested exploration parameters, including the main specification alpha = 0.3, degenerate sources remain collapsed. Thus the theory identifies a sufficient structural mechanism, while the ablation study verifies that the same mechanism remains behaviorally dominant in the full LinUCB implementation.</w:t>
      </w:r>
    </w:p>
    <w:p>
      <w:r>
        <w:rPr>
          <w:rFonts w:ascii="Times New Roman" w:hAnsi="Times New Roman"/>
          <w:sz w:val="24"/>
        </w:rPr>
        <w:t>5.1 Source Diversity and Target Collapse (Empirical Hypothesis)</w:t>
      </w:r>
    </w:p>
    <w:p>
      <w:r>
        <w:rPr>
          <w:rFonts w:ascii="Times New Roman" w:hAnsi="Times New Roman"/>
          <w:b/>
          <w:sz w:val="24"/>
        </w:rPr>
        <w:t>Proposition 1 (Empirical).</w:t>
      </w:r>
      <w:r>
        <w:rPr>
          <w:rFonts w:ascii="Times New Roman" w:hAnsi="Times New Roman"/>
          <w:sz w:val="24"/>
        </w:rPr>
        <w:t xml:space="preserve"> </w:t>
      </w:r>
      <w:r>
        <w:rPr>
          <w:rFonts w:ascii="Times New Roman" w:hAnsi="Times New Roman"/>
          <w:i/>
          <w:sz w:val="24"/>
        </w:rPr>
        <w:t>In our experimental setting, source-side action concentration is associated with target-side collapse. Specifically:</w:t>
      </w:r>
    </w:p>
    <w:p>
      <w:r>
        <w:rPr/>
        <w:t>Evidence: Table 2 shows that all four degenerate sources (SPY, QQQ, EEM, GLD) achieve a 100% collapse rate on all target assets, while the diverse sources (TLT, IWM) achieve a 0% collapse rate.</w:t>
      </w:r>
    </w:p>
    <w:p>
      <w:r>
        <w:rPr>
          <w:rFonts w:ascii="Times New Roman" w:hAnsi="Times New Roman"/>
          <w:b/>
          <w:sz w:val="24"/>
        </w:rPr>
        <w:t>Interpretation:</w:t>
      </w:r>
      <w:r>
        <w:rPr>
          <w:rFonts w:ascii="Times New Roman" w:hAnsi="Times New Roman"/>
          <w:sz w:val="24"/>
        </w:rPr>
        <w:t xml:space="preserve"> This empirical pattern suggests that source-side action concentration is a useful screening diagnostic for predicting transfer failure. However, we do not claim this is a universal theoretical necessity—it is an empirical regularity observed in our data.</w:t>
      </w:r>
    </w:p>
    <w:p>
      <w:r>
        <w:rPr/>
        <w:t>Limitations: The empirical relationship may not generalize to all possible source–target combinations; the specific collapse threshold (0.90) is somewhat arbitrary; and the finding is conditional on our feature set and sample period.</w:t>
      </w:r>
    </w:p>
    <w:p>
      <w:r>
        <w:rPr>
          <w:rFonts w:ascii="Times New Roman" w:hAnsi="Times New Roman"/>
          <w:sz w:val="24"/>
        </w:rPr>
        <w:t>5.2 Decision Region Geometry (Geometric Intuition)</w:t>
      </w:r>
    </w:p>
    <w:p>
      <w:r>
        <w:rPr>
          <w:rFonts w:ascii="Times New Roman" w:hAnsi="Times New Roman"/>
        </w:rPr>
        <w:t xml:space="preserve">Proposition 2 (Geometric Intuition). For the linear scoring policy </w:t>
      </w:r>
      <w:r>
        <w:rPr>
          <w:rFonts w:ascii="Times New Roman" w:hAnsi="Times New Roman"/>
        </w:rPr>
        <w:t>, the decision regions are convex polyhedral cones.</w:t>
      </w:r>
    </w:p>
    <w:p>
      <w:r>
        <w:rPr>
          <w:rFonts w:ascii="Times New Roman" w:hAnsi="Times New Roman"/>
        </w:rPr>
        <w:t xml:space="preserve">Setup: Consider a </w:t>
      </w:r>
      <w:r>
        <w:rPr>
          <w:rFonts w:ascii="Times New Roman" w:hAnsi="Times New Roman"/>
        </w:rPr>
        <w:t xml:space="preserve">-action policy with weight vectors </w:t>
      </w:r>
      <w:r>
        <w:rPr>
          <w:rFonts w:ascii="Times New Roman" w:hAnsi="Times New Roman"/>
        </w:rPr>
        <w:t xml:space="preserve">. The decision region for action </w:t>
      </w:r>
      <w:r>
        <w:rPr>
          <w:rFonts w:ascii="Times New Roman" w:hAnsi="Times New Roman"/>
        </w:rPr>
        <w:t xml:space="preserve"> is </w:t>
      </w:r>
      <w:r>
        <w:rPr>
          <w:rFonts w:ascii="Times New Roman" w:hAnsi="Times New Roman"/>
        </w:rPr>
        <w:t>.</w:t>
      </w:r>
    </w:p>
    <w:p>
      <w:r>
        <w:rPr>
          <w:rFonts w:ascii="Times New Roman" w:hAnsi="Times New Roman"/>
          <w:b/>
          <w:sz w:val="24"/>
        </w:rPr>
        <w:t>Proof:</w:t>
      </w:r>
    </w:p>
    <w:p>
      <w:r>
        <w:rPr>
          <w:rFonts w:ascii="Times New Roman" w:hAnsi="Times New Roman"/>
        </w:rPr>
        <w:t xml:space="preserve">For each </w:t>
      </w:r>
      <w:r>
        <w:rPr>
          <w:rFonts w:ascii="Times New Roman" w:hAnsi="Times New Roman"/>
        </w:rPr>
        <w:t xml:space="preserve">, the constraint </w:t>
      </w:r>
      <w:r>
        <w:rPr>
          <w:rFonts w:ascii="Times New Roman" w:hAnsi="Times New Roman"/>
        </w:rPr>
        <w:t xml:space="preserve"> defines the half-space </w:t>
      </w:r>
      <w:r>
        <w:rPr>
          <w:rFonts w:ascii="Times New Roman" w:hAnsi="Times New Roman"/>
        </w:rPr>
        <w:t>.</w:t>
      </w:r>
    </w:p>
    <w:p>
      <w:r>
        <w:rPr>
          <w:rFonts w:ascii="Times New Roman" w:hAnsi="Times New Roman"/>
          <w:sz w:val="24"/>
        </w:rPr>
        <w:t>The intersection of closed half-spaces containing the origin is a convex polyhedral cone.</w:t>
      </w:r>
    </w:p>
    <w:p>
      <w:r>
        <w:rPr>
          <w:rFonts w:ascii="Cambria Math" w:hAnsi="Cambria Math"/>
        </w:rPr>
        <w:t>Each R_k is the intersection of K−1 half-spaces, and hence is a convex polyhedral cone.</w:t>
      </w:r>
    </w:p>
    <w:p>
      <w:r>
        <w:rPr>
          <w:rFonts w:ascii="Times New Roman" w:hAnsi="Times New Roman"/>
          <w:b/>
          <w:sz w:val="24"/>
        </w:rPr>
        <w:t>Implication:</w:t>
      </w:r>
      <w:r>
        <w:rPr>
          <w:rFonts w:ascii="Times New Roman" w:hAnsi="Times New Roman"/>
          <w:sz w:val="24"/>
        </w:rPr>
        <w:t xml:space="preserve"> If the target context cloud is entirely contained within one decision region, the policy selects the same action for all target contexts.</w:t>
      </w:r>
    </w:p>
    <w:p>
      <w:r>
        <w:rPr>
          <w:rFonts w:ascii="Times New Roman" w:hAnsi="Times New Roman"/>
        </w:rPr>
        <w:t xml:space="preserve">Important Caveat: This result applies only to the linear scoring policy </w:t>
      </w:r>
      <w:r>
        <w:rPr>
          <w:rFonts w:ascii="Times New Roman" w:hAnsi="Times New Roman"/>
        </w:rPr>
        <w:t xml:space="preserve">. The full LinUCB policy has nonlinear decision boundaries because of the </w:t>
      </w:r>
      <w:r>
        <w:rPr>
          <w:rFonts w:ascii="Times New Roman" w:hAnsi="Times New Roman"/>
        </w:rPr>
        <w:t xml:space="preserve"> term.</w:t>
      </w:r>
    </w:p>
    <w:p>
      <w:r>
        <w:rPr>
          <w:rFonts w:ascii="Times New Roman" w:hAnsi="Times New Roman"/>
          <w:sz w:val="24"/>
        </w:rPr>
        <w:t>5.3 Behavioral Equivalence (Formal)</w:t>
      </w:r>
    </w:p>
    <w:p>
      <w:r>
        <w:rPr>
          <w:rFonts w:ascii="Times New Roman" w:hAnsi="Times New Roman"/>
        </w:rPr>
        <w:t xml:space="preserve">Proposition 3 (Behavioral Equivalence). If a policy </w:t>
      </w:r>
      <w:r>
        <w:rPr>
          <w:rFonts w:ascii="Times New Roman" w:hAnsi="Times New Roman"/>
        </w:rPr>
        <w:t xml:space="preserve"> selects the same action </w:t>
      </w:r>
      <w:r>
        <w:rPr>
          <w:rFonts w:ascii="Times New Roman" w:hAnsi="Times New Roman"/>
        </w:rPr>
        <w:t xml:space="preserve"> for every context </w:t>
      </w:r>
      <w:r>
        <w:rPr>
          <w:rFonts w:ascii="Times New Roman" w:hAnsi="Times New Roman"/>
        </w:rPr>
        <w:t xml:space="preserve">, then </w:t>
      </w:r>
      <w:r>
        <w:rPr>
          <w:rFonts w:ascii="Times New Roman" w:hAnsi="Times New Roman"/>
        </w:rPr>
        <w:t xml:space="preserve"> for any signal-based metric </w:t>
      </w:r>
      <w:r>
        <w:rPr>
          <w:rFonts w:ascii="Times New Roman" w:hAnsi="Times New Roman"/>
        </w:rPr>
        <w:t xml:space="preserve"> that depends only on the action sequence.</w:t>
      </w:r>
    </w:p>
    <w:p/>
    <w:p>
      <w:r>
        <w:rPr>
          <w:rFonts w:ascii="Times New Roman" w:hAnsi="Times New Roman"/>
          <w:b/>
          <w:sz w:val="24"/>
        </w:rPr>
        <w:t>Proof:</w:t>
      </w:r>
    </w:p>
    <w:p>
      <w:r>
        <w:rPr>
          <w:rFonts w:ascii="Times New Roman" w:hAnsi="Times New Roman"/>
        </w:rPr>
        <w:t xml:space="preserve">If </w:t>
      </w:r>
      <w:r>
        <w:rPr>
          <w:rFonts w:ascii="Times New Roman" w:hAnsi="Times New Roman"/>
        </w:rPr>
        <w:t xml:space="preserve"> for all </w:t>
      </w:r>
      <w:r>
        <w:rPr>
          <w:rFonts w:ascii="Times New Roman" w:hAnsi="Times New Roman"/>
        </w:rPr>
        <w:t xml:space="preserve">, then the signal sequence is </w:t>
      </w:r>
      <w:r>
        <w:rPr>
          <w:rFonts w:ascii="Times New Roman" w:hAnsi="Times New Roman"/>
        </w:rPr>
        <w:t xml:space="preserve"> for every </w:t>
      </w:r>
      <w:r>
        <w:rPr>
          <w:rFonts w:ascii="Times New Roman" w:hAnsi="Times New Roman"/>
        </w:rPr>
        <w:t>.</w:t>
      </w:r>
    </w:p>
    <w:p>
      <w:r>
        <w:rPr/>
        <w:t>This is identical to the signal sequence generated by the static threshold associated with action k*.</w:t>
      </w:r>
    </w:p>
    <w:p>
      <w:r>
        <w:rPr/>
        <w:t>Therefore, any metric depending only on signals (returns, Sharpe, turnover, etc.) must be identical. This proves the claim.</w:t>
      </w:r>
    </w:p>
    <w:p>
      <w:r>
        <w:rPr/>
        <w:t>Corollary 3.1. If π collapses to action k* on target T, then:</w:t>
      </w:r>
    </w:p>
    <w:p>
      <w:r>
        <w:rPr>
          <w:rFonts w:ascii="Times New Roman" w:hAnsi="Times New Roman"/>
        </w:rPr>
        <w:t xml:space="preserve">Sharpe ratio matches: </w:t>
      </w:r>
      <w:r>
        <w:rPr>
          <w:rFonts w:ascii="Times New Roman" w:hAnsi="Times New Roman"/>
        </w:rPr>
        <w:t>.</w:t>
      </w:r>
    </w:p>
    <w:p>
      <w:r>
        <w:rPr>
          <w:rFonts w:ascii="Times New Roman" w:hAnsi="Times New Roman"/>
        </w:rPr>
        <w:t xml:space="preserve">Returns match: </w:t>
      </w:r>
      <w:r>
        <w:rPr>
          <w:rFonts w:ascii="Times New Roman" w:hAnsi="Times New Roman"/>
        </w:rPr>
        <w:t>.</w:t>
      </w:r>
    </w:p>
    <w:p>
      <w:r>
        <w:rPr>
          <w:rFonts w:ascii="Times New Roman" w:hAnsi="Times New Roman"/>
        </w:rPr>
        <w:t xml:space="preserve">Turnover matches: </w:t>
      </w:r>
      <w:r>
        <w:rPr>
          <w:rFonts w:ascii="Times New Roman" w:hAnsi="Times New Roman"/>
        </w:rPr>
        <w:t>.</w:t>
      </w:r>
    </w:p>
    <w:p>
      <w:r>
        <w:rPr>
          <w:rFonts w:ascii="Times New Roman" w:hAnsi="Times New Roman"/>
          <w:b/>
          <w:sz w:val="24"/>
        </w:rPr>
        <w:t>Testing Behavioral Equivalence:</w:t>
      </w:r>
      <w:r>
        <w:rPr>
          <w:rFonts w:ascii="Times New Roman" w:hAnsi="Times New Roman"/>
          <w:sz w:val="24"/>
        </w:rPr>
        <w:t xml:space="preserve"> To verify that a policy has collapsed to a static threshold, we recommend checking:</w:t>
      </w:r>
    </w:p>
    <w:p/>
    <w:p/>
    <w:p/>
    <w:p/>
    <w:p>
      <w:r>
        <w:rPr>
          <w:rFonts w:ascii="Times New Roman" w:hAnsi="Times New Roman"/>
          <w:i/>
          <w:sz w:val="22"/>
        </w:rPr>
        <w:t>Note: SignalMatch and HammingDistance are complementary measures. ExposureGap and TurnoverGap are auxiliary diagnostics only: small gaps do not by themselves establish behavioral equivalence. We classify approximate behavioral equivalence when SignalMatch(π, τ*) &gt; 0.99 (equivalently, HammingDistance(π, τ*) &lt; 0.01), with ExposureGap and TurnoverGap reported as supporting checks.</w:t>
      </w:r>
    </w:p>
    <w:p>
      <w:r>
        <w:rPr>
          <w:rFonts w:ascii="Times New Roman" w:hAnsi="Times New Roman"/>
          <w:sz w:val="24"/>
        </w:rPr>
        <w:t>5.4 Practical Diagnostic Rules</w:t>
      </w:r>
    </w:p>
    <w:p>
      <w:r>
        <w:rPr>
          <w:rFonts w:ascii="Times New Roman" w:hAnsi="Times New Roman"/>
          <w:sz w:val="24"/>
        </w:rPr>
        <w:t>Based on the theoretical analysis and empirical findings, we propose the following diagnostic rules:</w:t>
      </w:r>
    </w:p>
    <w:p>
      <w:r>
        <w:rPr>
          <w:rFonts w:ascii="Times New Roman" w:hAnsi="Times New Roman"/>
          <w:b/>
          <w:sz w:val="24"/>
        </w:rPr>
        <w:t>Rule 1 (Source Screening):</w:t>
      </w:r>
      <w:r>
        <w:rPr>
          <w:rFonts w:ascii="Times New Roman" w:hAnsi="Times New Roman"/>
          <w:sz w:val="24"/>
        </w:rPr>
        <w:t xml:space="preserve"> Before transferring a policy, compute the source-side modal share:</w:t>
      </w:r>
    </w:p>
    <w:p>
      <w:pPr>
        <w:jc w:val="center"/>
      </w:pPr>
    </w:p>
    <w:p>
      <w:r>
        <w:rPr>
          <w:rFonts w:ascii="Times New Roman" w:hAnsi="Times New Roman"/>
        </w:rPr>
        <w:t xml:space="preserve">If </w:t>
      </w:r>
      <w:r>
        <w:rPr>
          <w:rFonts w:ascii="Times New Roman" w:hAnsi="Times New Roman"/>
        </w:rPr>
        <w:t>, the policy is highly likely to collapse on target assets and should be rejected.</w:t>
      </w:r>
    </w:p>
    <w:p>
      <w:r>
        <w:rPr>
          <w:rFonts w:ascii="Times New Roman" w:hAnsi="Times New Roman"/>
          <w:b/>
          <w:sz w:val="24"/>
        </w:rPr>
        <w:t>Rule 2 (Transfer Verification):</w:t>
      </w:r>
      <w:r>
        <w:rPr>
          <w:rFonts w:ascii="Times New Roman" w:hAnsi="Times New Roman"/>
          <w:sz w:val="24"/>
        </w:rPr>
        <w:t xml:space="preserve"> After transferring a policy, verify behavioral equivalence:</w:t>
      </w:r>
    </w:p>
    <w:p>
      <w:pPr>
        <w:jc w:val="center"/>
      </w:pPr>
    </w:p>
    <w:p>
      <w:r>
        <w:rPr>
          <w:rFonts w:ascii="Times New Roman" w:hAnsi="Times New Roman"/>
        </w:rPr>
        <w:t xml:space="preserve">If </w:t>
      </w:r>
      <w:r>
        <w:rPr>
          <w:rFonts w:ascii="Times New Roman" w:hAnsi="Times New Roman"/>
        </w:rPr>
        <w:t>, the policy has effectively collapsed.</w:t>
      </w:r>
    </w:p>
    <w:p>
      <w:r>
        <w:rPr>
          <w:rFonts w:ascii="Times New Roman" w:hAnsi="Times New Roman"/>
          <w:b/>
          <w:sz w:val="24"/>
        </w:rPr>
        <w:t>Rule 3 (Economic Significance):</w:t>
      </w:r>
      <w:r>
        <w:rPr>
          <w:rFonts w:ascii="Times New Roman" w:hAnsi="Times New Roman"/>
          <w:sz w:val="24"/>
        </w:rPr>
        <w:t xml:space="preserve"> Compare the transferred policy against the behavioral-equivalent threshold:</w:t>
      </w:r>
    </w:p>
    <w:p>
      <w:pPr>
        <w:jc w:val="center"/>
      </w:pPr>
    </w:p>
    <w:p>
      <w:r>
        <w:rPr>
          <w:rFonts w:ascii="Times New Roman" w:hAnsi="Times New Roman"/>
        </w:rPr>
        <w:t xml:space="preserve">If </w:t>
      </w:r>
      <w:r>
        <w:rPr>
          <w:rFonts w:ascii="Times New Roman" w:hAnsi="Times New Roman"/>
        </w:rPr>
        <w:t xml:space="preserve"> and turnover is similar, the policy provides no contextual benefit.</w:t>
      </w:r>
    </w:p>
    <w:p>
      <w:r>
        <w:rPr>
          <w:rFonts w:ascii="Times New Roman" w:hAnsi="Times New Roman"/>
          <w:sz w:val="24"/>
        </w:rPr>
        <w:t>5.5 Summary of Theoretical Claims</w:t>
      </w:r>
    </w:p>
    <w:p>
      <w:r>
        <w:rPr>
          <w:rFonts w:ascii="Times New Roman" w:hAnsi="Times New Roman"/>
          <w:b/>
          <w:sz w:val="24"/>
        </w:rPr>
        <w:t>What we claim:</w:t>
      </w:r>
    </w:p>
    <w:p>
      <w:r>
        <w:rPr>
          <w:rFonts w:ascii="Times New Roman" w:hAnsi="Times New Roman"/>
          <w:sz w:val="24"/>
        </w:rPr>
        <w:t>Source-side action concentration is empirically associated with target-side collapse (Proposition 1).</w:t>
      </w:r>
    </w:p>
    <w:p>
      <w:r>
        <w:rPr>
          <w:rFonts w:ascii="Times New Roman" w:hAnsi="Times New Roman"/>
          <w:sz w:val="24"/>
        </w:rPr>
        <w:t>Linear scoring policies have convex polyhedral decision regions (Proposition 2).</w:t>
      </w:r>
    </w:p>
    <w:p>
      <w:r>
        <w:rPr>
          <w:rFonts w:ascii="Times New Roman" w:hAnsi="Times New Roman"/>
          <w:sz w:val="24"/>
        </w:rPr>
        <w:t>Collapsed policies are behaviorally equivalent to static thresholds (Proposition 3).</w:t>
      </w:r>
    </w:p>
    <w:p>
      <w:r>
        <w:rPr>
          <w:rFonts w:ascii="Times New Roman" w:hAnsi="Times New Roman"/>
          <w:sz w:val="24"/>
        </w:rPr>
        <w:t>Practical diagnostic rules can detect collapse before deployment.</w:t>
      </w:r>
    </w:p>
    <w:p>
      <w:r>
        <w:rPr>
          <w:rFonts w:ascii="Times New Roman" w:hAnsi="Times New Roman"/>
          <w:b/>
          <w:sz w:val="24"/>
        </w:rPr>
        <w:t>What we do NOT claim:</w:t>
      </w:r>
    </w:p>
    <w:p>
      <w:r>
        <w:rPr>
          <w:rFonts w:ascii="Times New Roman" w:hAnsi="Times New Roman"/>
          <w:sz w:val="24"/>
        </w:rPr>
        <w:t>Source diversity is a universal theoretical necessity for transfer success under all environments.</w:t>
      </w:r>
    </w:p>
    <w:p>
      <w:r>
        <w:rPr>
          <w:rFonts w:ascii="Times New Roman" w:hAnsi="Times New Roman"/>
          <w:sz w:val="24"/>
        </w:rPr>
        <w:t>Full LinUCB policies have strictly polyhedral decision regions.</w:t>
      </w:r>
    </w:p>
    <w:p>
      <w:r>
        <w:rPr>
          <w:rFonts w:ascii="Times New Roman" w:hAnsi="Times New Roman"/>
          <w:sz w:val="24"/>
        </w:rPr>
        <w:t>Sharpe ratio equality implies behavioral equivalence.</w:t>
      </w:r>
    </w:p>
    <w:p>
      <w:r>
        <w:rPr>
          <w:rFonts w:ascii="Times New Roman" w:hAnsi="Times New Roman"/>
          <w:sz w:val="24"/>
        </w:rPr>
        <w:t>The findings generalize beyond our experimental setting without empirical verification.</w:t>
      </w:r>
    </w:p>
    <w:p>
      <w:r>
        <w:rPr>
          <w:rFonts w:ascii="Times New Roman" w:hAnsi="Times New Roman"/>
          <w:sz w:val="24"/>
        </w:rPr>
        <w:t>6. Experimental Design</w:t>
      </w:r>
    </w:p>
    <w:p>
      <w:r>
        <w:rPr>
          <w:rFonts w:ascii="Times New Roman" w:hAnsi="Times New Roman"/>
          <w:sz w:val="24"/>
        </w:rPr>
        <w:t>6.1 Data</w:t>
      </w:r>
    </w:p>
    <w:p>
      <w:r>
        <w:rPr>
          <w:rFonts w:ascii="Times New Roman" w:hAnsi="Times New Roman"/>
          <w:sz w:val="24"/>
        </w:rPr>
        <w:t>6.1.1 Asset Universe</w:t>
      </w:r>
    </w:p>
    <w:p>
      <w:r>
        <w:rPr>
          <w:rFonts w:ascii="Times New Roman" w:hAnsi="Times New Roman"/>
          <w:b/>
          <w:sz w:val="24"/>
        </w:rPr>
        <w:t>Source Assets (6):</w:t>
      </w:r>
    </w:p>
    <w:p>
      <w:r>
        <w:rPr>
          <w:rFonts w:ascii="Times New Roman" w:hAnsi="Times New Roman"/>
          <w:b/>
          <w:sz w:val="24"/>
        </w:rPr>
        <w:t>SPY:</w:t>
      </w:r>
      <w:r>
        <w:rPr>
          <w:rFonts w:ascii="Times New Roman" w:hAnsi="Times New Roman"/>
          <w:sz w:val="24"/>
        </w:rPr>
        <w:t xml:space="preserve"> SPDR S&amp;P 500 ETF Trust</w:t>
      </w:r>
    </w:p>
    <w:p>
      <w:r>
        <w:rPr>
          <w:rFonts w:ascii="Times New Roman" w:hAnsi="Times New Roman"/>
          <w:b/>
          <w:sz w:val="24"/>
        </w:rPr>
        <w:t>QQQ:</w:t>
      </w:r>
      <w:r>
        <w:rPr>
          <w:rFonts w:ascii="Times New Roman" w:hAnsi="Times New Roman"/>
          <w:sz w:val="24"/>
        </w:rPr>
        <w:t xml:space="preserve"> Invesco QQQ Trust</w:t>
      </w:r>
    </w:p>
    <w:p>
      <w:r>
        <w:rPr>
          <w:rFonts w:ascii="Times New Roman" w:hAnsi="Times New Roman"/>
          <w:b/>
          <w:sz w:val="24"/>
        </w:rPr>
        <w:t>IWM:</w:t>
      </w:r>
      <w:r>
        <w:rPr>
          <w:rFonts w:ascii="Times New Roman" w:hAnsi="Times New Roman"/>
          <w:sz w:val="24"/>
        </w:rPr>
        <w:t xml:space="preserve"> iShares Russell 2000 ETF</w:t>
      </w:r>
    </w:p>
    <w:p>
      <w:r>
        <w:rPr>
          <w:rFonts w:ascii="Times New Roman" w:hAnsi="Times New Roman"/>
          <w:b/>
          <w:sz w:val="24"/>
        </w:rPr>
        <w:t>EEM:</w:t>
      </w:r>
      <w:r>
        <w:rPr>
          <w:rFonts w:ascii="Times New Roman" w:hAnsi="Times New Roman"/>
          <w:sz w:val="24"/>
        </w:rPr>
        <w:t xml:space="preserve"> iShares MSCI Emerging Markets ETF</w:t>
      </w:r>
    </w:p>
    <w:p>
      <w:r>
        <w:rPr>
          <w:rFonts w:ascii="Times New Roman" w:hAnsi="Times New Roman"/>
          <w:b/>
          <w:sz w:val="24"/>
        </w:rPr>
        <w:t>TLT:</w:t>
      </w:r>
      <w:r>
        <w:rPr>
          <w:rFonts w:ascii="Times New Roman" w:hAnsi="Times New Roman"/>
          <w:sz w:val="24"/>
        </w:rPr>
        <w:t xml:space="preserve"> iShares 20+ Year Treasury Bond ETF</w:t>
      </w:r>
    </w:p>
    <w:p>
      <w:r>
        <w:rPr>
          <w:rFonts w:ascii="Times New Roman" w:hAnsi="Times New Roman"/>
          <w:b/>
          <w:sz w:val="24"/>
        </w:rPr>
        <w:t>GLD:</w:t>
      </w:r>
      <w:r>
        <w:rPr>
          <w:rFonts w:ascii="Times New Roman" w:hAnsi="Times New Roman"/>
          <w:sz w:val="24"/>
        </w:rPr>
        <w:t xml:space="preserve"> SPDR Gold Shares</w:t>
      </w:r>
    </w:p>
    <w:p>
      <w:r>
        <w:rPr>
          <w:rFonts w:ascii="Times New Roman" w:hAnsi="Times New Roman"/>
          <w:b/>
          <w:sz w:val="24"/>
        </w:rPr>
        <w:t>Target Assets (39):</w:t>
      </w:r>
    </w:p>
    <w:p>
      <w:r>
        <w:rPr>
          <w:rFonts w:ascii="Times New Roman" w:hAnsi="Times New Roman"/>
          <w:i/>
          <w:sz w:val="24"/>
        </w:rPr>
        <w:t>US Equity ETFs (11):</w:t>
      </w:r>
      <w:r>
        <w:rPr>
          <w:rFonts w:ascii="Times New Roman" w:hAnsi="Times New Roman"/>
          <w:sz w:val="24"/>
        </w:rPr>
        <w:t xml:space="preserve"> VTI, VOO, IVV, SCHB, SPTM, ITOT, VONE, IWB, SCHX, MGC, SPLG</w:t>
      </w:r>
    </w:p>
    <w:p>
      <w:r>
        <w:rPr>
          <w:rFonts w:ascii="Times New Roman" w:hAnsi="Times New Roman"/>
          <w:i/>
          <w:sz w:val="24"/>
        </w:rPr>
        <w:t>International Equity ETFs (7):</w:t>
      </w:r>
      <w:r>
        <w:rPr>
          <w:rFonts w:ascii="Times New Roman" w:hAnsi="Times New Roman"/>
          <w:sz w:val="24"/>
        </w:rPr>
        <w:t xml:space="preserve"> EFA, EFG, IEFA, SCHF, VEA, IEUR, SPDW</w:t>
      </w:r>
    </w:p>
    <w:p>
      <w:r>
        <w:rPr>
          <w:rFonts w:ascii="Times New Roman" w:hAnsi="Times New Roman"/>
          <w:i/>
          <w:sz w:val="24"/>
        </w:rPr>
        <w:t>Fixed Income ETFs (6):</w:t>
      </w:r>
      <w:r>
        <w:rPr>
          <w:rFonts w:ascii="Times New Roman" w:hAnsi="Times New Roman"/>
          <w:sz w:val="24"/>
        </w:rPr>
        <w:t xml:space="preserve"> AGG, BND, SCHZ, VTEB, MUB, LQD</w:t>
      </w:r>
    </w:p>
    <w:p>
      <w:r>
        <w:rPr>
          <w:rFonts w:ascii="Times New Roman" w:hAnsi="Times New Roman"/>
          <w:i/>
          <w:sz w:val="24"/>
        </w:rPr>
        <w:t>Commodity ETFs (5):</w:t>
      </w:r>
      <w:r>
        <w:rPr>
          <w:rFonts w:ascii="Times New Roman" w:hAnsi="Times New Roman"/>
          <w:sz w:val="24"/>
        </w:rPr>
        <w:t xml:space="preserve"> DBC, GSG, PDBC, USO, UNG</w:t>
      </w:r>
    </w:p>
    <w:p>
      <w:r>
        <w:rPr>
          <w:rFonts w:ascii="Times New Roman" w:hAnsi="Times New Roman"/>
          <w:i/>
          <w:sz w:val="24"/>
        </w:rPr>
        <w:t>Real Estate ETFs (3):</w:t>
      </w:r>
      <w:r>
        <w:rPr>
          <w:rFonts w:ascii="Times New Roman" w:hAnsi="Times New Roman"/>
          <w:sz w:val="24"/>
        </w:rPr>
        <w:t xml:space="preserve"> VNQ, IYR, SCHH</w:t>
      </w:r>
    </w:p>
    <w:p>
      <w:r>
        <w:rPr>
          <w:rFonts w:ascii="Times New Roman" w:hAnsi="Times New Roman"/>
          <w:i/>
          <w:sz w:val="24"/>
        </w:rPr>
        <w:t>Currency ETFs (3):</w:t>
      </w:r>
      <w:r>
        <w:rPr>
          <w:rFonts w:ascii="Times New Roman" w:hAnsi="Times New Roman"/>
          <w:sz w:val="24"/>
        </w:rPr>
        <w:t xml:space="preserve"> UUP, FXE, FXY</w:t>
      </w:r>
    </w:p>
    <w:p>
      <w:r>
        <w:rPr>
          <w:rFonts w:ascii="Times New Roman" w:hAnsi="Times New Roman"/>
          <w:i/>
          <w:sz w:val="24"/>
        </w:rPr>
        <w:t>Crypto Assets (4):</w:t>
      </w:r>
      <w:r>
        <w:rPr>
          <w:rFonts w:ascii="Times New Roman" w:hAnsi="Times New Roman"/>
          <w:sz w:val="24"/>
        </w:rPr>
        <w:t xml:space="preserve"> BTC-USD, ETH-USD, LTC-USD, XRP-USD</w:t>
      </w:r>
    </w:p>
    <w:p>
      <w:r>
        <w:rPr>
          <w:rFonts w:ascii="Times New Roman" w:hAnsi="Times New Roman"/>
          <w:sz w:val="24"/>
        </w:rPr>
        <w:t>6.1.2 Data Sources and Access</w:t>
      </w:r>
    </w:p>
    <w:p>
      <w:r>
        <w:rPr>
          <w:rFonts w:ascii="Times New Roman" w:hAnsi="Times New Roman"/>
          <w:b/>
          <w:sz w:val="24"/>
        </w:rPr>
        <w:t>Equity/ETF Data:</w:t>
      </w:r>
      <w:r>
        <w:rPr>
          <w:rFonts w:ascii="Times New Roman" w:hAnsi="Times New Roman"/>
          <w:sz w:val="24"/>
        </w:rPr>
        <w:t xml:space="preserve"> Yahoo Finance API (Adjusted close prices)</w:t>
      </w:r>
    </w:p>
    <w:p>
      <w:r>
        <w:rPr>
          <w:rFonts w:ascii="Times New Roman" w:hAnsi="Times New Roman"/>
        </w:rPr>
        <w:t>Cryptocurrency Data: Public Yahoo Finance and CoinGecko</w:t>
      </w:r>
    </w:p>
    <w:p>
      <w:r>
        <w:rPr>
          <w:rFonts w:ascii="Times New Roman" w:hAnsi="Times New Roman"/>
          <w:b/>
          <w:sz w:val="24"/>
        </w:rPr>
        <w:t>Access Date:</w:t>
      </w:r>
      <w:r>
        <w:rPr>
          <w:rFonts w:ascii="Times New Roman" w:hAnsi="Times New Roman"/>
          <w:sz w:val="24"/>
        </w:rPr>
        <w:t xml:space="preserve"> January 15, 2026</w:t>
      </w:r>
    </w:p>
    <w:p>
      <w:r>
        <w:rPr>
          <w:rFonts w:ascii="Times New Roman" w:hAnsi="Times New Roman"/>
          <w:b/>
          <w:sz w:val="24"/>
        </w:rPr>
        <w:t>Data Period:</w:t>
      </w:r>
      <w:r>
        <w:rPr>
          <w:rFonts w:ascii="Times New Roman" w:hAnsi="Times New Roman"/>
          <w:sz w:val="24"/>
        </w:rPr>
        <w:t xml:space="preserve"> January 1, 2015 – December 31, 2024</w:t>
      </w:r>
    </w:p>
    <w:p>
      <w:r>
        <w:rPr>
          <w:rFonts w:ascii="Times New Roman" w:hAnsi="Times New Roman"/>
          <w:b/>
          <w:sz w:val="24"/>
        </w:rPr>
        <w:t>Frequency:</w:t>
      </w:r>
      <w:r>
        <w:rPr>
          <w:rFonts w:ascii="Times New Roman" w:hAnsi="Times New Roman"/>
          <w:sz w:val="24"/>
        </w:rPr>
        <w:t xml:space="preserve"> Daily (close-to-close returns)</w:t>
      </w:r>
    </w:p>
    <w:p>
      <w:r>
        <w:rPr>
          <w:rFonts w:ascii="Times New Roman" w:hAnsi="Times New Roman"/>
          <w:sz w:val="24"/>
        </w:rPr>
        <w:t>6.1.3 Data Processing</w:t>
      </w:r>
    </w:p>
    <w:p>
      <w:r>
        <w:rPr>
          <w:rFonts w:ascii="Times New Roman" w:hAnsi="Times New Roman"/>
          <w:b/>
          <w:sz w:val="24"/>
        </w:rPr>
        <w:t>Price Adjustments:</w:t>
      </w:r>
      <w:r>
        <w:rPr>
          <w:rFonts w:ascii="Times New Roman" w:hAnsi="Times New Roman"/>
          <w:sz w:val="24"/>
        </w:rPr>
        <w:t xml:space="preserve"> All prices are adjusted for stock splits and dividends. We use Adjusted Close prices for return computation.</w:t>
      </w:r>
    </w:p>
    <w:p>
      <w:r>
        <w:rPr>
          <w:rFonts w:ascii="Times New Roman" w:hAnsi="Times New Roman"/>
          <w:b/>
          <w:sz w:val="24"/>
        </w:rPr>
        <w:t>Missing Values:</w:t>
      </w:r>
      <w:r>
        <w:rPr>
          <w:rFonts w:ascii="Times New Roman" w:hAnsi="Times New Roman"/>
          <w:sz w:val="24"/>
        </w:rPr>
        <w:t xml:space="preserve"> Forward-fill missing values (up to 5 consecutive days). Drop assets with </w:t>
      </w:r>
      <w:r>
        <w:rPr>
          <w:rFonts w:ascii="Times New Roman" w:hAnsi="Times New Roman"/>
          <w:sz w:val="24"/>
        </w:rPr>
        <w:t xml:space="preserve"> missing values in any rolling window.</w:t>
      </w:r>
    </w:p>
    <w:p>
      <w:r>
        <w:rPr>
          <w:rFonts w:ascii="Times New Roman" w:hAnsi="Times New Roman"/>
          <w:b/>
          <w:sz w:val="24"/>
        </w:rPr>
        <w:t>Liquidity Filter:</w:t>
      </w:r>
      <w:r>
        <w:rPr>
          <w:rFonts w:ascii="Times New Roman" w:hAnsi="Times New Roman"/>
          <w:sz w:val="24"/>
        </w:rPr>
        <w:t xml:space="preserve"> Minimum average daily volume of 1 million shares (for ETFs). No volume filter for crypto assets.</w:t>
      </w:r>
    </w:p>
    <w:p>
      <w:r>
        <w:rPr>
          <w:rFonts w:ascii="Times New Roman" w:hAnsi="Times New Roman"/>
          <w:b/>
          <w:sz w:val="24"/>
        </w:rPr>
        <w:t>Calendar Alignment:</w:t>
      </w:r>
      <w:r>
        <w:rPr>
          <w:rFonts w:ascii="Times New Roman" w:hAnsi="Times New Roman"/>
          <w:sz w:val="24"/>
        </w:rPr>
        <w:t xml:space="preserve"> US trading days are used as the reference calendar. Crypto prices are mapped to the nearest US trading day; non-trading days are excluded from analysis.</w:t>
      </w:r>
    </w:p>
    <w:p>
      <w:r>
        <w:rPr>
          <w:rFonts w:ascii="Times New Roman" w:hAnsi="Times New Roman"/>
          <w:sz w:val="24"/>
        </w:rPr>
        <w:t>6.2 Features (20)</w:t>
      </w:r>
    </w:p>
    <w:p>
      <w:r>
        <w:rPr>
          <w:rFonts w:ascii="Times New Roman" w:hAnsi="Times New Roman"/>
          <w:sz w:val="24"/>
        </w:rPr>
        <w:t>6.2.1 Feature Definitions</w:t>
      </w:r>
    </w:p>
    <w:p>
      <w:r>
        <w:rPr>
          <w:rFonts w:ascii="Times New Roman" w:hAnsi="Times New Roman"/>
        </w:rPr>
        <w:t>We compute  technical, volatility, volume, and price-based features for each asset:</w:t>
      </w:r>
    </w:p>
    <w:p>
      <w:r>
        <w:rPr>
          <w:rFonts w:ascii="Times New Roman" w:hAnsi="Times New Roman"/>
          <w:b/>
        </w:rPr>
        <w:t>Multi-Horizon Returns (6):</w:t>
      </w:r>
      <w:r>
        <w:rPr>
          <w:rFonts w:ascii="Times New Roman" w:hAnsi="Times New Roman"/>
        </w:rPr>
        <w:t xml:space="preserve"> Return over the past </w:t>
      </w:r>
      <w:r>
        <w:rPr>
          <w:rFonts w:ascii="Times New Roman" w:hAnsi="Times New Roman"/>
        </w:rPr>
        <w:t xml:space="preserve"> trading days: </w:t>
      </w:r>
      <w:r>
        <w:rPr>
          <w:rFonts w:ascii="Times New Roman" w:hAnsi="Times New Roman"/>
        </w:rPr>
        <w:t>.</w:t>
      </w:r>
    </w:p>
    <w:p>
      <w:r>
        <w:rPr>
          <w:rFonts w:ascii="Times New Roman" w:hAnsi="Times New Roman"/>
          <w:b/>
        </w:rPr>
        <w:t>Realized Volatility (3):</w:t>
      </w:r>
      <w:r>
        <w:rPr>
          <w:rFonts w:ascii="Times New Roman" w:hAnsi="Times New Roman"/>
        </w:rPr>
        <w:t xml:space="preserve"> For </w:t>
      </w:r>
      <w:r>
        <w:rPr>
          <w:rFonts w:ascii="Times New Roman" w:hAnsi="Times New Roman"/>
        </w:rPr>
        <w:t xml:space="preserve">, </w:t>
      </w:r>
      <w:r>
        <w:rPr>
          <w:rFonts w:ascii="Times New Roman" w:hAnsi="Times New Roman"/>
        </w:rPr>
        <w:t>.</w:t>
      </w:r>
    </w:p>
    <w:p>
      <w:r>
        <w:rPr>
          <w:rFonts w:ascii="Times New Roman" w:hAnsi="Times New Roman"/>
          <w:b/>
        </w:rPr>
        <w:t>Volatility Ratio (1):</w:t>
      </w:r>
      <w:r>
        <w:rPr>
          <w:rFonts w:ascii="Times New Roman" w:hAnsi="Times New Roman"/>
        </w:rPr>
        <w:t xml:space="preserve"> </w:t>
      </w:r>
      <w:r>
        <w:rPr>
          <w:rFonts w:ascii="Times New Roman" w:hAnsi="Times New Roman"/>
        </w:rPr>
        <w:t>.</w:t>
      </w:r>
    </w:p>
    <w:p>
      <w:r>
        <w:rPr>
          <w:rFonts w:ascii="Times New Roman" w:hAnsi="Times New Roman"/>
          <w:b/>
        </w:rPr>
        <w:t>SMA Ratios (2):</w:t>
      </w:r>
      <w:r>
        <w:rPr>
          <w:rFonts w:ascii="Times New Roman" w:hAnsi="Times New Roman"/>
        </w:rPr>
        <w:t xml:space="preserve"> For </w:t>
      </w:r>
      <w:r>
        <w:rPr>
          <w:rFonts w:ascii="Times New Roman" w:hAnsi="Times New Roman"/>
        </w:rPr>
        <w:t xml:space="preserve">, </w:t>
      </w:r>
      <w:r>
        <w:rPr>
          <w:rFonts w:ascii="Times New Roman" w:hAnsi="Times New Roman"/>
        </w:rPr>
        <w:t>.</w:t>
      </w:r>
    </w:p>
    <w:p>
      <w:r>
        <w:rPr>
          <w:rFonts w:ascii="Times New Roman" w:hAnsi="Times New Roman"/>
          <w:b/>
          <w:sz w:val="24"/>
        </w:rPr>
        <w:t>RSI (1):</w:t>
      </w:r>
      <w:r>
        <w:rPr>
          <w:rFonts w:ascii="Times New Roman" w:hAnsi="Times New Roman"/>
          <w:sz w:val="24"/>
        </w:rPr>
        <w:t xml:space="preserve"> 14-day Relative Strength Index.</w:t>
      </w:r>
    </w:p>
    <w:p>
      <w:r>
        <w:rPr>
          <w:rFonts w:ascii="Times New Roman" w:hAnsi="Times New Roman"/>
          <w:b/>
          <w:sz w:val="24"/>
        </w:rPr>
        <w:t>MACD (1):</w:t>
      </w:r>
      <w:r>
        <w:rPr>
          <w:rFonts w:ascii="Times New Roman" w:hAnsi="Times New Roman"/>
          <w:sz w:val="24"/>
        </w:rPr>
        <w:t xml:space="preserve"> Moving Average Convergence Divergence.</w:t>
      </w:r>
    </w:p>
    <w:p>
      <w:r>
        <w:rPr>
          <w:rFonts w:ascii="Times New Roman" w:hAnsi="Times New Roman"/>
          <w:b/>
          <w:sz w:val="24"/>
        </w:rPr>
        <w:t>Bollinger Bands (2):</w:t>
      </w:r>
      <w:r>
        <w:rPr>
          <w:rFonts w:ascii="Times New Roman" w:hAnsi="Times New Roman"/>
          <w:sz w:val="24"/>
        </w:rPr>
        <w:t xml:space="preserve"> Distance from upper and lower Bollinger Bands (20-day, 2 std).</w:t>
      </w:r>
    </w:p>
    <w:p>
      <w:r>
        <w:rPr>
          <w:rFonts w:ascii="Times New Roman" w:hAnsi="Times New Roman"/>
          <w:b/>
          <w:sz w:val="24"/>
        </w:rPr>
        <w:t>Volume Features (2):</w:t>
      </w:r>
      <w:r>
        <w:rPr>
          <w:rFonts w:ascii="Times New Roman" w:hAnsi="Times New Roman"/>
          <w:sz w:val="24"/>
        </w:rPr>
        <w:t xml:space="preserve"> Volume relative to 20-day average, and 20-day volume volatility.</w:t>
      </w:r>
    </w:p>
    <w:p>
      <w:r>
        <w:rPr>
          <w:rFonts w:ascii="Times New Roman" w:hAnsi="Times New Roman"/>
          <w:b/>
          <w:sz w:val="24"/>
        </w:rPr>
        <w:t>Microstructure Features (2):</w:t>
      </w:r>
      <w:r>
        <w:rPr>
          <w:rFonts w:ascii="Times New Roman" w:hAnsi="Times New Roman"/>
          <w:sz w:val="24"/>
        </w:rPr>
        <w:t xml:space="preserve"> High-low range relative to close, and close-to-close vs. high-low volatility ratio.</w:t>
      </w:r>
    </w:p>
    <w:p>
      <w:r>
        <w:rPr>
          <w:rFonts w:ascii="Times New Roman" w:hAnsi="Times New Roman"/>
          <w:sz w:val="24"/>
        </w:rPr>
        <w:t>6.2.2 Feature Standardization</w:t>
      </w:r>
    </w:p>
    <w:p>
      <w:r>
        <w:rPr>
          <w:rFonts w:ascii="Times New Roman" w:hAnsi="Times New Roman"/>
        </w:rPr>
        <w:t xml:space="preserve">All features are standardized using rolling </w:t>
      </w:r>
      <w:r>
        <w:rPr>
          <w:rFonts w:ascii="Times New Roman" w:hAnsi="Times New Roman"/>
        </w:rPr>
        <w:t>-scores:</w:t>
      </w:r>
    </w:p>
    <w:p>
      <w:r>
        <w:rPr>
          <w:rFonts w:ascii="Times New Roman" w:hAnsi="Times New Roman"/>
        </w:rPr>
        <w:t xml:space="preserve">Here, </w:t>
      </w:r>
      <w:r>
        <w:rPr>
          <w:rFonts w:ascii="Times New Roman" w:hAnsi="Times New Roman"/>
        </w:rPr>
        <w:t xml:space="preserve"> and </w:t>
      </w:r>
      <w:r>
        <w:rPr>
          <w:rFonts w:ascii="Times New Roman" w:hAnsi="Times New Roman"/>
        </w:rPr>
        <w:t xml:space="preserve"> are the rolling mean and standard deviation of feature </w:t>
      </w:r>
      <w:r>
        <w:rPr>
          <w:rFonts w:ascii="Times New Roman" w:hAnsi="Times New Roman"/>
        </w:rPr>
        <w:t xml:space="preserve"> over the previous 252 trading days.</w:t>
      </w:r>
    </w:p>
    <w:p>
      <w:r>
        <w:rPr>
          <w:rFonts w:ascii="Times New Roman" w:hAnsi="Times New Roman"/>
          <w:b/>
          <w:sz w:val="24"/>
        </w:rPr>
        <w:t>Look-Ahead Prevention:</w:t>
      </w:r>
      <w:r>
        <w:rPr>
          <w:rFonts w:ascii="Times New Roman" w:hAnsi="Times New Roman"/>
          <w:sz w:val="24"/>
        </w:rPr>
        <w:t xml:space="preserve"> All features use only past data (no future information). Standardization uses an expanding window for the first </w:t>
      </w:r>
      <w:r>
        <w:rPr>
          <w:rFonts w:ascii="Times New Roman" w:hAnsi="Times New Roman"/>
          <w:sz w:val="24"/>
        </w:rPr>
        <w:t xml:space="preserve"> days.</w:t>
      </w:r>
    </w:p>
    <w:p>
      <w:r>
        <w:rPr>
          <w:rFonts w:ascii="Times New Roman" w:hAnsi="Times New Roman"/>
          <w:sz w:val="24"/>
        </w:rPr>
        <w:t>6.2.3 Context Features for LinUCB</w:t>
      </w:r>
    </w:p>
    <w:p>
      <w:r>
        <w:rPr>
          <w:rFonts w:ascii="Times New Roman" w:hAnsi="Times New Roman"/>
          <w:sz w:val="24"/>
        </w:rPr>
        <w:t>The 3 context features for the bandit are:</w:t>
      </w:r>
    </w:p>
    <w:p>
      <w:r>
        <w:rPr>
          <w:rFonts w:ascii="Times New Roman" w:hAnsi="Times New Roman"/>
        </w:rPr>
        <w:t>Empirical Mode Decomposition (EMD) Trend: First intrinsic mode function of the rolling window of price observations computed using Empirical Mode Decomposition to capture short-term momentum.</w:t>
      </w:r>
    </w:p>
    <w:p>
      <w:r>
        <w:rPr>
          <w:rFonts w:ascii="Times New Roman" w:hAnsi="Times New Roman"/>
          <w:b/>
          <w:sz w:val="24"/>
        </w:rPr>
        <w:t>Volatility Quantile:</w:t>
      </w:r>
      <w:r>
        <w:rPr>
          <w:rFonts w:ascii="Times New Roman" w:hAnsi="Times New Roman"/>
          <w:sz w:val="24"/>
        </w:rPr>
        <w:t xml:space="preserve"> Current volatility relative to historical distribution, computed as a percentile rank over a 252-day rolling window to identify regimes.</w:t>
      </w:r>
    </w:p>
    <w:p>
      <w:r>
        <w:rPr>
          <w:rFonts w:ascii="Times New Roman" w:hAnsi="Times New Roman"/>
          <w:b/>
          <w:sz w:val="24"/>
        </w:rPr>
        <w:t>Trend Strength:</w:t>
      </w:r>
      <w:r>
        <w:rPr>
          <w:rFonts w:ascii="Times New Roman" w:hAnsi="Times New Roman"/>
          <w:sz w:val="24"/>
        </w:rPr>
        <w:t xml:space="preserve"> Consistency of recent price movements, computed as the ratio of directional movement to total movement.</w:t>
      </w:r>
    </w:p>
    <w:p>
      <w:r>
        <w:rPr>
          <w:rFonts w:ascii="Times New Roman" w:hAnsi="Times New Roman"/>
          <w:sz w:val="24"/>
        </w:rPr>
        <w:t>6.3 Protocol</w:t>
      </w:r>
    </w:p>
    <w:p>
      <w:r>
        <w:rPr>
          <w:rFonts w:ascii="Times New Roman" w:hAnsi="Times New Roman"/>
          <w:sz w:val="24"/>
        </w:rPr>
        <w:t>6.3.1 Walk-Forward Validation</w:t>
      </w:r>
    </w:p>
    <w:p>
      <w:r>
        <w:rPr>
          <w:rFonts w:ascii="Times New Roman" w:hAnsi="Times New Roman"/>
          <w:b/>
          <w:sz w:val="24"/>
        </w:rPr>
        <w:t>Training Window:</w:t>
      </w:r>
      <w:r>
        <w:rPr>
          <w:rFonts w:ascii="Times New Roman" w:hAnsi="Times New Roman"/>
          <w:sz w:val="24"/>
        </w:rPr>
        <w:t xml:space="preserve"> </w:t>
      </w:r>
    </w:p>
    <w:p>
      <w:r>
        <w:rPr>
          <w:rFonts w:ascii="Times New Roman" w:hAnsi="Times New Roman"/>
          <w:b/>
          <w:sz w:val="24"/>
        </w:rPr>
        <w:t>Test Window:</w:t>
      </w:r>
      <w:r>
        <w:rPr>
          <w:rFonts w:ascii="Times New Roman" w:hAnsi="Times New Roman"/>
          <w:sz w:val="24"/>
        </w:rPr>
        <w:t xml:space="preserve"> </w:t>
      </w:r>
    </w:p>
    <w:p>
      <w:r>
        <w:rPr/>
        <w:t>Step Size: 63 trading days.</w:t>
      </w:r>
    </w:p>
    <w:p>
      <w:r>
        <w:rPr/>
        <w:t>Procedure: Train the GBT on days t−503,…,t; generate predictions for days t+1,…,t+63; then step forward by 63 days and repeat.</w:t>
      </w:r>
    </w:p>
    <w:p>
      <w:r>
        <w:rPr>
          <w:rFonts w:ascii="Times New Roman" w:hAnsi="Times New Roman"/>
          <w:sz w:val="24"/>
        </w:rPr>
        <w:t>6.3.2 GBT Predictor</w:t>
      </w:r>
    </w:p>
    <w:p>
      <w:r>
        <w:rPr>
          <w:rFonts w:ascii="Times New Roman" w:hAnsi="Times New Roman"/>
          <w:b/>
          <w:sz w:val="24"/>
        </w:rPr>
        <w:t>Algorithm:</w:t>
      </w:r>
      <w:r>
        <w:rPr>
          <w:rFonts w:ascii="Times New Roman" w:hAnsi="Times New Roman"/>
          <w:sz w:val="24"/>
        </w:rPr>
        <w:t xml:space="preserve"> XGBoost (Gradient Boosted Trees)</w:t>
      </w:r>
    </w:p>
    <w:p>
      <w:r>
        <w:rPr>
          <w:rFonts w:ascii="Times New Roman" w:hAnsi="Times New Roman"/>
          <w:b/>
          <w:sz w:val="24"/>
        </w:rPr>
        <w:t>Hyperparameters:</w:t>
      </w:r>
      <w:r>
        <w:rPr>
          <w:rFonts w:ascii="Times New Roman" w:hAnsi="Times New Roman"/>
          <w:sz w:val="24"/>
        </w:rPr>
        <w:t xml:space="preserve"> n_estimators: 100, max_depth: 5, learning_rate: 0.1, subsample: 0.8, colsample_bytree: 0.8, min_child_weight: 5, random_state: 42.</w:t>
      </w:r>
    </w:p>
    <w:p>
      <w:r>
        <w:rPr>
          <w:rFonts w:ascii="Times New Roman" w:hAnsi="Times New Roman"/>
        </w:rPr>
        <w:t xml:space="preserve">Label Definition: </w:t>
      </w:r>
      <w:r>
        <w:rPr>
          <w:rFonts w:ascii="Times New Roman" w:hAnsi="Times New Roman"/>
        </w:rPr>
        <w:t xml:space="preserve">, where </w:t>
      </w:r>
      <w:r>
        <w:rPr>
          <w:rFonts w:ascii="Times New Roman" w:hAnsi="Times New Roman"/>
        </w:rPr>
        <w:t xml:space="preserve"> is the one-month T-bill rate.</w:t>
      </w:r>
    </w:p>
    <w:p>
      <w:r>
        <w:rPr>
          <w:rFonts w:ascii="Times New Roman" w:hAnsi="Times New Roman"/>
        </w:rPr>
        <w:t xml:space="preserve">Prediction Output: </w:t>
      </w:r>
      <w:r>
        <w:rPr>
          <w:rFonts w:ascii="Times New Roman" w:hAnsi="Times New Roman"/>
        </w:rPr>
        <w:t>.</w:t>
      </w:r>
    </w:p>
    <w:p>
      <w:r>
        <w:rPr>
          <w:rFonts w:ascii="Times New Roman" w:hAnsi="Times New Roman"/>
          <w:sz w:val="24"/>
        </w:rPr>
        <w:t>6.3.3 LinUCB Bandit</w:t>
      </w:r>
    </w:p>
    <w:p>
      <w:r>
        <w:rPr>
          <w:rFonts w:ascii="Times New Roman" w:hAnsi="Times New Roman"/>
        </w:rPr>
        <w:t xml:space="preserve">Initialization: </w:t>
      </w:r>
      <w:r>
        <w:rPr>
          <w:rFonts w:ascii="Times New Roman" w:hAnsi="Times New Roman"/>
        </w:rPr>
        <w:t xml:space="preserve"> for each action </w:t>
      </w:r>
      <w:r>
        <w:rPr>
          <w:rFonts w:ascii="Times New Roman" w:hAnsi="Times New Roman"/>
        </w:rPr>
        <w:t>.</w:t>
      </w:r>
    </w:p>
    <w:p>
      <w:r>
        <w:rPr>
          <w:rFonts w:ascii="Times New Roman" w:hAnsi="Times New Roman"/>
        </w:rPr>
        <w:t xml:space="preserve">Action Selection: </w:t>
      </w:r>
      <w:r>
        <w:rPr>
          <w:rFonts w:ascii="Times New Roman" w:hAnsi="Times New Roman"/>
        </w:rPr>
        <w:t xml:space="preserve">, where </w:t>
      </w:r>
      <w:r>
        <w:rPr>
          <w:rFonts w:ascii="Times New Roman" w:hAnsi="Times New Roman"/>
        </w:rPr>
        <w:t>.</w:t>
      </w:r>
    </w:p>
    <w:p>
      <w:r>
        <w:rPr>
          <w:rFonts w:ascii="Times New Roman" w:hAnsi="Times New Roman"/>
        </w:rPr>
        <w:t xml:space="preserve">Update Rule: </w:t>
      </w:r>
      <w:r>
        <w:rPr>
          <w:rFonts w:ascii="Times New Roman" w:hAnsi="Times New Roman"/>
        </w:rPr>
        <w:t xml:space="preserve"> for the selected action </w:t>
      </w:r>
      <w:r>
        <w:rPr>
          <w:rFonts w:ascii="Times New Roman" w:hAnsi="Times New Roman"/>
        </w:rPr>
        <w:t>.</w:t>
      </w:r>
    </w:p>
    <w:p/>
    <w:p>
      <w:r>
        <w:rPr>
          <w:rFonts w:ascii="Times New Roman" w:hAnsi="Times New Roman"/>
        </w:rPr>
        <w:t xml:space="preserve">Reward: </w:t>
      </w:r>
      <w:r>
        <w:rPr>
          <w:rFonts w:ascii="Times New Roman" w:hAnsi="Times New Roman"/>
        </w:rPr>
        <w:t xml:space="preserve">, where </w:t>
      </w:r>
      <w:r>
        <w:rPr>
          <w:rFonts w:ascii="Times New Roman" w:hAnsi="Times New Roman"/>
        </w:rPr>
        <w:t xml:space="preserve"> is the trading signal and </w:t>
      </w:r>
      <w:r>
        <w:rPr>
          <w:rFonts w:ascii="Times New Roman" w:hAnsi="Times New Roman"/>
        </w:rPr>
        <w:t xml:space="preserve"> is the next-day return.</w:t>
      </w:r>
    </w:p>
    <w:p>
      <w:r>
        <w:rPr>
          <w:rFonts w:ascii="Times New Roman" w:hAnsi="Times New Roman"/>
          <w:sz w:val="24"/>
        </w:rPr>
        <w:t>6.3.4 Source Policy Training</w:t>
      </w:r>
    </w:p>
    <w:p>
      <w:r>
        <w:rPr>
          <w:rFonts w:ascii="Times New Roman" w:hAnsi="Times New Roman"/>
        </w:rPr>
        <w:t xml:space="preserve">Train LinUCB on source assets using walk-forward windows, collect actions from all test windows, and compute diversity metrics. After training, freeze the entire bandit state </w:t>
      </w:r>
      <w:r>
        <w:rPr>
          <w:rFonts w:ascii="Times New Roman" w:hAnsi="Times New Roman"/>
        </w:rPr>
        <w:t>. No further learning is allowed on target assets.</w:t>
      </w:r>
    </w:p>
    <w:p>
      <w:r>
        <w:rPr>
          <w:rFonts w:ascii="Times New Roman" w:hAnsi="Times New Roman"/>
          <w:sz w:val="24"/>
        </w:rPr>
        <w:t>6.3.5 Transfer Evaluation</w:t>
      </w:r>
    </w:p>
    <w:p>
      <w:r>
        <w:rPr>
          <w:rFonts w:ascii="Times New Roman" w:hAnsi="Times New Roman"/>
          <w:sz w:val="24"/>
        </w:rPr>
        <w:t>Apply the frozen source policy to target assets, generate signals for all target test windows, and compute performance metrics.</w:t>
      </w:r>
    </w:p>
    <w:p>
      <w:r>
        <w:rPr>
          <w:rFonts w:ascii="Times New Roman" w:hAnsi="Times New Roman"/>
          <w:sz w:val="24"/>
        </w:rPr>
        <w:t>6.4 Execution &amp; Reproducibility</w:t>
      </w:r>
    </w:p>
    <w:p>
      <w:r>
        <w:rPr>
          <w:rFonts w:ascii="Times New Roman" w:hAnsi="Times New Roman"/>
          <w:b/>
          <w:sz w:val="24"/>
        </w:rPr>
        <w:t>Hardware:</w:t>
      </w:r>
      <w:r>
        <w:rPr>
          <w:rFonts w:ascii="Times New Roman" w:hAnsi="Times New Roman"/>
          <w:sz w:val="24"/>
        </w:rPr>
        <w:t xml:space="preserve"> 64 GB RAM, 16 CPU cores. macOS 13.0, Python 3.9.18. Runtime: </w:t>
      </w:r>
      <w:r>
        <w:rPr>
          <w:rFonts w:ascii="宋体" w:hAnsi="宋体"/>
          <w:sz w:val="24"/>
        </w:rPr>
        <w:t>approximately 4–6</w:t>
      </w:r>
    </w:p>
    <w:p>
      <w:r>
        <w:rPr>
          <w:rFonts w:ascii="Times New Roman" w:hAnsi="Times New Roman"/>
          <w:sz w:val="24"/>
        </w:rPr>
        <w:t>hours.</w:t>
      </w:r>
    </w:p>
    <w:p>
      <w:r>
        <w:rPr>
          <w:rFonts w:ascii="Times New Roman" w:hAnsi="Times New Roman"/>
          <w:b/>
          <w:sz w:val="24"/>
        </w:rPr>
        <w:t>Random Seed:</w:t>
      </w:r>
      <w:r>
        <w:rPr>
          <w:rFonts w:ascii="Times New Roman" w:hAnsi="Times New Roman"/>
          <w:sz w:val="24"/>
        </w:rPr>
        <w:t xml:space="preserve"> Set NumPy and XGBoost random_seed = 42.</w:t>
      </w:r>
    </w:p>
    <w:p>
      <w:r>
        <w:rPr>
          <w:rFonts w:ascii="Times New Roman" w:hAnsi="Times New Roman"/>
          <w:b/>
          <w:sz w:val="24"/>
        </w:rPr>
        <w:t>Signal Execution:</w:t>
      </w:r>
      <w:r>
        <w:rPr>
          <w:rFonts w:ascii="Times New Roman" w:hAnsi="Times New Roman"/>
          <w:sz w:val="24"/>
        </w:rPr>
        <w:t xml:space="preserve"> Signals are generated at the close of trading day </w:t>
      </w:r>
      <w:r>
        <w:rPr>
          <w:rFonts w:ascii="Times New Roman" w:hAnsi="Times New Roman"/>
          <w:sz w:val="24"/>
        </w:rPr>
        <w:t xml:space="preserve">; position returns are realized from </w:t>
      </w:r>
      <w:r>
        <w:rPr>
          <w:rFonts w:ascii="Times New Roman" w:hAnsi="Times New Roman"/>
          <w:sz w:val="24"/>
        </w:rPr>
        <w:t xml:space="preserve"> to </w:t>
      </w:r>
      <w:r>
        <w:rPr>
          <w:rFonts w:ascii="Times New Roman" w:hAnsi="Times New Roman"/>
          <w:sz w:val="24"/>
        </w:rPr>
        <w:t>. There is no same-day execution.</w:t>
      </w:r>
    </w:p>
    <w:p>
      <w:r>
        <w:rPr>
          <w:rFonts w:ascii="Times New Roman" w:hAnsi="Times New Roman"/>
          <w:sz w:val="24"/>
        </w:rPr>
        <w:t>7. Results</w:t>
      </w:r>
    </w:p>
    <w:p>
      <w:r>
        <w:rPr>
          <w:rFonts w:ascii="Times New Roman" w:hAnsi="Times New Roman"/>
          <w:sz w:val="24"/>
        </w:rPr>
        <w:t>7.1 Source Diversity During Training</w:t>
      </w:r>
    </w:p>
    <w:p>
      <w:r>
        <w:rPr>
          <w:rFonts w:ascii="Times New Roman" w:hAnsi="Times New Roman"/>
          <w:sz w:val="24"/>
        </w:rPr>
        <w:t>We begin by examining the diversity of policies trained on the six source assets: SPY, QQQ, EEM, IWM, TLT, and GLD. Table 1 reports the source policy diversity metrics computed over the walk-forward test periods.</w:t>
      </w:r>
    </w:p>
    <w:p>
      <w:r>
        <w:rPr>
          <w:rFonts w:ascii="Times New Roman" w:hAnsi="Times New Roman"/>
          <w:sz w:val="24"/>
        </w:rPr>
        <w:t>Table 1: Source Policy Diversity</w:t>
      </w:r>
    </w:p>
    <w:p>
      <w:r>
        <w:rPr>
          <w:rFonts w:ascii="Times New Roman" w:hAnsi="Times New Roman"/>
          <w:i/>
          <w:sz w:val="24"/>
        </w:rPr>
        <w:t>Diversity metrics for policies trained on the six source assets.</w:t>
      </w:r>
    </w:p>
    <w:p/>
    <w:p>
      <w:r>
        <w:rPr>
          <w:rFonts w:ascii="Times New Roman" w:hAnsi="Times New Roman"/>
          <w:sz w:val="24"/>
        </w:rPr>
        <w:t xml:space="preserve">The results reveal a striking pattern: four of the six source policies (SPY, QQQ, EEM, GLD) completely degenerate during training, selecting a single action on </w:t>
      </w:r>
      <w:r>
        <w:rPr>
          <w:rFonts w:ascii="Times New Roman" w:hAnsi="Times New Roman"/>
          <w:sz w:val="24"/>
        </w:rPr>
        <w:t xml:space="preserve"> of test observations. These policies achieve zero normalized entropy and exactly one effective action, indicating complete loss of contextual adaptation.</w:t>
      </w:r>
    </w:p>
    <w:p>
      <w:r>
        <w:rPr>
          <w:rFonts w:ascii="Times New Roman" w:hAnsi="Times New Roman"/>
          <w:sz w:val="24"/>
        </w:rPr>
        <w:t xml:space="preserve">In contrast, the TLT and IWM source policies maintain meaningful diversity. For example, TLT achieves a modal share of </w:t>
      </w:r>
      <w:r>
        <w:rPr>
          <w:rFonts w:ascii="Times New Roman" w:hAnsi="Times New Roman"/>
          <w:sz w:val="24"/>
        </w:rPr>
        <w:t xml:space="preserve">, a normalized entropy of </w:t>
      </w:r>
      <w:r>
        <w:rPr>
          <w:rFonts w:ascii="Times New Roman" w:hAnsi="Times New Roman"/>
          <w:sz w:val="24"/>
        </w:rPr>
        <w:t xml:space="preserve">, and </w:t>
      </w:r>
      <w:r>
        <w:rPr>
          <w:rFonts w:ascii="Times New Roman" w:hAnsi="Times New Roman"/>
          <w:sz w:val="24"/>
        </w:rPr>
        <w:t xml:space="preserve"> effective actions. This suggests that TLT's market dynamics—characterized by interest rate sensitivity and flight-to-quality behavior—provide a richer context for the bandit policy to learn adaptive thresholds.</w:t>
      </w:r>
    </w:p>
    <w:p>
      <w:r>
        <w:rPr>
          <w:rFonts w:ascii="Times New Roman" w:hAnsi="Times New Roman"/>
          <w:sz w:val="24"/>
        </w:rPr>
        <w:t>7.2 Source Diversity Predicts Target Collapse</w:t>
      </w:r>
    </w:p>
    <w:p>
      <w:r>
        <w:rPr>
          <w:rFonts w:ascii="Times New Roman" w:hAnsi="Times New Roman"/>
          <w:sz w:val="24"/>
        </w:rPr>
        <w:t xml:space="preserve">Table 2 reports the collapse rate by source, measuring the percentage of target assets on which each source policy exhibits severe collapse (modal share </w:t>
      </w:r>
      <w:r>
        <w:rPr>
          <w:rFonts w:ascii="Times New Roman" w:hAnsi="Times New Roman"/>
          <w:sz w:val="24"/>
        </w:rPr>
        <w:t xml:space="preserve"> and normalized entropy </w:t>
      </w:r>
      <w:r>
        <w:rPr>
          <w:rFonts w:ascii="Times New Roman" w:hAnsi="Times New Roman"/>
          <w:sz w:val="24"/>
        </w:rPr>
        <w:t>).</w:t>
      </w:r>
    </w:p>
    <w:p>
      <w:r>
        <w:rPr>
          <w:rFonts w:ascii="Times New Roman" w:hAnsi="Times New Roman"/>
          <w:sz w:val="24"/>
        </w:rPr>
        <w:t>Table 2: Source Degeneracy and Target Outcome</w:t>
      </w:r>
    </w:p>
    <w:p>
      <w:r>
        <w:rPr>
          <w:rFonts w:ascii="Times New Roman" w:hAnsi="Times New Roman"/>
          <w:i/>
          <w:sz w:val="24"/>
        </w:rPr>
        <w:t>Collapse outcomes across 228 target transfers (38 target assets per source</w:t>
      </w:r>
      <w:r>
        <w:rPr>
          <w:i/>
          <w:sz w:val="24"/>
        </w:rPr>
        <w:t xml:space="preserve"> </w:t>
      </w:r>
      <w:r>
        <w:rPr>
          <w:rFonts w:ascii="Times New Roman" w:hAnsi="Times New Roman"/>
          <w:i/>
          <w:sz w:val="24"/>
        </w:rPr>
        <w:t>after excluding self</w:t>
      </w:r>
      <w:r>
        <w:rPr>
          <w:rFonts w:ascii="Times New Roman" w:hAnsi="Times New Roman"/>
          <w:i/>
          <w:sz w:val="24"/>
        </w:rPr>
        <w:t>).</w:t>
      </w:r>
    </w:p>
    <w:p>
      <w:r>
        <w:rPr>
          <w:rFonts w:ascii="Times New Roman" w:hAnsi="Times New Roman"/>
          <w:sz w:val="24"/>
        </w:rPr>
        <w:t xml:space="preserve">The results provide strong support for our theoretical prediction: source diversity is associated with successful transfer in our setting. Degenerate sources (SPY, QQQ, EEM, GLD) lead to universal target collapse, with </w:t>
      </w:r>
      <w:r>
        <w:rPr>
          <w:rFonts w:ascii="Times New Roman" w:hAnsi="Times New Roman"/>
          <w:sz w:val="24"/>
        </w:rPr>
        <w:t xml:space="preserve"> of target assets exhibiting severe collapse. The mean modal share on target assets is </w:t>
      </w:r>
      <w:r>
        <w:rPr>
          <w:rFonts w:ascii="Times New Roman" w:hAnsi="Times New Roman"/>
          <w:sz w:val="24"/>
        </w:rPr>
        <w:t>, indicating that the transferred policies select the same action for almost all observations.</w:t>
      </w:r>
    </w:p>
    <w:p>
      <w:r>
        <w:rPr>
          <w:rFonts w:ascii="Times New Roman" w:hAnsi="Times New Roman"/>
          <w:sz w:val="24"/>
        </w:rPr>
        <w:t xml:space="preserve">In contrast, diverse sources (TLT, IWM) maintain contextual adaptation on all target assets, with a </w:t>
      </w:r>
      <w:r>
        <w:rPr>
          <w:rFonts w:ascii="Times New Roman" w:hAnsi="Times New Roman"/>
          <w:sz w:val="24"/>
        </w:rPr>
        <w:t xml:space="preserve"> collapse rate and a mean modal share of </w:t>
      </w:r>
      <w:r>
        <w:rPr>
          <w:rFonts w:ascii="Times New Roman" w:hAnsi="Times New Roman"/>
          <w:sz w:val="24"/>
        </w:rPr>
        <w:t>. These policies continue to select different thresholds based on market conditions, even when deployed on assets with different dynamics.</w:t>
      </w:r>
    </w:p>
    <w:p>
      <w:r>
        <w:rPr>
          <w:rFonts w:ascii="Times New Roman" w:hAnsi="Times New Roman"/>
          <w:sz w:val="24"/>
        </w:rPr>
        <w:t>7.3 TLT Source: Partial Concentration Without Collapse</w:t>
      </w:r>
    </w:p>
    <w:p>
      <w:r>
        <w:rPr>
          <w:rFonts w:ascii="Times New Roman" w:hAnsi="Times New Roman"/>
          <w:sz w:val="24"/>
        </w:rPr>
        <w:t xml:space="preserve">The TLT source policy provides an interesting case study. While it does not collapse on any target (modal shares range from </w:t>
      </w:r>
      <w:r>
        <w:rPr>
          <w:rFonts w:ascii="Times New Roman" w:hAnsi="Times New Roman"/>
          <w:sz w:val="24"/>
        </w:rPr>
        <w:t xml:space="preserve">, all below the </w:t>
      </w:r>
      <w:r>
        <w:rPr>
          <w:rFonts w:ascii="Times New Roman" w:hAnsi="Times New Roman"/>
          <w:sz w:val="24"/>
        </w:rPr>
        <w:t xml:space="preserve"> threshold), it still concentrates significantly on threshold </w:t>
      </w:r>
      <w:r>
        <w:rPr>
          <w:rFonts w:ascii="Times New Roman" w:hAnsi="Times New Roman"/>
          <w:sz w:val="24"/>
        </w:rPr>
        <w:t xml:space="preserve">, selecting this action on </w:t>
      </w:r>
      <w:r>
        <w:rPr>
          <w:rFonts w:ascii="Times New Roman" w:hAnsi="Times New Roman"/>
          <w:sz w:val="24"/>
        </w:rPr>
        <w:t xml:space="preserve"> of observations across all targets.</w:t>
      </w:r>
    </w:p>
    <w:p>
      <w:r>
        <w:rPr>
          <w:rFonts w:ascii="Times New Roman" w:hAnsi="Times New Roman"/>
          <w:sz w:val="24"/>
        </w:rPr>
        <w:t xml:space="preserve">Table 3 reports the performance of the TLT source policy on </w:t>
      </w:r>
      <w:r>
        <w:rPr>
          <w:rFonts w:ascii="Times New Roman" w:hAnsi="Times New Roman"/>
          <w:sz w:val="24"/>
        </w:rPr>
        <w:t xml:space="preserve"> target assets, comparing against the NoGating baseline (static </w:t>
      </w:r>
      <w:r>
        <w:rPr>
          <w:rFonts w:ascii="Times New Roman" w:hAnsi="Times New Roman"/>
          <w:sz w:val="24"/>
        </w:rPr>
        <w:t xml:space="preserve"> threshold) and the behavioral-equivalent baseline (static </w:t>
      </w:r>
      <w:r>
        <w:rPr>
          <w:rFonts w:ascii="Times New Roman" w:hAnsi="Times New Roman"/>
          <w:sz w:val="24"/>
        </w:rPr>
        <w:t xml:space="preserve"> threshold).</w:t>
      </w:r>
    </w:p>
    <w:p>
      <w:r>
        <w:rPr>
          <w:rFonts w:ascii="Times New Roman" w:hAnsi="Times New Roman"/>
          <w:sz w:val="24"/>
        </w:rPr>
        <w:t>Table 3: TLT Source Policy Performance</w:t>
      </w:r>
    </w:p>
    <w:p>
      <w:r>
        <w:rPr>
          <w:rFonts w:ascii="Times New Roman" w:hAnsi="Times New Roman"/>
        </w:rPr>
        <w:t>Table 3 reports the performance of the TLT source policy across 38 evaluated target assets.</w:t>
      </w:r>
    </w:p>
    <w:p>
      <w:r>
        <w:rPr>
          <w:rFonts w:ascii="Times New Roman" w:hAnsi="Times New Roman"/>
          <w:sz w:val="24"/>
        </w:rPr>
        <w:t xml:space="preserve">The TLT source policy modestly improves over the conventional </w:t>
      </w:r>
      <w:r>
        <w:rPr>
          <w:rFonts w:ascii="Times New Roman" w:hAnsi="Times New Roman"/>
          <w:sz w:val="24"/>
        </w:rPr>
        <w:t xml:space="preserve"> threshold, with a mean Sharpe ratio improvement of </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This improvement is statistically significant but economically modest.</w:t>
      </w:r>
    </w:p>
    <w:p>
      <w:r>
        <w:rPr>
          <w:rFonts w:ascii="Times New Roman" w:hAnsi="Times New Roman"/>
          <w:sz w:val="24"/>
        </w:rPr>
        <w:t xml:space="preserve">However, when compared against the behavioral-equivalent baseline (static </w:t>
      </w:r>
      <w:r>
        <w:rPr>
          <w:rFonts w:ascii="Times New Roman" w:hAnsi="Times New Roman"/>
          <w:sz w:val="24"/>
        </w:rPr>
        <w:t xml:space="preserve"> threshold), the TLT source policy shows no significant advantage. The mean Sharpe difference is </w:t>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 indicating that the contextual policy performs no better than the static threshold it most resembles. Comparing against a naive baseline (e.g., </w:t>
      </w:r>
      <w:r>
        <w:rPr>
          <w:rFonts w:ascii="Times New Roman" w:hAnsi="Times New Roman"/>
          <w:sz w:val="24"/>
        </w:rPr>
        <w:t>) can be misleading, as the improvement may simply reflect a better choice of fixed threshold rather than genuine contextual adaptation.</w:t>
      </w:r>
    </w:p>
    <w:p>
      <w:r>
        <w:rPr>
          <w:rFonts w:ascii="Times New Roman" w:hAnsi="Times New Roman"/>
          <w:sz w:val="24"/>
        </w:rPr>
        <w:t>7.4 Collapse Threshold Sensitivity</w:t>
      </w:r>
    </w:p>
    <w:p>
      <w:r>
        <w:rPr>
          <w:rFonts w:ascii="Times New Roman" w:hAnsi="Times New Roman"/>
          <w:sz w:val="24"/>
        </w:rPr>
        <w:t xml:space="preserve">To assess the robustness of our findings, we vary the collapse threshold from </w:t>
      </w:r>
      <w:r>
        <w:rPr>
          <w:rFonts w:ascii="Times New Roman" w:hAnsi="Times New Roman"/>
          <w:sz w:val="24"/>
        </w:rPr>
        <w:t xml:space="preserve"> to </w:t>
      </w:r>
      <w:r>
        <w:rPr>
          <w:rFonts w:ascii="Times New Roman" w:hAnsi="Times New Roman"/>
          <w:sz w:val="24"/>
        </w:rPr>
        <w:t xml:space="preserve"> and recompute the collapse rates.</w:t>
      </w:r>
    </w:p>
    <w:p>
      <w:r>
        <w:rPr>
          <w:rFonts w:ascii="Times New Roman" w:hAnsi="Times New Roman"/>
          <w:sz w:val="24"/>
        </w:rPr>
        <w:t>Table 4: Collapse Rate vs. Modal Share Threshold</w:t>
      </w:r>
    </w:p>
    <w:p>
      <w:r>
        <w:rPr>
          <w:rFonts w:ascii="Times New Roman" w:hAnsi="Times New Roman"/>
          <w:i/>
          <w:sz w:val="24"/>
        </w:rPr>
        <w:t>Sensitivity of collapse classification to the modal share threshold.</w:t>
      </w:r>
    </w:p>
    <w:p>
      <w:r>
        <w:rPr>
          <w:rFonts w:ascii="Times New Roman" w:hAnsi="Times New Roman"/>
          <w:sz w:val="24"/>
        </w:rPr>
        <w:t xml:space="preserve">The results are highly robust across the </w:t>
      </w:r>
      <w:r>
        <w:rPr>
          <w:rFonts w:ascii="Times New Roman" w:hAnsi="Times New Roman"/>
          <w:sz w:val="24"/>
        </w:rPr>
        <w:t xml:space="preserve"> range. At the </w:t>
      </w:r>
      <w:r>
        <w:rPr>
          <w:rFonts w:ascii="Times New Roman" w:hAnsi="Times New Roman"/>
          <w:sz w:val="24"/>
        </w:rPr>
        <w:t xml:space="preserve"> threshold (our main specification), 67% of pairs collapse, with the remaining </w:t>
      </w:r>
      <w:r>
        <w:rPr>
          <w:rFonts w:ascii="Times New Roman" w:hAnsi="Times New Roman"/>
          <w:sz w:val="24"/>
        </w:rPr>
        <w:t xml:space="preserve"> consisting of TLT and IWM source targets that have modal shares in the </w:t>
      </w:r>
      <w:r>
        <w:rPr>
          <w:rFonts w:ascii="Times New Roman" w:hAnsi="Times New Roman"/>
          <w:sz w:val="24"/>
        </w:rPr>
        <w:t xml:space="preserve"> range.</w:t>
      </w:r>
    </w:p>
    <w:p>
      <w:r>
        <w:rPr>
          <w:rFonts w:ascii="Times New Roman" w:hAnsi="Times New Roman"/>
          <w:sz w:val="24"/>
        </w:rPr>
        <w:t>The classification remains unchanged because all transfers from degenerate sources have modal shares above 0.95 and normalized entropy below 0.25, whereas transfers from the two diverse sources fail the joint collapse criterion.</w:t>
      </w:r>
    </w:p>
    <w:p>
      <w:r>
        <w:rPr>
          <w:rFonts w:ascii="Times New Roman" w:hAnsi="Times New Roman"/>
          <w:sz w:val="24"/>
        </w:rPr>
        <w:t>7.5 Asset-Class Heterogeneity (TLT Source)</w:t>
      </w:r>
    </w:p>
    <w:p>
      <w:r>
        <w:rPr>
          <w:rFonts w:ascii="Times New Roman" w:hAnsi="Times New Roman"/>
          <w:sz w:val="24"/>
        </w:rPr>
        <w:t>Table 5 reports the performance of the TLT source policy across different target asset classes.</w:t>
      </w:r>
    </w:p>
    <w:p>
      <w:r>
        <w:rPr>
          <w:rFonts w:ascii="Times New Roman" w:hAnsi="Times New Roman"/>
          <w:sz w:val="24"/>
        </w:rPr>
        <w:t>Table 5: Performance by Asset Class (TLT Source)</w:t>
      </w:r>
    </w:p>
    <w:p>
      <w:r>
        <w:rPr>
          <w:rFonts w:ascii="Times New Roman" w:hAnsi="Times New Roman"/>
          <w:i/>
          <w:sz w:val="24"/>
        </w:rPr>
        <w:t>Performance metrics segmented by target asset classes.</w:t>
      </w:r>
    </w:p>
    <w:p>
      <w:r>
        <w:rPr>
          <w:rFonts w:ascii="Times New Roman" w:hAnsi="Times New Roman"/>
          <w:sz w:val="24"/>
        </w:rPr>
        <w:t>The TLT source policy shows modest improvements over NoGating across all asset classes, with the largest benefits in fixed income ETFs (</w:t>
      </w:r>
      <w:r>
        <w:rPr>
          <w:rFonts w:ascii="Times New Roman" w:hAnsi="Times New Roman"/>
          <w:sz w:val="24"/>
        </w:rPr>
        <w:t xml:space="preserve"> Sharpe) and international equity ETFs (</w:t>
      </w:r>
      <w:r>
        <w:rPr>
          <w:rFonts w:ascii="Times New Roman" w:hAnsi="Times New Roman"/>
          <w:sz w:val="24"/>
        </w:rPr>
        <w:t xml:space="preserve"> Sharpe). These asset classes may share similar macro-driven dynamics with TLT, making the transferred policy more effective. However, when compared against the behavioral-equivalent baseline (Fixed-0.45), the benefits are much smaller and often negative.</w:t>
      </w:r>
    </w:p>
    <w:p>
      <w:r>
        <w:rPr>
          <w:rFonts w:ascii="Times New Roman" w:hAnsi="Times New Roman"/>
          <w:sz w:val="24"/>
        </w:rPr>
        <w:t>7.6 Economic Significance: Transaction Costs and Turnover</w:t>
      </w:r>
    </w:p>
    <w:p>
      <w:r>
        <w:rPr>
          <w:rFonts w:ascii="Times New Roman" w:hAnsi="Times New Roman"/>
          <w:sz w:val="24"/>
        </w:rPr>
        <w:t>To assess the practical relevance of Source Static Degeneracy, we conduct a comprehensive analysis of transaction costs and portfolio turnover.</w:t>
      </w:r>
    </w:p>
    <w:p>
      <w:r>
        <w:rPr>
          <w:rFonts w:ascii="Times New Roman" w:hAnsi="Times New Roman"/>
          <w:sz w:val="24"/>
        </w:rPr>
        <w:t>Table 6: Transaction Cost and Turnover Summary</w:t>
      </w:r>
    </w:p>
    <w:p>
      <w:r>
        <w:rPr>
          <w:rFonts w:ascii="Times New Roman" w:hAnsi="Times New Roman"/>
          <w:i/>
          <w:sz w:val="24"/>
        </w:rPr>
        <w:t>Economic implications of policy transfers across different sources.</w:t>
      </w:r>
    </w:p>
    <w:p>
      <w:r>
        <w:rPr>
          <w:rFonts w:ascii="Times New Roman" w:hAnsi="Times New Roman"/>
        </w:rPr>
        <w:t xml:space="preserve">Transaction Cost Sensitivity: For the TLT source policy (one of the two non-degenerate sources, along with IWM), the mean break-even cost is </w:t>
      </w:r>
      <w:r>
        <w:rPr/>
        <w:t>2.3</w:t>
      </w:r>
      <w:r>
        <w:rPr>
          <w:rFonts w:ascii="Times New Roman" w:hAnsi="Times New Roman"/>
        </w:rPr>
        <w:t xml:space="preserve"> basis points (bps), with a range of </w:t>
      </w:r>
      <w:r>
        <w:rPr/>
        <w:t>0.8-4.1</w:t>
      </w:r>
      <w:r>
        <w:rPr>
          <w:rFonts w:ascii="Times New Roman" w:hAnsi="Times New Roman"/>
        </w:rPr>
        <w:t xml:space="preserve"> bps across target assets. In contrast, degenerate sources (SPY, QQQ, EEM, GLD) have break-even costs of zero, as their collapsed policies provide no improvement over static thresholds.</w:t>
      </w:r>
    </w:p>
    <w:p>
      <w:r>
        <w:rPr>
          <w:rFonts w:ascii="Times New Roman" w:hAnsi="Times New Roman"/>
          <w:b/>
          <w:sz w:val="24"/>
        </w:rPr>
        <w:t>Turnover Analysis:</w:t>
      </w:r>
      <w:r>
        <w:rPr>
          <w:rFonts w:ascii="Times New Roman" w:hAnsi="Times New Roman"/>
          <w:sz w:val="24"/>
        </w:rPr>
        <w:t xml:space="preserve"> Diverse sources (TLT: </w:t>
      </w:r>
      <w:r>
        <w:rPr>
          <w:rFonts w:ascii="Times New Roman" w:hAnsi="Times New Roman"/>
          <w:sz w:val="24"/>
        </w:rPr>
        <w:t xml:space="preserve">, IWM: </w:t>
      </w:r>
      <w:r>
        <w:rPr>
          <w:rFonts w:ascii="Times New Roman" w:hAnsi="Times New Roman"/>
          <w:sz w:val="24"/>
        </w:rPr>
        <w:t xml:space="preserve">) exhibit moderate turnover, </w:t>
      </w:r>
      <w:r>
        <w:rPr>
          <w:rFonts w:ascii="Times New Roman" w:hAnsi="Times New Roman"/>
          <w:sz w:val="24"/>
        </w:rPr>
        <w:t>consistent with greater action variation than in the degenerate-source policies.</w:t>
      </w:r>
      <w:r>
        <w:rPr>
          <w:rFonts w:ascii="Times New Roman" w:hAnsi="Times New Roman"/>
          <w:sz w:val="24"/>
        </w:rPr>
        <w:t xml:space="preserve"> Degenerate sources show near-zero turnover (</w:t>
      </w:r>
      <w:r>
        <w:rPr>
          <w:rFonts w:ascii="Times New Roman" w:hAnsi="Times New Roman"/>
          <w:sz w:val="24"/>
        </w:rPr>
        <w:t>), confirming that their collapsed policies generate no trading signals beyond the static threshold.</w:t>
      </w:r>
    </w:p>
    <w:p>
      <w:r>
        <w:rPr>
          <w:rFonts w:ascii="Times New Roman" w:hAnsi="Times New Roman"/>
          <w:sz w:val="24"/>
        </w:rPr>
        <w:t>7.7 Data Coverage Summary</w:t>
      </w:r>
    </w:p>
    <w:p>
      <w:r>
        <w:rPr>
          <w:rFonts w:ascii="Times New Roman" w:hAnsi="Times New Roman"/>
          <w:sz w:val="24"/>
        </w:rPr>
        <w:t>To ensure transparency and confirm the absence of survivorship or look-ahead biases, we detail the coverage of our asset universe in Table 6a.</w:t>
      </w:r>
    </w:p>
    <w:p>
      <w:r>
        <w:rPr>
          <w:rFonts w:ascii="Times New Roman" w:hAnsi="Times New Roman"/>
          <w:sz w:val="24"/>
        </w:rPr>
        <w:t>Table 6a: Data Coverage Summary</w:t>
      </w:r>
    </w:p>
    <w:p>
      <w:r>
        <w:rPr>
          <w:rFonts w:ascii="Times New Roman" w:hAnsi="Times New Roman"/>
          <w:i/>
          <w:sz w:val="24"/>
        </w:rPr>
        <w:t>Coverage statistics for all source and target assets over the 10-year period (2015-2024).</w:t>
      </w:r>
    </w:p>
    <w:p>
      <w:r>
        <w:rPr>
          <w:rFonts w:ascii="Times New Roman" w:hAnsi="Times New Roman"/>
          <w:sz w:val="24"/>
        </w:rPr>
        <w:t>7.8 Ablation Studies</w:t>
      </w:r>
    </w:p>
    <w:p>
      <w:r>
        <w:rPr>
          <w:rFonts w:ascii="Times New Roman" w:hAnsi="Times New Roman"/>
          <w:sz w:val="24"/>
        </w:rPr>
        <w:t>To establish the robustness of Source Static Degeneracy and validate our diagnostic framework, we conduct a comprehensive series of ablation studies. These experiments address potential confounds and demonstrate that the collapse phenomenon is not an artifact of specific methodological choices.</w:t>
      </w:r>
    </w:p>
    <w:p>
      <w:r>
        <w:rPr>
          <w:rFonts w:ascii="Times New Roman" w:hAnsi="Times New Roman"/>
          <w:sz w:val="24"/>
        </w:rPr>
        <w:t>7.8.1 Calibrated vs. Uncalibrated Probabilities</w:t>
      </w:r>
    </w:p>
    <w:p>
      <w:r>
        <w:rPr>
          <w:rFonts w:ascii="Times New Roman" w:hAnsi="Times New Roman"/>
          <w:b/>
          <w:sz w:val="24"/>
        </w:rPr>
        <w:t>Motivation:</w:t>
      </w:r>
      <w:r>
        <w:rPr>
          <w:rFonts w:ascii="Times New Roman" w:hAnsi="Times New Roman"/>
          <w:sz w:val="24"/>
        </w:rPr>
        <w:t xml:space="preserve"> A natural concern is that Source Static Degeneracy might be an artifact of miscalibrated GBT predictions. If the predicted probabilities are systematically biased, the bandit policy might converge to a fixed threshold simply because the probability distribution is degenerate.</w:t>
      </w:r>
    </w:p>
    <w:p>
      <w:r>
        <w:rPr>
          <w:rFonts w:ascii="Times New Roman" w:hAnsi="Times New Roman"/>
          <w:b/>
          <w:sz w:val="24"/>
        </w:rPr>
        <w:t>Experiment:</w:t>
      </w:r>
      <w:r>
        <w:rPr>
          <w:rFonts w:ascii="Times New Roman" w:hAnsi="Times New Roman"/>
          <w:sz w:val="24"/>
        </w:rPr>
        <w:t xml:space="preserve"> We apply Platt Scaling and Isotonic Regression to calibrate the GBT predictions and re-run the transfer experiments.</w:t>
      </w:r>
    </w:p>
    <w:p>
      <w:r>
        <w:rPr>
          <w:rFonts w:ascii="Times New Roman" w:hAnsi="Times New Roman"/>
          <w:sz w:val="24"/>
        </w:rPr>
        <w:t>Table 7: Calibration Ablation Study</w:t>
      </w:r>
    </w:p>
    <w:p>
      <w:r>
        <w:rPr>
          <w:rFonts w:ascii="Times New Roman" w:hAnsi="Times New Roman"/>
          <w:i/>
          <w:sz w:val="24"/>
        </w:rPr>
        <w:t>Target collapse rates and mean Sharpe differences under different probability calibration methods.</w:t>
      </w:r>
    </w:p>
    <w:p>
      <w:r>
        <w:rPr/>
        <w:t>Finding: Calibration does not materially affect collapse rates in our experiments. Degenerate sources remain  collapsed regardless of the calibration method applied. This confirms that Source Static Degeneracy is a structural property of the decision layer, not the prediction layer.</w:t>
      </w:r>
    </w:p>
    <w:p>
      <w:r>
        <w:rPr>
          <w:rFonts w:ascii="Times New Roman" w:hAnsi="Times New Roman"/>
          <w:sz w:val="24"/>
        </w:rPr>
        <w:t>7.8.2 Alternative Action Grids</w:t>
      </w:r>
    </w:p>
    <w:p>
      <w:r>
        <w:rPr>
          <w:rFonts w:ascii="Times New Roman" w:hAnsi="Times New Roman"/>
          <w:b/>
          <w:sz w:val="24"/>
        </w:rPr>
        <w:t>Motivation:</w:t>
      </w:r>
      <w:r>
        <w:rPr>
          <w:rFonts w:ascii="Times New Roman" w:hAnsi="Times New Roman"/>
          <w:sz w:val="24"/>
        </w:rPr>
        <w:t xml:space="preserve"> The default threshold set is </w:t>
      </w:r>
      <w:r>
        <w:rPr>
          <w:rFonts w:ascii="Times New Roman" w:hAnsi="Times New Roman"/>
          <w:sz w:val="24"/>
        </w:rPr>
        <w:t>. Collapse might depend on this specific grid discretization.</w:t>
      </w:r>
    </w:p>
    <w:p>
      <w:r>
        <w:rPr>
          <w:rFonts w:ascii="Times New Roman" w:hAnsi="Times New Roman"/>
          <w:b/>
          <w:sz w:val="24"/>
        </w:rPr>
        <w:t>Experiment:</w:t>
      </w:r>
      <w:r>
        <w:rPr>
          <w:rFonts w:ascii="Times New Roman" w:hAnsi="Times New Roman"/>
          <w:sz w:val="24"/>
        </w:rPr>
        <w:t xml:space="preserve"> We test alternative threshold sets:</w:t>
      </w:r>
    </w:p>
    <w:p>
      <w:r>
        <w:rPr>
          <w:rFonts w:ascii="Times New Roman" w:hAnsi="Times New Roman"/>
          <w:b/>
          <w:sz w:val="24"/>
        </w:rPr>
        <w:t>Fine Grid:</w:t>
      </w:r>
      <w:r>
        <w:rPr>
          <w:rFonts w:ascii="Times New Roman" w:hAnsi="Times New Roman"/>
          <w:sz w:val="24"/>
        </w:rPr>
        <w:t xml:space="preserve"> </w:t>
      </w:r>
    </w:p>
    <w:p>
      <w:r>
        <w:rPr>
          <w:rFonts w:ascii="Times New Roman" w:hAnsi="Times New Roman"/>
          <w:b/>
          <w:sz w:val="24"/>
        </w:rPr>
        <w:t>Coarse Grid:</w:t>
      </w:r>
      <w:r>
        <w:rPr>
          <w:rFonts w:ascii="Times New Roman" w:hAnsi="Times New Roman"/>
          <w:sz w:val="24"/>
        </w:rPr>
        <w:t xml:space="preserve"> </w:t>
      </w:r>
    </w:p>
    <w:p>
      <w:r>
        <w:rPr>
          <w:rFonts w:ascii="Times New Roman" w:hAnsi="Times New Roman"/>
          <w:b/>
          <w:sz w:val="24"/>
        </w:rPr>
        <w:t>Asymmetric Grid:</w:t>
      </w:r>
      <w:r>
        <w:rPr>
          <w:rFonts w:ascii="Times New Roman" w:hAnsi="Times New Roman"/>
          <w:sz w:val="24"/>
        </w:rPr>
        <w:t xml:space="preserve"> </w:t>
      </w:r>
    </w:p>
    <w:p>
      <w:r>
        <w:rPr>
          <w:rFonts w:ascii="Times New Roman" w:hAnsi="Times New Roman"/>
          <w:b/>
          <w:sz w:val="24"/>
        </w:rPr>
        <w:t>Wide Grid:</w:t>
      </w:r>
      <w:r>
        <w:rPr>
          <w:rFonts w:ascii="Times New Roman" w:hAnsi="Times New Roman"/>
          <w:sz w:val="24"/>
        </w:rPr>
        <w:t xml:space="preserve"> </w:t>
      </w:r>
    </w:p>
    <w:p>
      <w:r>
        <w:rPr>
          <w:rFonts w:ascii="Times New Roman" w:hAnsi="Times New Roman"/>
          <w:sz w:val="24"/>
        </w:rPr>
        <w:t>Table 8: Alternative Action Grids</w:t>
      </w:r>
    </w:p>
    <w:p>
      <w:r>
        <w:rPr>
          <w:rFonts w:ascii="Times New Roman" w:hAnsi="Times New Roman"/>
          <w:i/>
          <w:sz w:val="24"/>
        </w:rPr>
        <w:t>Policy behavior under different action space discretizations.</w:t>
      </w:r>
    </w:p>
    <w:p>
      <w:r>
        <w:rPr/>
        <w:t>Finding: Collapse rates are robust across the threshold grid range tested. The phenomenon is driven by source-side degeneracy, not the specific discretization of the action space.</w:t>
      </w:r>
    </w:p>
    <w:p>
      <w:r>
        <w:rPr>
          <w:rFonts w:ascii="Times New Roman" w:hAnsi="Times New Roman"/>
          <w:sz w:val="24"/>
        </w:rPr>
        <w:t>7.8.3 Alternative Exploration Parameters (</w:t>
      </w:r>
      <w:r>
        <w:rPr>
          <w:rFonts w:ascii="Times New Roman" w:hAnsi="Times New Roman"/>
          <w:sz w:val="24"/>
        </w:rPr>
        <w:t>)</w:t>
      </w:r>
    </w:p>
    <w:p>
      <w:r>
        <w:rPr>
          <w:rFonts w:ascii="Times New Roman" w:hAnsi="Times New Roman"/>
          <w:b/>
          <w:sz w:val="24"/>
        </w:rPr>
        <w:t>Motivation:</w:t>
      </w:r>
      <w:r>
        <w:rPr>
          <w:rFonts w:ascii="Times New Roman" w:hAnsi="Times New Roman"/>
          <w:sz w:val="24"/>
        </w:rPr>
        <w:t xml:space="preserve"> The exploration parameter </w:t>
      </w:r>
      <w:r>
        <w:rPr>
          <w:rFonts w:ascii="Times New Roman" w:hAnsi="Times New Roman"/>
          <w:sz w:val="24"/>
        </w:rPr>
        <w:t xml:space="preserve"> controls the trade-off between exploration and exploitation in LinUCB. Higher </w:t>
      </w:r>
      <w:r>
        <w:rPr>
          <w:rFonts w:ascii="Times New Roman" w:hAnsi="Times New Roman"/>
          <w:sz w:val="24"/>
        </w:rPr>
        <w:t xml:space="preserve"> values encourage more exploration, which might break the collapse.</w:t>
      </w:r>
    </w:p>
    <w:p>
      <w:r>
        <w:rPr>
          <w:rFonts w:ascii="Times New Roman" w:hAnsi="Times New Roman"/>
          <w:b/>
          <w:sz w:val="24"/>
        </w:rPr>
        <w:t>Experiment:</w:t>
      </w:r>
      <w:r>
        <w:rPr>
          <w:rFonts w:ascii="Times New Roman" w:hAnsi="Times New Roman"/>
          <w:sz w:val="24"/>
        </w:rPr>
        <w:t xml:space="preserve"> We vary </w:t>
      </w:r>
      <w:r>
        <w:rPr>
          <w:rFonts w:ascii="Times New Roman" w:hAnsi="Times New Roman"/>
          <w:sz w:val="24"/>
        </w:rPr>
        <w:t xml:space="preserve"> over </w:t>
      </w:r>
      <w:r>
        <w:rPr>
          <w:rFonts w:ascii="Times New Roman" w:hAnsi="Times New Roman"/>
          <w:sz w:val="24"/>
        </w:rPr>
        <w:t>.</w:t>
      </w:r>
    </w:p>
    <w:p>
      <w:r>
        <w:rPr>
          <w:rFonts w:ascii="Times New Roman" w:hAnsi="Times New Roman"/>
          <w:sz w:val="24"/>
        </w:rPr>
        <w:t>Table 9: Exploration Parameter (</w:t>
      </w:r>
      <w:r>
        <w:rPr>
          <w:rFonts w:ascii="Times New Roman" w:hAnsi="Times New Roman"/>
          <w:sz w:val="24"/>
        </w:rPr>
        <w:t>) Sensitivity</w:t>
      </w:r>
    </w:p>
    <w:p>
      <w:r>
        <w:rPr>
          <w:rFonts w:ascii="Times New Roman" w:hAnsi="Times New Roman"/>
          <w:i/>
          <w:sz w:val="24"/>
        </w:rPr>
        <w:t>Source diversity and target collapse rates as a function of the LinUCB exploration parameter.</w:t>
      </w:r>
    </w:p>
    <w:p>
      <w:r>
        <w:rPr/>
        <w:t xml:space="preserve">Finding: Collapse persists across the exploration parameter values tested. For degenerate sources, the modal share remains at </w:t>
      </w:r>
      <w:r>
        <w:rPr/>
        <w:t>1.00</w:t>
      </w:r>
      <w:r>
        <w:rPr/>
        <w:t xml:space="preserve"> regardless of </w:t>
      </w:r>
      <w:r>
        <w:rPr/>
        <w:t>α</w:t>
      </w:r>
      <w:r>
        <w:rPr/>
        <w:t>. For diverse sources, higher  values modestly improve entropy but do not alter the fundamental transfer outcomes.</w:t>
      </w:r>
    </w:p>
    <w:p>
      <w:r>
        <w:rPr>
          <w:rFonts w:ascii="Times New Roman" w:hAnsi="Times New Roman"/>
          <w:sz w:val="24"/>
        </w:rPr>
        <w:t>7.8.4 Nonlinear Contextual Policies</w:t>
      </w:r>
    </w:p>
    <w:p>
      <w:r>
        <w:rPr>
          <w:rFonts w:ascii="Times New Roman" w:hAnsi="Times New Roman"/>
          <w:b/>
          <w:sz w:val="24"/>
        </w:rPr>
        <w:t>Motivation:</w:t>
      </w:r>
      <w:r>
        <w:rPr>
          <w:rFonts w:ascii="Times New Roman" w:hAnsi="Times New Roman"/>
          <w:sz w:val="24"/>
        </w:rPr>
        <w:t xml:space="preserve"> LinUCB assumes linear reward functions. A nonlinear policy class might maintain diversity even when transferring from degenerate sources.</w:t>
      </w:r>
    </w:p>
    <w:p>
      <w:r>
        <w:rPr>
          <w:rFonts w:ascii="Times New Roman" w:hAnsi="Times New Roman"/>
          <w:b/>
          <w:sz w:val="24"/>
        </w:rPr>
        <w:t>Experiment:</w:t>
      </w:r>
      <w:r>
        <w:rPr>
          <w:rFonts w:ascii="Times New Roman" w:hAnsi="Times New Roman"/>
          <w:sz w:val="24"/>
        </w:rPr>
        <w:t xml:space="preserve"> We replace LinUCB with KernelUCB (RBF kernel), NeuralUCB (2-layer neural network), and a Random Forest UCB bandit.</w:t>
      </w:r>
    </w:p>
    <w:p>
      <w:r>
        <w:rPr>
          <w:rFonts w:ascii="Times New Roman" w:hAnsi="Times New Roman"/>
          <w:sz w:val="24"/>
        </w:rPr>
        <w:t>Table 10: Nonlinear Contextual Policies</w:t>
      </w:r>
    </w:p>
    <w:p>
      <w:r>
        <w:rPr>
          <w:rFonts w:ascii="Times New Roman" w:hAnsi="Times New Roman"/>
          <w:i/>
          <w:sz w:val="24"/>
        </w:rPr>
        <w:t>Transfer outcomes using alternative contextual bandit architectures.</w:t>
      </w:r>
    </w:p>
    <w:p>
      <w:r>
        <w:rPr>
          <w:rFonts w:ascii="Times New Roman" w:hAnsi="Times New Roman"/>
        </w:rPr>
        <w:t>Finding: Nonlinear policies do not prevent collapse. The failure mode persists across the four policy classes examined—it arises from source-side training dynamics rather than the specific linear assumptions of LinUCB.</w:t>
      </w:r>
    </w:p>
    <w:p>
      <w:r>
        <w:rPr>
          <w:rFonts w:ascii="Times New Roman" w:hAnsi="Times New Roman"/>
          <w:sz w:val="24"/>
        </w:rPr>
        <w:t>7.8.5 Randomized-Context Placebo Test</w:t>
      </w:r>
    </w:p>
    <w:p>
      <w:r>
        <w:rPr>
          <w:rFonts w:ascii="Times New Roman" w:hAnsi="Times New Roman"/>
          <w:b/>
          <w:sz w:val="24"/>
        </w:rPr>
        <w:t>Motivation:</w:t>
      </w:r>
      <w:r>
        <w:rPr>
          <w:rFonts w:ascii="Times New Roman" w:hAnsi="Times New Roman"/>
          <w:sz w:val="24"/>
        </w:rPr>
        <w:t xml:space="preserve"> Collapse might occur because the context features themselves are uninformative, forcing the bandit to converge to a static rule.</w:t>
      </w:r>
    </w:p>
    <w:p>
      <w:r>
        <w:rPr>
          <w:rFonts w:ascii="Times New Roman" w:hAnsi="Times New Roman"/>
          <w:b/>
          <w:sz w:val="24"/>
        </w:rPr>
        <w:t>Experiment:</w:t>
      </w:r>
      <w:r>
        <w:rPr>
          <w:rFonts w:ascii="Times New Roman" w:hAnsi="Times New Roman"/>
          <w:sz w:val="24"/>
        </w:rPr>
        <w:t xml:space="preserve"> We replace the context features with random noise, shuffled features, or constant zeros.</w:t>
      </w:r>
    </w:p>
    <w:p>
      <w:r>
        <w:rPr>
          <w:rFonts w:ascii="Times New Roman" w:hAnsi="Times New Roman"/>
          <w:sz w:val="24"/>
        </w:rPr>
        <w:t>Table 11: Randomized-Context Placebo Test</w:t>
      </w:r>
    </w:p>
    <w:p>
      <w:r>
        <w:rPr>
          <w:rFonts w:ascii="Times New Roman" w:hAnsi="Times New Roman"/>
          <w:i/>
          <w:sz w:val="24"/>
        </w:rPr>
        <w:t>Transfer performance using real versus randomized/placebo context features.</w:t>
      </w:r>
    </w:p>
    <w:p>
      <w:r>
        <w:rPr>
          <w:rFonts w:ascii="Times New Roman" w:hAnsi="Times New Roman"/>
          <w:b/>
          <w:sz w:val="24"/>
        </w:rPr>
        <w:t>Finding:</w:t>
      </w:r>
      <w:r>
        <w:rPr>
          <w:rFonts w:ascii="Times New Roman" w:hAnsi="Times New Roman"/>
          <w:sz w:val="24"/>
        </w:rPr>
        <w:t xml:space="preserve"> Collapse persists even with random context features. This confirms that the transfer failure is driven by the structural parameters of the frozen source policy, rather than the informational content of target context features.</w:t>
      </w:r>
    </w:p>
    <w:p>
      <w:r>
        <w:rPr>
          <w:rFonts w:ascii="Times New Roman" w:hAnsi="Times New Roman"/>
          <w:sz w:val="24"/>
        </w:rPr>
        <w:t>7.8.6 Shuffled-Action Placebo Test</w:t>
      </w:r>
    </w:p>
    <w:p>
      <w:r>
        <w:rPr>
          <w:rFonts w:ascii="Times New Roman" w:hAnsi="Times New Roman"/>
          <w:b/>
          <w:sz w:val="24"/>
        </w:rPr>
        <w:t>Motivation:</w:t>
      </w:r>
      <w:r>
        <w:rPr>
          <w:rFonts w:ascii="Times New Roman" w:hAnsi="Times New Roman"/>
          <w:sz w:val="24"/>
        </w:rPr>
        <w:t xml:space="preserve"> Collapse might be an artifact of the specific mapping from actions to thresholds.</w:t>
      </w:r>
    </w:p>
    <w:p>
      <w:r>
        <w:rPr>
          <w:rFonts w:ascii="Times New Roman" w:hAnsi="Times New Roman"/>
          <w:b/>
          <w:sz w:val="24"/>
        </w:rPr>
        <w:t>Experiment:</w:t>
      </w:r>
      <w:r>
        <w:rPr>
          <w:rFonts w:ascii="Times New Roman" w:hAnsi="Times New Roman"/>
          <w:sz w:val="24"/>
        </w:rPr>
        <w:t xml:space="preserve"> We randomly shuffle the mapping from actions to thresholds.</w:t>
      </w:r>
    </w:p>
    <w:p>
      <w:r>
        <w:rPr>
          <w:rFonts w:ascii="Times New Roman" w:hAnsi="Times New Roman"/>
          <w:sz w:val="24"/>
        </w:rPr>
        <w:t>Table 12: Shuffled-Action Placebo Test</w:t>
      </w:r>
    </w:p>
    <w:p>
      <w:r>
        <w:rPr>
          <w:rFonts w:ascii="Times New Roman" w:hAnsi="Times New Roman"/>
          <w:i/>
          <w:sz w:val="24"/>
        </w:rPr>
        <w:t>Effect of shuffling the action-to-threshold mapping on transfer outcomes.</w:t>
      </w:r>
    </w:p>
    <w:p>
      <w:r>
        <w:rPr>
          <w:rFonts w:ascii="Times New Roman" w:hAnsi="Times New Roman"/>
          <w:b/>
          <w:sz w:val="24"/>
        </w:rPr>
        <w:t>Finding:</w:t>
      </w:r>
      <w:r>
        <w:rPr>
          <w:rFonts w:ascii="Times New Roman" w:hAnsi="Times New Roman"/>
          <w:sz w:val="24"/>
        </w:rPr>
        <w:t xml:space="preserve"> Action concentration persists across different mapping schemes. The collapse is driven by the policy's structural convergence to a single action, independent of the physical threshold value.</w:t>
      </w:r>
    </w:p>
    <w:p>
      <w:r>
        <w:rPr>
          <w:rFonts w:ascii="Times New Roman" w:hAnsi="Times New Roman"/>
          <w:sz w:val="24"/>
        </w:rPr>
        <w:t>7.8.7 Temporal Subsample Analysis</w:t>
      </w:r>
    </w:p>
    <w:p>
      <w:r>
        <w:rPr>
          <w:rFonts w:ascii="Times New Roman" w:hAnsi="Times New Roman"/>
          <w:b/>
          <w:sz w:val="24"/>
        </w:rPr>
        <w:t>Motivation:</w:t>
      </w:r>
      <w:r>
        <w:rPr>
          <w:rFonts w:ascii="Times New Roman" w:hAnsi="Times New Roman"/>
          <w:sz w:val="24"/>
        </w:rPr>
        <w:t xml:space="preserve"> Policy collapse might be specific to certain market regimes (e.g., low-volatility regimes or persistent bull markets).</w:t>
      </w:r>
    </w:p>
    <w:p>
      <w:r>
        <w:rPr>
          <w:rFonts w:ascii="Times New Roman" w:hAnsi="Times New Roman"/>
          <w:b/>
          <w:sz w:val="24"/>
        </w:rPr>
        <w:t>Experiment:</w:t>
      </w:r>
      <w:r>
        <w:rPr>
          <w:rFonts w:ascii="Times New Roman" w:hAnsi="Times New Roman"/>
          <w:sz w:val="24"/>
        </w:rPr>
        <w:t xml:space="preserve"> We split the sample into pre-2018 and post-2018 windows, crisis vs. normal periods, and high-volatility vs. low-volatility periods.</w:t>
      </w:r>
    </w:p>
    <w:p>
      <w:r>
        <w:rPr>
          <w:rFonts w:ascii="Times New Roman" w:hAnsi="Times New Roman"/>
          <w:sz w:val="24"/>
        </w:rPr>
        <w:t>Table 13: Temporal Subsample Analysis</w:t>
      </w:r>
    </w:p>
    <w:p>
      <w:r>
        <w:rPr>
          <w:rFonts w:ascii="Times New Roman" w:hAnsi="Times New Roman"/>
          <w:i/>
          <w:sz w:val="24"/>
        </w:rPr>
        <w:t>Transfer stability across different temporal and volatility regimes.</w:t>
      </w:r>
    </w:p>
    <w:p>
      <w:r>
        <w:rPr>
          <w:rFonts w:ascii="Times New Roman" w:hAnsi="Times New Roman"/>
          <w:b/>
          <w:sz w:val="24"/>
        </w:rPr>
        <w:t>Finding:</w:t>
      </w:r>
      <w:r>
        <w:rPr>
          <w:rFonts w:ascii="Times New Roman" w:hAnsi="Times New Roman"/>
          <w:sz w:val="24"/>
        </w:rPr>
        <w:t xml:space="preserve"> Collapse is highly stable over time. The failure mode persists in both high and low volatility regimes, suggesting it is a structural characteristics of the transfer rather than a temporal anomaly.</w:t>
      </w:r>
    </w:p>
    <w:p>
      <w:r>
        <w:rPr>
          <w:rFonts w:ascii="Times New Roman" w:hAnsi="Times New Roman"/>
          <w:sz w:val="24"/>
        </w:rPr>
        <w:t>7.8.8 Source-Only Degeneracy vs. Transfer-Induced Collapse</w:t>
      </w:r>
    </w:p>
    <w:p>
      <w:r>
        <w:rPr>
          <w:rFonts w:ascii="Times New Roman" w:hAnsi="Times New Roman"/>
          <w:b/>
          <w:sz w:val="24"/>
        </w:rPr>
        <w:t>Motivation:</w:t>
      </w:r>
      <w:r>
        <w:rPr>
          <w:rFonts w:ascii="Times New Roman" w:hAnsi="Times New Roman"/>
          <w:sz w:val="24"/>
        </w:rPr>
        <w:t xml:space="preserve"> A key question is whether collapse occurs on the source itself during training, or if it is triggered during the transfer phase.</w:t>
      </w:r>
    </w:p>
    <w:p>
      <w:r>
        <w:rPr>
          <w:rFonts w:ascii="Times New Roman" w:hAnsi="Times New Roman"/>
          <w:b/>
          <w:sz w:val="24"/>
        </w:rPr>
        <w:t>Experiment:</w:t>
      </w:r>
      <w:r>
        <w:rPr>
          <w:rFonts w:ascii="Times New Roman" w:hAnsi="Times New Roman"/>
          <w:sz w:val="24"/>
        </w:rPr>
        <w:t xml:space="preserve"> We compare source-side modal share with target-side modal share for each source.</w:t>
      </w:r>
    </w:p>
    <w:p>
      <w:r>
        <w:rPr>
          <w:rFonts w:ascii="Times New Roman" w:hAnsi="Times New Roman"/>
          <w:sz w:val="24"/>
        </w:rPr>
        <w:t>Table 14: Source-Target Outcome Classification</w:t>
      </w:r>
    </w:p>
    <w:p>
      <w:r>
        <w:rPr>
          <w:rFonts w:ascii="Times New Roman" w:hAnsi="Times New Roman"/>
          <w:i/>
          <w:sz w:val="24"/>
        </w:rPr>
        <w:t>Comparison of source-side policy concentration and target-side transfer outcomes.</w:t>
      </w:r>
    </w:p>
    <w:p>
      <w:r>
        <w:rPr>
          <w:rFonts w:ascii="Times New Roman" w:hAnsi="Times New Roman"/>
          <w:b/>
          <w:sz w:val="24"/>
        </w:rPr>
        <w:t>Finding:</w:t>
      </w:r>
      <w:r>
        <w:rPr>
          <w:rFonts w:ascii="Times New Roman" w:hAnsi="Times New Roman"/>
          <w:sz w:val="24"/>
        </w:rPr>
        <w:t xml:space="preserve"> Collapse originates entirely on the source. Sources that are degenerate on their own training data produce degenerate transfers with </w:t>
      </w:r>
      <w:r>
        <w:rPr>
          <w:rFonts w:ascii="Times New Roman" w:hAnsi="Times New Roman"/>
          <w:sz w:val="24"/>
        </w:rPr>
        <w:t xml:space="preserve"> probability. Sources that maintain diversity on their own data maintain diversity upon transfer.</w:t>
      </w:r>
    </w:p>
    <w:p>
      <w:r>
        <w:rPr>
          <w:rFonts w:ascii="Times New Roman" w:hAnsi="Times New Roman"/>
          <w:sz w:val="24"/>
        </w:rPr>
        <w:t>7.8.9 Incremental Value of Context</w:t>
      </w:r>
    </w:p>
    <w:p>
      <w:r>
        <w:rPr/>
        <w:t>Motivation: A key question is whether the contextual bandit policy provides any value over simpler non-contextual approaches. If a single static threshold is optimal, then action concentration may represent successful learning rather than policy failure.</w:t>
      </w:r>
    </w:p>
    <w:p>
      <w:r>
        <w:rPr>
          <w:rFonts w:ascii="Times New Roman" w:hAnsi="Times New Roman"/>
          <w:b/>
          <w:sz w:val="24"/>
        </w:rPr>
        <w:t>Experiment:</w:t>
      </w:r>
      <w:r>
        <w:rPr>
          <w:rFonts w:ascii="Times New Roman" w:hAnsi="Times New Roman"/>
          <w:sz w:val="24"/>
        </w:rPr>
        <w:t xml:space="preserve"> We compare five approaches:</w:t>
      </w:r>
    </w:p>
    <w:p>
      <w:r>
        <w:rPr>
          <w:rFonts w:ascii="Times New Roman" w:hAnsi="Times New Roman"/>
          <w:b/>
          <w:sz w:val="24"/>
        </w:rPr>
        <w:t>Global Best Static:</w:t>
      </w:r>
      <w:r>
        <w:rPr>
          <w:rFonts w:ascii="Times New Roman" w:hAnsi="Times New Roman"/>
          <w:sz w:val="24"/>
        </w:rPr>
        <w:t xml:space="preserve"> The single threshold that maximizes Sharpe across the entire sample.</w:t>
      </w:r>
    </w:p>
    <w:p>
      <w:r>
        <w:rPr>
          <w:rFonts w:ascii="Times New Roman" w:hAnsi="Times New Roman"/>
          <w:b/>
          <w:sz w:val="24"/>
        </w:rPr>
        <w:t>Context-Free Bandit:</w:t>
      </w:r>
      <w:r>
        <w:rPr>
          <w:rFonts w:ascii="Times New Roman" w:hAnsi="Times New Roman"/>
          <w:sz w:val="24"/>
        </w:rPr>
        <w:t xml:space="preserve"> LinUCB with constant context (no contextual information).</w:t>
      </w:r>
    </w:p>
    <w:p>
      <w:r>
        <w:rPr>
          <w:rFonts w:ascii="Times New Roman" w:hAnsi="Times New Roman"/>
          <w:b/>
          <w:sz w:val="24"/>
        </w:rPr>
        <w:t>Contextual Bandit:</w:t>
      </w:r>
      <w:r>
        <w:rPr>
          <w:rFonts w:ascii="Times New Roman" w:hAnsi="Times New Roman"/>
          <w:sz w:val="24"/>
        </w:rPr>
        <w:t xml:space="preserve"> Standard LinUCB with context features.</w:t>
      </w:r>
    </w:p>
    <w:p>
      <w:r>
        <w:rPr>
          <w:rFonts w:ascii="Times New Roman" w:hAnsi="Times New Roman"/>
          <w:b/>
          <w:sz w:val="24"/>
        </w:rPr>
        <w:t>Oracle Contextual:</w:t>
      </w:r>
      <w:r>
        <w:rPr>
          <w:rFonts w:ascii="Times New Roman" w:hAnsi="Times New Roman"/>
          <w:sz w:val="24"/>
        </w:rPr>
        <w:t xml:space="preserve"> Post-hoc regime-specific optimal thresholds.</w:t>
      </w:r>
    </w:p>
    <w:p>
      <w:r>
        <w:rPr>
          <w:rFonts w:ascii="Times New Roman" w:hAnsi="Times New Roman"/>
          <w:b/>
          <w:sz w:val="24"/>
        </w:rPr>
        <w:t>Rolling Regime-Specific:</w:t>
      </w:r>
      <w:r>
        <w:rPr>
          <w:rFonts w:ascii="Times New Roman" w:hAnsi="Times New Roman"/>
          <w:sz w:val="24"/>
        </w:rPr>
        <w:t xml:space="preserve"> Thresholds selected adaptively by rolling regime.</w:t>
      </w:r>
    </w:p>
    <w:p>
      <w:r>
        <w:rPr>
          <w:rFonts w:ascii="Times New Roman" w:hAnsi="Times New Roman"/>
          <w:sz w:val="24"/>
        </w:rPr>
        <w:t>Table 16: Incremental Value of Context</w:t>
      </w:r>
    </w:p>
    <w:p>
      <w:r>
        <w:rPr>
          <w:rFonts w:ascii="Times New Roman" w:hAnsi="Times New Roman"/>
          <w:i/>
          <w:sz w:val="24"/>
        </w:rPr>
        <w:t>Sharpe ratio comparison across contextual and non-contextual architectures.</w:t>
      </w:r>
    </w:p>
    <w:p>
      <w:r>
        <w:rPr>
          <w:rFonts w:ascii="Times New Roman" w:hAnsi="Times New Roman"/>
          <w:b/>
          <w:sz w:val="24"/>
        </w:rPr>
        <w:t>Key Findings:</w:t>
      </w:r>
    </w:p>
    <w:p>
      <w:r>
        <w:rPr>
          <w:rFonts w:ascii="Times New Roman" w:hAnsi="Times New Roman"/>
          <w:b/>
          <w:sz w:val="24"/>
        </w:rPr>
        <w:t>Context Has Theoretical Value:</w:t>
      </w:r>
      <w:r>
        <w:rPr>
          <w:rFonts w:ascii="Times New Roman" w:hAnsi="Times New Roman"/>
          <w:sz w:val="24"/>
        </w:rPr>
        <w:t xml:space="preserve"> The Oracle Contextual benchmark significantly outperforms the global best static threshold (</w:t>
      </w:r>
      <w:r>
        <w:rPr>
          <w:rFonts w:ascii="Times New Roman" w:hAnsi="Times New Roman"/>
          <w:sz w:val="24"/>
        </w:rPr>
        <w:t xml:space="preserve"> Sharpe, </w:t>
      </w:r>
      <w:r>
        <w:rPr>
          <w:rFonts w:ascii="Times New Roman" w:hAnsi="Times New Roman"/>
          <w:sz w:val="24"/>
        </w:rPr>
        <w:t>). This confirms that regime-specific adaptation is valuable.</w:t>
      </w:r>
    </w:p>
    <w:p>
      <w:r>
        <w:rPr>
          <w:rFonts w:ascii="Times New Roman" w:hAnsi="Times New Roman"/>
          <w:b/>
          <w:sz w:val="24"/>
        </w:rPr>
        <w:t>Bandit Fails to Utilize Context:</w:t>
      </w:r>
      <w:r>
        <w:rPr>
          <w:rFonts w:ascii="Times New Roman" w:hAnsi="Times New Roman"/>
          <w:sz w:val="24"/>
        </w:rPr>
        <w:t xml:space="preserve"> The contextual bandit does not significantly outperform the context-free bandit (</w:t>
      </w:r>
      <w:r>
        <w:rPr>
          <w:rFonts w:ascii="Times New Roman" w:hAnsi="Times New Roman"/>
          <w:sz w:val="24"/>
        </w:rPr>
        <w:t xml:space="preserve"> Sharpe, </w:t>
      </w:r>
      <w:r>
        <w:rPr>
          <w:rFonts w:ascii="Times New Roman" w:hAnsi="Times New Roman"/>
          <w:sz w:val="24"/>
        </w:rPr>
        <w:t>). This suggests the bandit fails to learn context-dependent policies out-of-sample.</w:t>
      </w:r>
    </w:p>
    <w:p>
      <w:r>
        <w:rPr>
          <w:rFonts w:ascii="Times New Roman" w:hAnsi="Times New Roman"/>
          <w:b/>
          <w:sz w:val="24"/>
        </w:rPr>
        <w:t xml:space="preserve">Action Concentration </w:t>
      </w:r>
      <w:r>
        <w:rPr>
          <w:rFonts w:ascii="Times New Roman" w:hAnsi="Times New Roman"/>
          <w:b/>
          <w:sz w:val="24"/>
        </w:rPr>
        <w:t xml:space="preserve"> Success:</w:t>
      </w:r>
      <w:r>
        <w:rPr>
          <w:rFonts w:ascii="Times New Roman" w:hAnsi="Times New Roman"/>
          <w:sz w:val="24"/>
        </w:rPr>
        <w:t xml:space="preserve"> The observed action concentration represents a "failure to adapt" rather than "success in learning a static optimum."</w:t>
      </w:r>
    </w:p>
    <w:p>
      <w:r>
        <w:rPr>
          <w:rFonts w:ascii="Times New Roman" w:hAnsi="Times New Roman"/>
          <w:sz w:val="24"/>
        </w:rPr>
        <w:t>7.8.10 Regime-Specific Analysis</w:t>
      </w:r>
    </w:p>
    <w:p>
      <w:r>
        <w:rPr>
          <w:rFonts w:ascii="Times New Roman" w:hAnsi="Times New Roman"/>
        </w:rPr>
        <w:t>Motivation: Understanding when context has theoretical value based on Oracle analysis helps explain why the bandit fails.</w:t>
      </w:r>
    </w:p>
    <w:p>
      <w:r>
        <w:rPr>
          <w:rFonts w:ascii="Times New Roman" w:hAnsi="Times New Roman"/>
          <w:b/>
          <w:sz w:val="24"/>
        </w:rPr>
        <w:t>Experiment:</w:t>
      </w:r>
      <w:r>
        <w:rPr>
          <w:rFonts w:ascii="Times New Roman" w:hAnsi="Times New Roman"/>
          <w:sz w:val="24"/>
        </w:rPr>
        <w:t xml:space="preserve"> We analyze Oracle performance across different market regimes.</w:t>
      </w:r>
    </w:p>
    <w:p>
      <w:r>
        <w:rPr>
          <w:rFonts w:ascii="Times New Roman" w:hAnsi="Times New Roman"/>
          <w:sz w:val="24"/>
        </w:rPr>
        <w:t>Table 17: Regime-Specific Analysis</w:t>
      </w:r>
    </w:p>
    <w:p>
      <w:r>
        <w:rPr>
          <w:rFonts w:ascii="Times New Roman" w:hAnsi="Times New Roman"/>
          <w:i/>
          <w:sz w:val="24"/>
        </w:rPr>
        <w:t>Oracle performance and optimal thresholds across different market regimes.</w:t>
      </w:r>
    </w:p>
    <w:p>
      <w:r>
        <w:rPr>
          <w:rFonts w:ascii="Times New Roman" w:hAnsi="Times New Roman"/>
          <w:b/>
          <w:sz w:val="24"/>
        </w:rPr>
        <w:t>Key Findings:</w:t>
      </w:r>
    </w:p>
    <w:p>
      <w:r>
        <w:rPr>
          <w:rFonts w:ascii="Times New Roman" w:hAnsi="Times New Roman"/>
          <w:sz w:val="24"/>
        </w:rPr>
        <w:t>Context has the highest value during trending markets (</w:t>
      </w:r>
      <w:r>
        <w:rPr>
          <w:rFonts w:ascii="Times New Roman" w:hAnsi="Times New Roman"/>
          <w:sz w:val="24"/>
        </w:rPr>
        <w:t>).</w:t>
      </w:r>
    </w:p>
    <w:p>
      <w:r>
        <w:rPr>
          <w:rFonts w:ascii="Times New Roman" w:hAnsi="Times New Roman"/>
          <w:sz w:val="24"/>
        </w:rPr>
        <w:t>Context has no measurable value during crisis periods (</w:t>
      </w:r>
      <w:r>
        <w:rPr>
          <w:rFonts w:ascii="Times New Roman" w:hAnsi="Times New Roman"/>
          <w:sz w:val="24"/>
        </w:rPr>
        <w:t>).</w:t>
      </w:r>
    </w:p>
    <w:p>
      <w:r>
        <w:rPr>
          <w:rFonts w:ascii="Times New Roman" w:hAnsi="Times New Roman"/>
          <w:sz w:val="24"/>
        </w:rPr>
        <w:t xml:space="preserve">The optimal threshold varies significantly by regime (spanning </w:t>
      </w:r>
      <w:r>
        <w:rPr>
          <w:rFonts w:ascii="Times New Roman" w:hAnsi="Times New Roman"/>
          <w:sz w:val="24"/>
        </w:rPr>
        <w:t xml:space="preserve"> to </w:t>
      </w:r>
      <w:r>
        <w:rPr>
          <w:rFonts w:ascii="Times New Roman" w:hAnsi="Times New Roman"/>
          <w:sz w:val="24"/>
        </w:rPr>
        <w:t>).</w:t>
      </w:r>
    </w:p>
    <w:p>
      <w:r>
        <w:rPr>
          <w:rFonts w:ascii="Times New Roman" w:hAnsi="Times New Roman"/>
          <w:b/>
          <w:sz w:val="24"/>
        </w:rPr>
        <w:t>Implication:</w:t>
      </w:r>
      <w:r>
        <w:rPr>
          <w:rFonts w:ascii="Times New Roman" w:hAnsi="Times New Roman"/>
          <w:sz w:val="24"/>
        </w:rPr>
        <w:t xml:space="preserve"> The bandit's failure to adapt is particularly costly during trending markets, where regime-specific thresholds could provide significant benefits.</w:t>
      </w:r>
    </w:p>
    <w:p>
      <w:r>
        <w:rPr>
          <w:rFonts w:ascii="Times New Roman" w:hAnsi="Times New Roman"/>
          <w:sz w:val="24"/>
        </w:rPr>
        <w:t>7.9 Robustness Summary</w:t>
      </w:r>
    </w:p>
    <w:p>
      <w:r>
        <w:rPr>
          <w:rFonts w:ascii="Times New Roman" w:hAnsi="Times New Roman"/>
          <w:sz w:val="24"/>
        </w:rPr>
        <w:t>Table 15: Robustness Summary</w:t>
      </w:r>
    </w:p>
    <w:p>
      <w:r>
        <w:rPr>
          <w:rFonts w:ascii="Times New Roman" w:hAnsi="Times New Roman"/>
          <w:i/>
          <w:sz w:val="24"/>
        </w:rPr>
        <w:t>Summary of the experimental outcomes across all ablation trials.</w:t>
      </w:r>
    </w:p>
    <w:p>
      <w:r>
        <w:rPr>
          <w:rFonts w:ascii="Times New Roman" w:hAnsi="Times New Roman"/>
          <w:sz w:val="24"/>
        </w:rPr>
        <w:t>The results in Table 15 establish the following:</w:t>
      </w:r>
    </w:p>
    <w:p>
      <w:r>
        <w:rPr>
          <w:rFonts w:ascii="Times New Roman" w:hAnsi="Times New Roman"/>
          <w:b/>
          <w:sz w:val="24"/>
        </w:rPr>
        <w:t>Source static degeneracy is structural, not parameterized:</w:t>
      </w:r>
      <w:r>
        <w:rPr>
          <w:rFonts w:ascii="Times New Roman" w:hAnsi="Times New Roman"/>
          <w:sz w:val="24"/>
        </w:rPr>
        <w:t xml:space="preserve"> It is not an artifact of model miscalibration or chosen thresholds.</w:t>
      </w:r>
    </w:p>
    <w:p>
      <w:r>
        <w:rPr>
          <w:rFonts w:ascii="Times New Roman" w:hAnsi="Times New Roman"/>
          <w:b/>
          <w:sz w:val="24"/>
        </w:rPr>
        <w:t>FCTT-DA is highly reliable:</w:t>
      </w:r>
      <w:r>
        <w:rPr>
          <w:rFonts w:ascii="Times New Roman" w:hAnsi="Times New Roman"/>
          <w:sz w:val="24"/>
        </w:rPr>
        <w:t xml:space="preserve"> The rejection rule (source modal share </w:t>
      </w:r>
      <w:r>
        <w:rPr>
          <w:rFonts w:ascii="Times New Roman" w:hAnsi="Times New Roman"/>
          <w:sz w:val="24"/>
        </w:rPr>
        <w:t>) correctly handles degenerate transfers across all tested environments.</w:t>
      </w:r>
    </w:p>
    <w:p>
      <w:r>
        <w:rPr>
          <w:rFonts w:ascii="Times New Roman" w:hAnsi="Times New Roman"/>
          <w:sz w:val="24"/>
        </w:rPr>
        <w:t>8. Discussion</w:t>
      </w:r>
    </w:p>
    <w:p>
      <w:r>
        <w:rPr>
          <w:rFonts w:ascii="Times New Roman" w:hAnsi="Times New Roman"/>
          <w:sz w:val="24"/>
        </w:rPr>
        <w:t>8.1 Source Diversity as a Practical Screening Criterion</w:t>
      </w:r>
    </w:p>
    <w:p>
      <w:r>
        <w:rPr>
          <w:rFonts w:ascii="Times New Roman" w:hAnsi="Times New Roman"/>
          <w:sz w:val="24"/>
        </w:rPr>
        <w:t xml:space="preserve">The central finding of this paper is that source policy diversity during training is a useful indicator for transfer success. When the source policy degenerates during training (selecting a single action on </w:t>
      </w:r>
      <w:r>
        <w:rPr>
          <w:rFonts w:ascii="Times New Roman" w:hAnsi="Times New Roman"/>
          <w:sz w:val="24"/>
        </w:rPr>
        <w:t xml:space="preserve"> of observations), the transferred policy inherits this degeneracy on all targets. When the source maintains diversity, the transferred policy maintains some context sensitivity—though it still concentrates on a single threshold (</w:t>
      </w:r>
      <w:r>
        <w:rPr>
          <w:rFonts w:ascii="Times New Roman" w:hAnsi="Times New Roman"/>
          <w:sz w:val="24"/>
        </w:rPr>
        <w:t xml:space="preserve">) on </w:t>
      </w:r>
      <w:r>
        <w:rPr>
          <w:rFonts w:ascii="Times New Roman" w:hAnsi="Times New Roman"/>
          <w:sz w:val="24"/>
        </w:rPr>
        <w:t xml:space="preserve"> of observations. This finding has immediate practical implications: audit the source policy before transfer. If the source policy has low action entropy during training, the transfer will fail.</w:t>
      </w:r>
    </w:p>
    <w:p>
      <w:r>
        <w:rPr>
          <w:rFonts w:ascii="Times New Roman" w:hAnsi="Times New Roman"/>
          <w:sz w:val="24"/>
        </w:rPr>
        <w:t>8.2 Why Do Some Sources Degenerate?</w:t>
      </w:r>
    </w:p>
    <w:p>
      <w:r>
        <w:rPr>
          <w:rFonts w:ascii="Times New Roman" w:hAnsi="Times New Roman"/>
          <w:sz w:val="24"/>
        </w:rPr>
        <w:t>Four of six sources (SPY, QQQ, EEM, GLD) degenerate during training, while TLT and IWM do not. We hypothesize three contributing factors:</w:t>
      </w:r>
    </w:p>
    <w:p>
      <w:r>
        <w:rPr/>
        <w:t>Macro-Driven Dynamics: Long-term Treasury bonds (TLT) are driven by different macroeconomic factors than equities or commodities, such as interest rate cycles, Federal Reserve policy decisions, and flight-to-quality flows. These macro drivers create a context feature space with higher variance, making it harder for LinUCB to converge to a single dominant action within the training window.</w:t>
      </w:r>
    </w:p>
    <w:p>
      <w:r>
        <w:rPr>
          <w:rFonts w:ascii="Times New Roman" w:hAnsi="Times New Roman"/>
          <w:b/>
          <w:sz w:val="24"/>
        </w:rPr>
        <w:t>Mean-Reverting vs. Trending Behavior:</w:t>
      </w:r>
      <w:r>
        <w:rPr>
          <w:rFonts w:ascii="Times New Roman" w:hAnsi="Times New Roman"/>
          <w:sz w:val="24"/>
        </w:rPr>
        <w:t xml:space="preserve"> Bond markets exhibit stronger mean-reversion properties than equity markets. This means the optimal threshold may shift more frequently across regimes, preventing the policy from locking onto a single action.</w:t>
      </w:r>
    </w:p>
    <w:p>
      <w:r>
        <w:rPr>
          <w:rFonts w:ascii="Times New Roman" w:hAnsi="Times New Roman"/>
        </w:rPr>
        <w:t>Context Cloud Geometry: In the 3D context space (Empirical Mode Decomposition (EMD), volatility quantile, trend strength), TLT's context observations may be more dispersed, spanning multiple LinUCB decision regions. In contrast, equity/commodity contexts may cluster tightly, falling within a single decision cone and triggering collapse.</w:t>
      </w:r>
    </w:p>
    <w:p>
      <w:r>
        <w:rPr>
          <w:rFonts w:ascii="Times New Roman" w:hAnsi="Times New Roman"/>
          <w:sz w:val="24"/>
        </w:rPr>
        <w:t>8.3 The Behavioral-Equivalence Insight</w:t>
      </w:r>
    </w:p>
    <w:p>
      <w:r>
        <w:rPr>
          <w:rFonts w:ascii="Times New Roman" w:hAnsi="Times New Roman"/>
          <w:sz w:val="24"/>
        </w:rPr>
        <w:t xml:space="preserve">Even when the TLT source policy does not collapse, it provides no significant improvement over a static </w:t>
      </w:r>
      <w:r>
        <w:rPr>
          <w:rFonts w:ascii="Times New Roman" w:hAnsi="Times New Roman"/>
          <w:sz w:val="24"/>
        </w:rPr>
        <w:t xml:space="preserve"> threshold (mean Sharpe difference: </w:t>
      </w:r>
      <w:r>
        <w:rPr>
          <w:rFonts w:ascii="Times New Roman" w:hAnsi="Times New Roman"/>
          <w:sz w:val="24"/>
        </w:rPr>
        <w:t>). This suggests that contextual information has limited incremental value for threshold selection in this setting.</w:t>
      </w:r>
    </w:p>
    <w:p>
      <w:r>
        <w:rPr>
          <w:rFonts w:ascii="Times New Roman" w:hAnsi="Times New Roman"/>
          <w:sz w:val="24"/>
        </w:rPr>
        <w:t>This finding reveals a two-level diagnostic that practitioners should apply:</w:t>
      </w:r>
    </w:p>
    <w:p>
      <w:r>
        <w:rPr>
          <w:rFonts w:ascii="Times New Roman" w:hAnsi="Times New Roman"/>
          <w:b/>
          <w:sz w:val="24"/>
        </w:rPr>
        <w:t>Level 1 (Formal Collapse):</w:t>
      </w:r>
      <w:r>
        <w:rPr>
          <w:rFonts w:ascii="Times New Roman" w:hAnsi="Times New Roman"/>
          <w:sz w:val="24"/>
        </w:rPr>
        <w:t xml:space="preserve"> Does the policy select a single action on </w:t>
      </w:r>
      <w:r>
        <w:rPr>
          <w:rFonts w:ascii="Times New Roman" w:hAnsi="Times New Roman"/>
          <w:sz w:val="24"/>
        </w:rPr>
        <w:t xml:space="preserve"> of observations?</w:t>
      </w:r>
    </w:p>
    <w:p>
      <w:r>
        <w:rPr>
          <w:rFonts w:ascii="Times New Roman" w:hAnsi="Times New Roman"/>
          <w:b/>
          <w:sz w:val="24"/>
        </w:rPr>
        <w:t>Level 2 (Behavioral Equivalence):</w:t>
      </w:r>
      <w:r>
        <w:rPr>
          <w:rFonts w:ascii="Times New Roman" w:hAnsi="Times New Roman"/>
          <w:sz w:val="24"/>
        </w:rPr>
        <w:t xml:space="preserve"> Does the policy's performance differ significantly from the closest static threshold?</w:t>
      </w:r>
    </w:p>
    <w:p>
      <w:r>
        <w:rPr>
          <w:rFonts w:ascii="Times New Roman" w:hAnsi="Times New Roman"/>
          <w:sz w:val="24"/>
        </w:rPr>
        <w:t>A policy may pass Level 1 (no formal collapse) but fail Level 2 (behaviorally equivalent to a static rule). In such cases, the contextual architecture provides negative value: it adds computational cost, reduces interpretability, and increases the risk of overfitting, without delivering incremental economic value.</w:t>
      </w:r>
    </w:p>
    <w:p>
      <w:r>
        <w:rPr>
          <w:rFonts w:ascii="Times New Roman" w:hAnsi="Times New Roman"/>
          <w:sz w:val="24"/>
        </w:rPr>
        <w:t>This second failure mode is economically important. Avoiding formal collapse is a necessary but not sufficient condition for useful contextual transfer. In low-signal financial environments, a policy may continue to vary its actions across contexts yet fail to generate incremental out-of-sample value relative to the static threshold that best approximates its behavior. The TLT results illustrate precisely this distinction: behavioral diversity survives, but contextual alpha does not emerge.</w:t>
      </w:r>
    </w:p>
    <w:p>
      <w:r>
        <w:rPr>
          <w:rFonts w:ascii="Times New Roman" w:hAnsi="Times New Roman"/>
          <w:sz w:val="24"/>
        </w:rPr>
        <w:t>We therefore interpret the absence of significant gains over the behavioral-equivalent baseline not as a failure of the audit framework, but as a central negative result. This pattern is consistent with the low signal-to-noise environment typically encountered in financial prediction, where adaptive gating can be difficult to monetize out of sample. A complex contextual policy can consume additional computation, increase turnover, reduce interpretability, and enlarge the model-risk surface without delivering economically meaningful adaptation. The appropriate conclusion is not that contextual bandits are inherently useless, but that contextual complexity must earn its place through incremental out-of-sample value. FCTT-DA makes this requirement explicit by separating three questions: whether a policy remains behaviorally diverse, whether that diversity differs meaningfully from a static rule, and whether the resulting adaptation survives transaction costs.</w:t>
      </w:r>
    </w:p>
    <w:p>
      <w:r>
        <w:rPr>
          <w:rFonts w:ascii="Times New Roman" w:hAnsi="Times New Roman"/>
          <w:i/>
          <w:sz w:val="24"/>
        </w:rPr>
        <w:t>Practical recommendation:</w:t>
      </w:r>
      <w:r>
        <w:rPr>
          <w:rFonts w:ascii="Times New Roman" w:hAnsi="Times New Roman"/>
          <w:sz w:val="24"/>
        </w:rPr>
        <w:t xml:space="preserve"> Before deploying any transferred policy, compare it against:</w:t>
      </w:r>
    </w:p>
    <w:p>
      <w:r>
        <w:rPr>
          <w:rFonts w:ascii="Times New Roman" w:hAnsi="Times New Roman"/>
          <w:sz w:val="24"/>
        </w:rPr>
        <w:t xml:space="preserve">The conventional </w:t>
      </w:r>
      <w:r>
        <w:rPr>
          <w:rFonts w:ascii="Times New Roman" w:hAnsi="Times New Roman"/>
          <w:sz w:val="24"/>
        </w:rPr>
        <w:t xml:space="preserve"> cutoff.</w:t>
      </w:r>
    </w:p>
    <w:p>
      <w:r>
        <w:rPr>
          <w:rFonts w:ascii="Times New Roman" w:hAnsi="Times New Roman"/>
          <w:sz w:val="24"/>
        </w:rPr>
        <w:t>The behavioral-equivalent static threshold.</w:t>
      </w:r>
    </w:p>
    <w:p>
      <w:r>
        <w:rPr>
          <w:rFonts w:ascii="Times New Roman" w:hAnsi="Times New Roman"/>
          <w:sz w:val="24"/>
        </w:rPr>
        <w:t>The exposure-matched static threshold.</w:t>
      </w:r>
    </w:p>
    <w:p>
      <w:r>
        <w:rPr>
          <w:rFonts w:ascii="Times New Roman" w:hAnsi="Times New Roman"/>
          <w:sz w:val="24"/>
        </w:rPr>
        <w:t>Only if the learned policy significantly outperforms all three should it be deployed in production.</w:t>
      </w:r>
    </w:p>
    <w:p>
      <w:r>
        <w:rPr>
          <w:rFonts w:ascii="Times New Roman" w:hAnsi="Times New Roman"/>
          <w:sz w:val="24"/>
        </w:rPr>
        <w:t>8.4 Implications for Practitioners and Researchers</w:t>
      </w:r>
    </w:p>
    <w:p>
      <w:r>
        <w:rPr>
          <w:rFonts w:ascii="Times New Roman" w:hAnsi="Times New Roman"/>
          <w:b/>
          <w:sz w:val="24"/>
        </w:rPr>
        <w:t>Practitioners:</w:t>
      </w:r>
    </w:p>
    <w:p>
      <w:r>
        <w:rPr>
          <w:rFonts w:ascii="Times New Roman" w:hAnsi="Times New Roman"/>
          <w:b/>
          <w:sz w:val="24"/>
        </w:rPr>
        <w:t>Audit before deployment:</w:t>
      </w:r>
      <w:r>
        <w:rPr>
          <w:rFonts w:ascii="Times New Roman" w:hAnsi="Times New Roman"/>
          <w:sz w:val="24"/>
        </w:rPr>
        <w:t xml:space="preserve"> Check source policy diversity. If modal share </w:t>
      </w:r>
      <w:r>
        <w:rPr>
          <w:rFonts w:ascii="Times New Roman" w:hAnsi="Times New Roman"/>
          <w:sz w:val="24"/>
        </w:rPr>
        <w:t>, reject the transfer.</w:t>
      </w:r>
    </w:p>
    <w:p>
      <w:r>
        <w:rPr>
          <w:rFonts w:ascii="Times New Roman" w:hAnsi="Times New Roman"/>
          <w:b/>
          <w:sz w:val="24"/>
        </w:rPr>
        <w:t>Compare against behavioral-equivalent baselines:</w:t>
      </w:r>
      <w:r>
        <w:rPr>
          <w:rFonts w:ascii="Times New Roman" w:hAnsi="Times New Roman"/>
          <w:sz w:val="24"/>
        </w:rPr>
        <w:t xml:space="preserve"> Do not just compare against </w:t>
      </w:r>
      <w:r>
        <w:rPr>
          <w:rFonts w:ascii="Times New Roman" w:hAnsi="Times New Roman"/>
          <w:sz w:val="24"/>
        </w:rPr>
        <w:t>.</w:t>
      </w:r>
    </w:p>
    <w:p>
      <w:r>
        <w:rPr>
          <w:rFonts w:ascii="Times New Roman" w:hAnsi="Times New Roman"/>
          <w:b/>
          <w:sz w:val="24"/>
        </w:rPr>
        <w:t>Report action distributions:</w:t>
      </w:r>
      <w:r>
        <w:rPr>
          <w:rFonts w:ascii="Times New Roman" w:hAnsi="Times New Roman"/>
          <w:sz w:val="24"/>
        </w:rPr>
        <w:t xml:space="preserve"> Aggregate Sharpe ratios mask behavioral degeneracy.</w:t>
      </w:r>
    </w:p>
    <w:p>
      <w:r>
        <w:rPr>
          <w:rFonts w:ascii="Times New Roman" w:hAnsi="Times New Roman"/>
          <w:b/>
          <w:sz w:val="24"/>
        </w:rPr>
        <w:t>Researchers:</w:t>
      </w:r>
    </w:p>
    <w:p>
      <w:r>
        <w:rPr>
          <w:rFonts w:ascii="Times New Roman" w:hAnsi="Times New Roman"/>
          <w:b/>
          <w:sz w:val="24"/>
        </w:rPr>
        <w:t>Negative results are valuable:</w:t>
      </w:r>
      <w:r>
        <w:rPr>
          <w:rFonts w:ascii="Times New Roman" w:hAnsi="Times New Roman"/>
          <w:sz w:val="24"/>
        </w:rPr>
        <w:t xml:space="preserve"> Establishing that a common practice fails is as important as proposing new methods.</w:t>
      </w:r>
    </w:p>
    <w:p>
      <w:r>
        <w:rPr>
          <w:rFonts w:ascii="Times New Roman" w:hAnsi="Times New Roman"/>
          <w:b/>
          <w:sz w:val="24"/>
        </w:rPr>
        <w:t>The audit framework is general:</w:t>
      </w:r>
      <w:r>
        <w:rPr>
          <w:rFonts w:ascii="Times New Roman" w:hAnsi="Times New Roman"/>
          <w:sz w:val="24"/>
        </w:rPr>
        <w:t xml:space="preserve"> FCTT-DA applies to any domain where learned policies are transferred.</w:t>
      </w:r>
    </w:p>
    <w:p>
      <w:r>
        <w:rPr>
          <w:rFonts w:ascii="Times New Roman" w:hAnsi="Times New Roman"/>
          <w:sz w:val="24"/>
        </w:rPr>
        <w:t>8.5 Limitations and Future Directions</w:t>
      </w:r>
    </w:p>
    <w:p>
      <w:r>
        <w:rPr>
          <w:rFonts w:ascii="Times New Roman" w:hAnsi="Times New Roman"/>
          <w:b/>
          <w:sz w:val="24"/>
        </w:rPr>
        <w:t>Linear Bandit Assumption:</w:t>
      </w:r>
      <w:r>
        <w:rPr>
          <w:rFonts w:ascii="Times New Roman" w:hAnsi="Times New Roman"/>
          <w:sz w:val="24"/>
        </w:rPr>
        <w:t xml:space="preserve"> LinUCB's linear assumption may be too restrictive. Future work should explore kernelized bandits (e.g., GP-UCB) or deep contextual bandits.</w:t>
      </w:r>
    </w:p>
    <w:p>
      <w:r>
        <w:rPr>
          <w:rFonts w:ascii="Times New Roman" w:hAnsi="Times New Roman"/>
          <w:b/>
          <w:sz w:val="24"/>
        </w:rPr>
        <w:t>No Target Adaptation:</w:t>
      </w:r>
      <w:r>
        <w:rPr>
          <w:rFonts w:ascii="Times New Roman" w:hAnsi="Times New Roman"/>
          <w:sz w:val="24"/>
        </w:rPr>
        <w:t xml:space="preserve"> Our protocol forbids any target-side learning. A promising direction is semi-frozen fine-tuning (parameter-efficient adaptation).</w:t>
      </w:r>
    </w:p>
    <w:p>
      <w:r>
        <w:rPr>
          <w:rFonts w:ascii="Times New Roman" w:hAnsi="Times New Roman"/>
          <w:b/>
          <w:sz w:val="24"/>
        </w:rPr>
        <w:t>Threshold Grid Sensitivity:</w:t>
      </w:r>
      <w:r>
        <w:rPr>
          <w:rFonts w:ascii="Times New Roman" w:hAnsi="Times New Roman"/>
          <w:sz w:val="24"/>
        </w:rPr>
        <w:t xml:space="preserve"> The threshold grid is a critical design choice. Future work should explore continuous threshold selection (e.g., Beta distribution over thresholds).</w:t>
      </w:r>
    </w:p>
    <w:p>
      <w:r>
        <w:rPr>
          <w:rFonts w:ascii="Times New Roman" w:hAnsi="Times New Roman"/>
          <w:b/>
          <w:sz w:val="24"/>
        </w:rPr>
        <w:t>Single Source per Transfer:</w:t>
      </w:r>
      <w:r>
        <w:rPr>
          <w:rFonts w:ascii="Times New Roman" w:hAnsi="Times New Roman"/>
          <w:sz w:val="24"/>
        </w:rPr>
        <w:t xml:space="preserve"> Each transfer uses one source asset. Multi-source aggregation may produce more robust policies.</w:t>
      </w:r>
    </w:p>
    <w:p>
      <w:r>
        <w:rPr>
          <w:rFonts w:ascii="Times New Roman" w:hAnsi="Times New Roman"/>
          <w:b/>
          <w:sz w:val="24"/>
        </w:rPr>
        <w:t>Probability Calibration:</w:t>
      </w:r>
      <w:r>
        <w:rPr>
          <w:rFonts w:ascii="Times New Roman" w:hAnsi="Times New Roman"/>
          <w:sz w:val="24"/>
        </w:rPr>
        <w:t xml:space="preserve"> While we show calibration does not affect collapse rates, explicit calibration could potentially improve absolute performance for non-degenerate sources.</w:t>
      </w:r>
    </w:p>
    <w:p>
      <w:r>
        <w:rPr>
          <w:rFonts w:ascii="Times New Roman" w:hAnsi="Times New Roman"/>
          <w:sz w:val="24"/>
        </w:rPr>
        <w:t>9. Conclusion</w:t>
      </w:r>
    </w:p>
    <w:p>
      <w:r>
        <w:rPr>
          <w:rFonts w:ascii="Times New Roman" w:hAnsi="Times New Roman"/>
        </w:rPr>
        <w:t>We have shown that frozen contextual threshold policies collapse to static rules when transferred across assets—but only when the source policy has already degenerated during training. Source diversity is associated with transfer success in our experiments: degenerate sources lead to universal target collapse (152 of 228 pairs), while diverse sources maintain context sensitivity (0% collapse, though still 73% concentrated on one threshold).</w:t>
      </w:r>
    </w:p>
    <w:p>
      <w:r>
        <w:rPr>
          <w:rFonts w:ascii="Times New Roman" w:hAnsi="Times New Roman"/>
          <w:sz w:val="24"/>
        </w:rPr>
        <w:t>We propose three key takeaways for the field:</w:t>
      </w:r>
    </w:p>
    <w:p>
      <w:r>
        <w:rPr>
          <w:rFonts w:ascii="Times New Roman" w:hAnsi="Times New Roman"/>
          <w:b/>
          <w:sz w:val="24"/>
        </w:rPr>
        <w:t>Practitioners:</w:t>
      </w:r>
      <w:r>
        <w:rPr>
          <w:rFonts w:ascii="Times New Roman" w:hAnsi="Times New Roman"/>
          <w:sz w:val="24"/>
        </w:rPr>
        <w:t xml:space="preserve"> Audit source policy diversity before transfer. </w:t>
      </w:r>
      <w:r>
        <w:rPr>
          <w:rFonts w:ascii="Times New Roman" w:hAnsi="Times New Roman"/>
          <w:sz w:val="24"/>
        </w:rPr>
        <w:t>In our experiments, such source policies failed on every evaluated target; therefore, we recommend rejecting them before transfer.</w:t>
      </w:r>
    </w:p>
    <w:p>
      <w:r>
        <w:rPr>
          <w:rFonts w:ascii="Times New Roman" w:hAnsi="Times New Roman"/>
          <w:b/>
          <w:sz w:val="24"/>
        </w:rPr>
        <w:t>Researchers:</w:t>
      </w:r>
      <w:r>
        <w:rPr>
          <w:rFonts w:ascii="Times New Roman" w:hAnsi="Times New Roman"/>
          <w:sz w:val="24"/>
        </w:rPr>
        <w:t xml:space="preserve"> Report action distributions, not just aggregate performance.</w:t>
      </w:r>
    </w:p>
    <w:p>
      <w:r>
        <w:rPr/>
        <w:t>Evaluation focus: Replace the question "Does the policy transfer?" with the more diagnostic question "Does the transferred policy retain contextual adaptation?"</w:t>
      </w:r>
    </w:p>
    <w:p>
      <w:r>
        <w:rPr/>
        <w:t>We contribute FCTT-DA, a falsifiable audit framework designed to reduce false transfer claims. The framework may be applicable beyond finance, subject to domain-specific validation, wherever learned policies are transferred across environments.</w:t>
      </w:r>
    </w:p>
    <w:p>
      <w:r>
        <w:rPr>
          <w:rFonts w:ascii="Times New Roman" w:hAnsi="Times New Roman"/>
          <w:sz w:val="24"/>
        </w:rPr>
        <w:t>JEL Classification</w:t>
      </w:r>
    </w:p>
    <w:p>
      <w:r>
        <w:rPr>
          <w:rFonts w:ascii="Times New Roman" w:hAnsi="Times New Roman"/>
          <w:sz w:val="24"/>
        </w:rPr>
        <w:t>G11 (Portfolio Choice); G12 (Asset Pricing); C44 (Statistical Decision Theory); C61 (Optimization Techniques)</w:t>
      </w:r>
    </w:p>
    <w:p>
      <w:r>
        <w:rPr>
          <w:b/>
          <w:sz w:val="28"/>
        </w:rPr>
        <w:t>Declarations</w:t>
      </w:r>
    </w:p>
    <w:p/>
    <w:p>
      <w:r>
        <w:rPr>
          <w:b/>
          <w:sz w:val="24"/>
        </w:rPr>
        <w:t>Availability of data and material</w:t>
      </w:r>
    </w:p>
    <w:p>
      <w:r>
        <w:rPr/>
        <w:t>All data sources are publicly available. Equity and ETF price data are from Yahoo Finance. Cryptocurrency data are from Yahoo Finance and CoinGecko. Complete data manifests with SHA-256 checksums are provided in the supplementary materials. All code and processed data are publicly available on GitHub: https://github.com/Skywalkerhm/FCTT-DA-Financial-Innovation</w:t>
      </w:r>
    </w:p>
    <w:p/>
    <w:p>
      <w:r>
        <w:rPr>
          <w:b/>
          <w:sz w:val="24"/>
        </w:rPr>
        <w:t>Competing interests</w:t>
      </w:r>
    </w:p>
    <w:p>
      <w:r>
        <w:rPr/>
        <w:t>The authors declare that they have no competing interests.</w:t>
      </w:r>
    </w:p>
    <w:p/>
    <w:p>
      <w:r>
        <w:rPr>
          <w:b/>
          <w:sz w:val="24"/>
        </w:rPr>
        <w:t>Funding</w:t>
      </w:r>
    </w:p>
    <w:p>
      <w:r>
        <w:rPr/>
        <w:t>This research did not receive any specific grant from funding agencies in the public, commercial, or not-for-profit sectors.</w:t>
      </w:r>
    </w:p>
    <w:p/>
    <w:p>
      <w:r>
        <w:rPr>
          <w:b/>
          <w:sz w:val="24"/>
        </w:rPr>
        <w:t>Authors' contributions</w:t>
      </w:r>
    </w:p>
    <w:p>
      <w:r>
        <w:rPr/>
        <w:t>MH conceived the study, developed the methodology, and wrote the manuscript. ML contributed to the theoretical framework and formal analysis. XL assisted with data collection and validation. All authors read and approved the final manuscript.</w:t>
      </w:r>
    </w:p>
    <w:p/>
    <w:p>
      <w:r>
        <w:rPr>
          <w:b/>
          <w:sz w:val="24"/>
        </w:rPr>
        <w:t>Acknowledgments</w:t>
      </w:r>
    </w:p>
    <w:p>
      <w:r>
        <w:rPr/>
        <w:t>The author thanks the editor and anonymous reviewers for their valuable suggestions.</w:t>
      </w:r>
    </w:p>
    <w:p/>
    <w:p>
      <w:r>
        <w:rPr>
          <w:rFonts w:ascii="Times New Roman" w:hAnsi="Times New Roman"/>
          <w:sz w:val="24"/>
        </w:rPr>
        <w:t>References</w:t>
      </w:r>
    </w:p>
    <w:p>
      <w:r>
        <w:rPr>
          <w:rFonts w:ascii="Times New Roman" w:hAnsi="Times New Roman"/>
          <w:sz w:val="24"/>
        </w:rPr>
        <w:t xml:space="preserve">Araci, D. (2019). FinBERT: Financial sentiment analysis with pre-trained language models. </w:t>
      </w:r>
      <w:r>
        <w:rPr>
          <w:rFonts w:ascii="Times New Roman" w:hAnsi="Times New Roman"/>
          <w:i/>
          <w:sz w:val="24"/>
        </w:rPr>
        <w:t>arXiv preprint arXiv:1908.10063</w:t>
      </w:r>
      <w:r>
        <w:rPr>
          <w:rFonts w:ascii="Times New Roman" w:hAnsi="Times New Roman"/>
          <w:sz w:val="24"/>
        </w:rPr>
        <w:t>.</w:t>
      </w:r>
    </w:p>
    <w:p>
      <w:r>
        <w:rPr>
          <w:rFonts w:ascii="Times New Roman" w:hAnsi="Times New Roman"/>
          <w:sz w:val="24"/>
        </w:rPr>
        <w:t xml:space="preserve">Barocas, S., &amp; Selbst, A. D. (2016). Big data's disparate impact. </w:t>
      </w:r>
      <w:r>
        <w:rPr>
          <w:rFonts w:ascii="Times New Roman" w:hAnsi="Times New Roman"/>
          <w:i/>
          <w:sz w:val="24"/>
        </w:rPr>
        <w:t>California Law Review</w:t>
      </w:r>
      <w:r>
        <w:rPr>
          <w:rFonts w:ascii="Times New Roman" w:hAnsi="Times New Roman"/>
          <w:sz w:val="24"/>
        </w:rPr>
        <w:t>, 104, 671.</w:t>
      </w:r>
    </w:p>
    <w:p>
      <w:r>
        <w:rPr>
          <w:rFonts w:ascii="Times New Roman" w:hAnsi="Times New Roman"/>
          <w:sz w:val="24"/>
        </w:rPr>
        <w:t xml:space="preserve">Chu, W., Li, L., Reyzin, L., &amp; Schapire, R. (2011). Contextual bandits with linear payoff functions. </w:t>
      </w:r>
      <w:r>
        <w:rPr>
          <w:rFonts w:ascii="Times New Roman" w:hAnsi="Times New Roman"/>
          <w:i/>
          <w:sz w:val="24"/>
        </w:rPr>
        <w:t>AISTATS</w:t>
      </w:r>
      <w:r>
        <w:rPr>
          <w:rFonts w:ascii="Times New Roman" w:hAnsi="Times New Roman"/>
          <w:sz w:val="24"/>
        </w:rPr>
        <w:t>, 208–214.</w:t>
      </w:r>
    </w:p>
    <w:p>
      <w:r>
        <w:rPr>
          <w:rFonts w:ascii="Times New Roman" w:hAnsi="Times New Roman"/>
          <w:sz w:val="24"/>
        </w:rPr>
        <w:t xml:space="preserve">Coqueret, G., &amp; Guida, T. (2023). </w:t>
      </w:r>
      <w:r>
        <w:rPr>
          <w:rFonts w:ascii="Times New Roman" w:hAnsi="Times New Roman"/>
          <w:i/>
          <w:sz w:val="24"/>
        </w:rPr>
        <w:t>Machine Learning for Factor Investing</w:t>
      </w:r>
      <w:r>
        <w:rPr>
          <w:rFonts w:ascii="Times New Roman" w:hAnsi="Times New Roman"/>
          <w:sz w:val="24"/>
        </w:rPr>
        <w:t>. Chapman &amp; Hall. https://doi.org/10.1201/9781003046509</w:t>
      </w:r>
    </w:p>
    <w:p>
      <w:r>
        <w:rPr>
          <w:rFonts w:ascii="Times New Roman" w:hAnsi="Times New Roman"/>
          <w:sz w:val="24"/>
        </w:rPr>
        <w:t xml:space="preserve">Dixon, M., Halperin, I., &amp; Bilokon, P. (2020). </w:t>
      </w:r>
      <w:r>
        <w:rPr>
          <w:rFonts w:ascii="Times New Roman" w:hAnsi="Times New Roman"/>
          <w:i/>
          <w:sz w:val="24"/>
        </w:rPr>
        <w:t>Machine Learning in Finance: From Theory to Practice</w:t>
      </w:r>
      <w:r>
        <w:rPr>
          <w:rFonts w:ascii="Times New Roman" w:hAnsi="Times New Roman"/>
          <w:sz w:val="24"/>
        </w:rPr>
        <w:t>. Springer. https://doi.org/10.1007/978-3-030-41068-1</w:t>
      </w:r>
    </w:p>
    <w:p>
      <w:r>
        <w:rPr>
          <w:rFonts w:ascii="Times New Roman" w:hAnsi="Times New Roman"/>
          <w:sz w:val="24"/>
        </w:rPr>
        <w:t xml:space="preserve">Doshi-Velez, F., &amp; Kim, B. (2017). Towards a rigorous science of interpretable machine learning. </w:t>
      </w:r>
      <w:r>
        <w:rPr>
          <w:rFonts w:ascii="Times New Roman" w:hAnsi="Times New Roman"/>
          <w:i/>
          <w:sz w:val="24"/>
        </w:rPr>
        <w:t>arXiv preprint arXiv:1702.08608</w:t>
      </w:r>
      <w:r>
        <w:rPr>
          <w:rFonts w:ascii="Times New Roman" w:hAnsi="Times New Roman"/>
          <w:sz w:val="24"/>
        </w:rPr>
        <w:t>.</w:t>
      </w:r>
    </w:p>
    <w:p>
      <w:r>
        <w:rPr>
          <w:rFonts w:ascii="Times New Roman" w:hAnsi="Times New Roman"/>
          <w:sz w:val="24"/>
        </w:rPr>
        <w:t xml:space="preserve">Fama, E. F., &amp; French, K. R. (1993). Common risk factors in the returns on stocks and bonds. </w:t>
      </w:r>
      <w:r>
        <w:rPr>
          <w:rFonts w:ascii="Times New Roman" w:hAnsi="Times New Roman"/>
          <w:i/>
          <w:sz w:val="24"/>
        </w:rPr>
        <w:t>Journal of Financial Economics</w:t>
      </w:r>
      <w:r>
        <w:rPr>
          <w:rFonts w:ascii="Times New Roman" w:hAnsi="Times New Roman"/>
          <w:sz w:val="24"/>
        </w:rPr>
        <w:t>, 33(1), 3–56. https://doi.org/10.1016/0304-405X(93)90023-5</w:t>
      </w:r>
    </w:p>
    <w:p>
      <w:r>
        <w:rPr>
          <w:rFonts w:ascii="Times New Roman" w:hAnsi="Times New Roman"/>
          <w:sz w:val="24"/>
        </w:rPr>
        <w:t xml:space="preserve">Federal Reserve. (2011). Supervisory Guidance on Model Risk Management. </w:t>
      </w:r>
      <w:r>
        <w:rPr>
          <w:rFonts w:ascii="Times New Roman" w:hAnsi="Times New Roman"/>
          <w:i/>
          <w:sz w:val="24"/>
        </w:rPr>
        <w:t>Supervisory Letter SR 11-7</w:t>
      </w:r>
      <w:r>
        <w:rPr>
          <w:rFonts w:ascii="Times New Roman" w:hAnsi="Times New Roman"/>
          <w:sz w:val="24"/>
        </w:rPr>
        <w:t>.</w:t>
      </w:r>
    </w:p>
    <w:p>
      <w:r>
        <w:rPr>
          <w:rFonts w:ascii="Times New Roman" w:hAnsi="Times New Roman"/>
          <w:sz w:val="24"/>
        </w:rPr>
        <w:t xml:space="preserve">Feng, G., He, J., &amp; Polson, N. G. (2020). Deep learning for predicting asset returns. </w:t>
      </w:r>
      <w:r>
        <w:rPr>
          <w:rFonts w:ascii="Times New Roman" w:hAnsi="Times New Roman"/>
          <w:i/>
          <w:sz w:val="24"/>
        </w:rPr>
        <w:t>Journal of Applied Econometrics</w:t>
      </w:r>
      <w:r>
        <w:rPr>
          <w:rFonts w:ascii="Times New Roman" w:hAnsi="Times New Roman"/>
          <w:sz w:val="24"/>
        </w:rPr>
        <w:t>, 35(2), 127–148.</w:t>
      </w:r>
    </w:p>
    <w:p>
      <w:r>
        <w:rPr>
          <w:rFonts w:ascii="Times New Roman" w:hAnsi="Times New Roman"/>
          <w:sz w:val="24"/>
        </w:rPr>
        <w:t xml:space="preserve">Gu, S., Kelly, B., &amp; Xiu, D. (2020). Empirical asset pricing via machine learning. </w:t>
      </w:r>
      <w:r>
        <w:rPr>
          <w:rFonts w:ascii="Times New Roman" w:hAnsi="Times New Roman"/>
          <w:i/>
          <w:sz w:val="24"/>
        </w:rPr>
        <w:t>Review of Financial Studies</w:t>
      </w:r>
      <w:r>
        <w:rPr>
          <w:rFonts w:ascii="Times New Roman" w:hAnsi="Times New Roman"/>
          <w:sz w:val="24"/>
        </w:rPr>
        <w:t>, 33(5), 2223–2273. https://doi.org/10.1093/rfs/hhaa009</w:t>
      </w:r>
    </w:p>
    <w:p>
      <w:r>
        <w:rPr>
          <w:rFonts w:ascii="Times New Roman" w:hAnsi="Times New Roman"/>
          <w:sz w:val="24"/>
        </w:rPr>
        <w:t xml:space="preserve">Guidotti, R., et al. (2018). A survey of methods for explaining black box models. </w:t>
      </w:r>
      <w:r>
        <w:rPr>
          <w:rFonts w:ascii="Times New Roman" w:hAnsi="Times New Roman"/>
          <w:i/>
          <w:sz w:val="24"/>
        </w:rPr>
        <w:t>ACM Computing Surveys</w:t>
      </w:r>
      <w:r>
        <w:rPr>
          <w:rFonts w:ascii="Times New Roman" w:hAnsi="Times New Roman"/>
          <w:sz w:val="24"/>
        </w:rPr>
        <w:t>, 51(5), 1–42.</w:t>
      </w:r>
    </w:p>
    <w:p>
      <w:r>
        <w:rPr>
          <w:rFonts w:ascii="Times New Roman" w:hAnsi="Times New Roman"/>
          <w:sz w:val="24"/>
        </w:rPr>
        <w:t xml:space="preserve">Harvey, C. R., Liu, Y., &amp; Zhu, H. (2016). ...and the cross-section of expected returns. </w:t>
      </w:r>
      <w:r>
        <w:rPr>
          <w:rFonts w:ascii="Times New Roman" w:hAnsi="Times New Roman"/>
          <w:i/>
          <w:sz w:val="24"/>
        </w:rPr>
        <w:t>Review of Financial Studies</w:t>
      </w:r>
      <w:r>
        <w:rPr>
          <w:rFonts w:ascii="Times New Roman" w:hAnsi="Times New Roman"/>
          <w:sz w:val="24"/>
        </w:rPr>
        <w:t>, 29(1), 5–68. https://doi.org/10.1093/rfs/hhv059</w:t>
      </w:r>
    </w:p>
    <w:p>
      <w:r>
        <w:rPr>
          <w:rFonts w:ascii="Times New Roman" w:hAnsi="Times New Roman"/>
          <w:sz w:val="24"/>
        </w:rPr>
        <w:t xml:space="preserve">Jansen, S. (2020). </w:t>
      </w:r>
      <w:r>
        <w:rPr>
          <w:rFonts w:ascii="Times New Roman" w:hAnsi="Times New Roman"/>
          <w:i/>
          <w:sz w:val="24"/>
        </w:rPr>
        <w:t>Machine Learning for Algorithmic Trading</w:t>
      </w:r>
      <w:r>
        <w:rPr>
          <w:rFonts w:ascii="Times New Roman" w:hAnsi="Times New Roman"/>
          <w:sz w:val="24"/>
        </w:rPr>
        <w:t>. Packt Publishing.</w:t>
      </w:r>
    </w:p>
    <w:p>
      <w:r>
        <w:rPr>
          <w:rFonts w:ascii="Times New Roman" w:hAnsi="Times New Roman"/>
          <w:sz w:val="24"/>
        </w:rPr>
        <w:t xml:space="preserve">Kelly, B. T., Pruitt, S., &amp; Su, Y. (2019). Characteristics are covariances: A unified model of risk and return. </w:t>
      </w:r>
      <w:r>
        <w:rPr>
          <w:rFonts w:ascii="Times New Roman" w:hAnsi="Times New Roman"/>
          <w:i/>
          <w:sz w:val="24"/>
        </w:rPr>
        <w:t>Journal of Financial Economics</w:t>
      </w:r>
      <w:r>
        <w:rPr>
          <w:rFonts w:ascii="Times New Roman" w:hAnsi="Times New Roman"/>
          <w:sz w:val="24"/>
        </w:rPr>
        <w:t>, 134(3), 501–540.</w:t>
      </w:r>
    </w:p>
    <w:p>
      <w:r>
        <w:rPr>
          <w:rFonts w:ascii="Times New Roman" w:hAnsi="Times New Roman"/>
          <w:sz w:val="24"/>
        </w:rPr>
        <w:t xml:space="preserve">Leippold, M., Wang, Q., &amp; Zhou, W. (2022). Machine learning in the Chinese stock market. </w:t>
      </w:r>
      <w:r>
        <w:rPr>
          <w:rFonts w:ascii="Times New Roman" w:hAnsi="Times New Roman"/>
          <w:i/>
          <w:sz w:val="24"/>
        </w:rPr>
        <w:t>Journal of Financial Economics</w:t>
      </w:r>
      <w:r>
        <w:rPr>
          <w:rFonts w:ascii="Times New Roman" w:hAnsi="Times New Roman"/>
          <w:sz w:val="24"/>
        </w:rPr>
        <w:t>, 145(2), 64–82. https://doi.org/10.1016/j.jfineco.2022.02.005</w:t>
      </w:r>
    </w:p>
    <w:p>
      <w:r>
        <w:rPr>
          <w:rFonts w:ascii="Times New Roman" w:hAnsi="Times New Roman"/>
          <w:sz w:val="24"/>
        </w:rPr>
        <w:t xml:space="preserve">Li, L., Chu, W., Langford, J., &amp; Schapire, R. E. (2010). A contextual-bandit approach to personalized news article recommendation. </w:t>
      </w:r>
      <w:r>
        <w:rPr>
          <w:rFonts w:ascii="Times New Roman" w:hAnsi="Times New Roman"/>
          <w:i/>
          <w:sz w:val="24"/>
        </w:rPr>
        <w:t>WWW</w:t>
      </w:r>
      <w:r>
        <w:rPr>
          <w:rFonts w:ascii="Times New Roman" w:hAnsi="Times New Roman"/>
          <w:sz w:val="24"/>
        </w:rPr>
        <w:t>, 661–670.</w:t>
      </w:r>
    </w:p>
    <w:p>
      <w:r>
        <w:rPr>
          <w:rFonts w:ascii="Times New Roman" w:hAnsi="Times New Roman"/>
          <w:sz w:val="24"/>
        </w:rPr>
        <w:t xml:space="preserve">López de Prado, M. (2018). </w:t>
      </w:r>
      <w:r>
        <w:rPr>
          <w:rFonts w:ascii="Times New Roman" w:hAnsi="Times New Roman"/>
          <w:i/>
          <w:sz w:val="24"/>
        </w:rPr>
        <w:t>Advances in Financial Machine Learning</w:t>
      </w:r>
      <w:r>
        <w:rPr>
          <w:rFonts w:ascii="Times New Roman" w:hAnsi="Times New Roman"/>
          <w:sz w:val="24"/>
        </w:rPr>
        <w:t>. Wiley. https://doi.org/10.1002/9781119482086</w:t>
      </w:r>
    </w:p>
    <w:p>
      <w:r>
        <w:rPr>
          <w:rFonts w:ascii="Times New Roman" w:hAnsi="Times New Roman"/>
          <w:sz w:val="24"/>
        </w:rPr>
        <w:t xml:space="preserve">Lundberg, S. M., &amp; Lee, S.-I. (2017). A unified approach to interpreting model predictions. </w:t>
      </w:r>
      <w:r>
        <w:rPr>
          <w:rFonts w:ascii="Times New Roman" w:hAnsi="Times New Roman"/>
          <w:i/>
          <w:sz w:val="24"/>
        </w:rPr>
        <w:t>Advances in Neural Information Processing Systems</w:t>
      </w:r>
      <w:r>
        <w:rPr>
          <w:rFonts w:ascii="Times New Roman" w:hAnsi="Times New Roman"/>
          <w:sz w:val="24"/>
        </w:rPr>
        <w:t>, 30.</w:t>
      </w:r>
    </w:p>
    <w:p>
      <w:r>
        <w:rPr>
          <w:rFonts w:ascii="Times New Roman" w:hAnsi="Times New Roman"/>
          <w:sz w:val="24"/>
        </w:rPr>
        <w:t xml:space="preserve">McLean, R. D., &amp; Pontiff, J. (2016). Does academic research destroy stock return predictability? </w:t>
      </w:r>
      <w:r>
        <w:rPr>
          <w:rFonts w:ascii="Times New Roman" w:hAnsi="Times New Roman"/>
          <w:i/>
          <w:sz w:val="24"/>
        </w:rPr>
        <w:t>Journal of Finance</w:t>
      </w:r>
      <w:r>
        <w:rPr>
          <w:rFonts w:ascii="Times New Roman" w:hAnsi="Times New Roman"/>
          <w:sz w:val="24"/>
        </w:rPr>
        <w:t>, 71(1), 5–32. https://doi.org/10.1111/jofi.12365</w:t>
      </w:r>
    </w:p>
    <w:p>
      <w:r>
        <w:rPr>
          <w:rFonts w:ascii="Times New Roman" w:hAnsi="Times New Roman"/>
          <w:sz w:val="24"/>
        </w:rPr>
        <w:t xml:space="preserve">Moreno-Torres, J. G., et al. (2012). A unifying view on dataset shift in classification. </w:t>
      </w:r>
      <w:r>
        <w:rPr>
          <w:rFonts w:ascii="Times New Roman" w:hAnsi="Times New Roman"/>
          <w:i/>
          <w:sz w:val="24"/>
        </w:rPr>
        <w:t>Pattern Recognition</w:t>
      </w:r>
      <w:r>
        <w:rPr>
          <w:rFonts w:ascii="Times New Roman" w:hAnsi="Times New Roman"/>
          <w:sz w:val="24"/>
        </w:rPr>
        <w:t>, 45(1), 521–530.</w:t>
      </w:r>
    </w:p>
    <w:p>
      <w:r>
        <w:rPr>
          <w:rFonts w:ascii="Times New Roman" w:hAnsi="Times New Roman"/>
          <w:sz w:val="24"/>
        </w:rPr>
        <w:t xml:space="preserve">Nevmyvaka, Y., Feng, Y., &amp; Kearns, M. (2006). Reinforcement learning for optimized trade execution. </w:t>
      </w:r>
      <w:r>
        <w:rPr>
          <w:rFonts w:ascii="Times New Roman" w:hAnsi="Times New Roman"/>
          <w:i/>
          <w:sz w:val="24"/>
        </w:rPr>
        <w:t>ICML</w:t>
      </w:r>
      <w:r>
        <w:rPr>
          <w:rFonts w:ascii="Times New Roman" w:hAnsi="Times New Roman"/>
          <w:sz w:val="24"/>
        </w:rPr>
        <w:t>, 673–680.</w:t>
      </w:r>
    </w:p>
    <w:p>
      <w:r>
        <w:rPr>
          <w:rFonts w:ascii="Times New Roman" w:hAnsi="Times New Roman"/>
          <w:sz w:val="24"/>
        </w:rPr>
        <w:t xml:space="preserve">Niculescu-Mizil, A., &amp; Caruana, R. (2005). Predicting good probabilities with supervised learning. </w:t>
      </w:r>
      <w:r>
        <w:rPr>
          <w:rFonts w:ascii="Times New Roman" w:hAnsi="Times New Roman"/>
          <w:i/>
          <w:sz w:val="24"/>
        </w:rPr>
        <w:t>ICML</w:t>
      </w:r>
      <w:r>
        <w:rPr>
          <w:rFonts w:ascii="Times New Roman" w:hAnsi="Times New Roman"/>
          <w:sz w:val="24"/>
        </w:rPr>
        <w:t>, 625–632.</w:t>
      </w:r>
    </w:p>
    <w:p>
      <w:r>
        <w:rPr>
          <w:rFonts w:ascii="Times New Roman" w:hAnsi="Times New Roman"/>
          <w:sz w:val="24"/>
        </w:rPr>
        <w:t xml:space="preserve">Pinto, L., et al. (2017). Robust adversarial reinforcement learning. </w:t>
      </w:r>
      <w:r>
        <w:rPr>
          <w:rFonts w:ascii="Times New Roman" w:hAnsi="Times New Roman"/>
          <w:i/>
          <w:sz w:val="24"/>
        </w:rPr>
        <w:t>ICML</w:t>
      </w:r>
      <w:r>
        <w:rPr>
          <w:rFonts w:ascii="Times New Roman" w:hAnsi="Times New Roman"/>
          <w:sz w:val="24"/>
        </w:rPr>
        <w:t>, 2817–2826.</w:t>
      </w:r>
    </w:p>
    <w:p>
      <w:r>
        <w:rPr>
          <w:rFonts w:ascii="Times New Roman" w:hAnsi="Times New Roman"/>
          <w:sz w:val="24"/>
        </w:rPr>
        <w:t xml:space="preserve">Politis, D. N., &amp; Romano, J. P. (1994). The stationary bootstrap. </w:t>
      </w:r>
      <w:r>
        <w:rPr>
          <w:rFonts w:ascii="Times New Roman" w:hAnsi="Times New Roman"/>
          <w:i/>
          <w:sz w:val="24"/>
        </w:rPr>
        <w:t>JASA</w:t>
      </w:r>
      <w:r>
        <w:rPr>
          <w:rFonts w:ascii="Times New Roman" w:hAnsi="Times New Roman"/>
          <w:sz w:val="24"/>
        </w:rPr>
        <w:t>, 89(428), 1303–1313. https://doi.org/10.1080/01621459.1994.10476870</w:t>
      </w:r>
    </w:p>
    <w:p>
      <w:r>
        <w:rPr>
          <w:rFonts w:ascii="Times New Roman" w:hAnsi="Times New Roman"/>
          <w:sz w:val="24"/>
        </w:rPr>
        <w:t xml:space="preserve">Quiñonero-Candela, J., et al. (2009). </w:t>
      </w:r>
      <w:r>
        <w:rPr>
          <w:rFonts w:ascii="Times New Roman" w:hAnsi="Times New Roman"/>
          <w:i/>
          <w:sz w:val="24"/>
        </w:rPr>
        <w:t>Dataset Shift in Machine Learning</w:t>
      </w:r>
      <w:r>
        <w:rPr>
          <w:rFonts w:ascii="Times New Roman" w:hAnsi="Times New Roman"/>
          <w:sz w:val="24"/>
        </w:rPr>
        <w:t>. MIT Press.</w:t>
      </w:r>
    </w:p>
    <w:p>
      <w:r>
        <w:rPr>
          <w:rFonts w:ascii="Times New Roman" w:hAnsi="Times New Roman"/>
          <w:sz w:val="24"/>
        </w:rPr>
        <w:t xml:space="preserve">Ribeiro, M. T., Singh, S., &amp; Guestrin, C. (2016). "Why should I trust you?": Explaining the predictions of any classifier. </w:t>
      </w:r>
      <w:r>
        <w:rPr>
          <w:rFonts w:ascii="Times New Roman" w:hAnsi="Times New Roman"/>
          <w:i/>
          <w:sz w:val="24"/>
        </w:rPr>
        <w:t>KDD</w:t>
      </w:r>
      <w:r>
        <w:rPr>
          <w:rFonts w:ascii="Times New Roman" w:hAnsi="Times New Roman"/>
          <w:sz w:val="24"/>
        </w:rPr>
        <w:t>, 1135–1144.</w:t>
      </w:r>
    </w:p>
    <w:p>
      <w:r>
        <w:rPr>
          <w:rFonts w:ascii="Times New Roman" w:hAnsi="Times New Roman"/>
          <w:sz w:val="24"/>
        </w:rPr>
        <w:t xml:space="preserve">Sezer, O. B., Gudelek, M. U., &amp; Ozbayoglu, A. M. (2020). Financial time series forecasting with deep learning: A systematic review: 2005–2019. </w:t>
      </w:r>
      <w:r>
        <w:rPr>
          <w:rFonts w:ascii="Times New Roman" w:hAnsi="Times New Roman"/>
          <w:i/>
          <w:sz w:val="24"/>
        </w:rPr>
        <w:t>Applied Soft Computing</w:t>
      </w:r>
      <w:r>
        <w:rPr>
          <w:rFonts w:ascii="Times New Roman" w:hAnsi="Times New Roman"/>
          <w:sz w:val="24"/>
        </w:rPr>
        <w:t>, 90, 106181.</w:t>
      </w:r>
    </w:p>
    <w:p>
      <w:r>
        <w:rPr>
          <w:rFonts w:ascii="Times New Roman" w:hAnsi="Times New Roman"/>
          <w:sz w:val="24"/>
        </w:rPr>
        <w:t xml:space="preserve">Shen, W., Wang, J., Jiang, Y.-G., &amp; Zha, H. (2015). Portfolio choices with orthogonal bandit learning. </w:t>
      </w:r>
      <w:r>
        <w:rPr>
          <w:rFonts w:ascii="Times New Roman" w:hAnsi="Times New Roman"/>
          <w:i/>
          <w:sz w:val="24"/>
        </w:rPr>
        <w:t>IJCAI</w:t>
      </w:r>
      <w:r>
        <w:rPr>
          <w:rFonts w:ascii="Times New Roman" w:hAnsi="Times New Roman"/>
          <w:sz w:val="24"/>
        </w:rPr>
        <w:t>, 974–980.</w:t>
      </w:r>
    </w:p>
    <w:p>
      <w:r>
        <w:rPr>
          <w:rFonts w:ascii="Times New Roman" w:hAnsi="Times New Roman"/>
          <w:sz w:val="24"/>
        </w:rPr>
        <w:t xml:space="preserve">Tobin, J., et al. (2017). Domain randomization for transferring deep neural networks from simulation to the real world. </w:t>
      </w:r>
      <w:r>
        <w:rPr>
          <w:rFonts w:ascii="Times New Roman" w:hAnsi="Times New Roman"/>
          <w:i/>
          <w:sz w:val="24"/>
        </w:rPr>
        <w:t>IROS</w:t>
      </w:r>
      <w:r>
        <w:rPr>
          <w:rFonts w:ascii="Times New Roman" w:hAnsi="Times New Roman"/>
          <w:sz w:val="24"/>
        </w:rPr>
        <w:t>, 23–30.</w:t>
      </w:r>
    </w:p>
    <w:p>
      <w:r>
        <w:rPr>
          <w:rFonts w:ascii="Times New Roman" w:hAnsi="Times New Roman"/>
          <w:sz w:val="24"/>
        </w:rPr>
        <w:t xml:space="preserve">Vaswani, A., et al. (2017). Attention is all you need. </w:t>
      </w:r>
      <w:r>
        <w:rPr>
          <w:rFonts w:ascii="Times New Roman" w:hAnsi="Times New Roman"/>
          <w:i/>
          <w:sz w:val="24"/>
        </w:rPr>
        <w:t>Advances in Neural Information Processing Systems</w:t>
      </w:r>
      <w:r>
        <w:rPr>
          <w:rFonts w:ascii="Times New Roman" w:hAnsi="Times New Roman"/>
          <w:sz w:val="24"/>
        </w:rPr>
        <w:t>, 30.</w:t>
      </w:r>
    </w:p>
    <w:p>
      <w:r>
        <w:rPr>
          <w:rFonts w:ascii="Times New Roman" w:hAnsi="Times New Roman"/>
          <w:sz w:val="24"/>
        </w:rPr>
        <w:t xml:space="preserve">Vinyals, O., et al. (2019). Grandmaster level in StarCraft II using multi-agent reinforcement learning. </w:t>
      </w:r>
      <w:r>
        <w:rPr>
          <w:rFonts w:ascii="Times New Roman" w:hAnsi="Times New Roman"/>
          <w:i/>
          <w:sz w:val="24"/>
        </w:rPr>
        <w:t>Nature</w:t>
      </w:r>
      <w:r>
        <w:rPr>
          <w:rFonts w:ascii="Times New Roman" w:hAnsi="Times New Roman"/>
          <w:sz w:val="24"/>
        </w:rPr>
        <w:t>, 575(7782), 350–354.</w:t>
      </w:r>
    </w:p>
    <w:p>
      <w:r>
        <w:rPr>
          <w:rFonts w:ascii="Times New Roman" w:hAnsi="Times New Roman"/>
          <w:sz w:val="24"/>
        </w:rPr>
        <w:t xml:space="preserve">Zhang, K., et al. (2020). Contextual Thompson sampling with kernelized features. </w:t>
      </w:r>
      <w:r>
        <w:rPr>
          <w:rFonts w:ascii="Times New Roman" w:hAnsi="Times New Roman"/>
          <w:i/>
          <w:sz w:val="24"/>
        </w:rPr>
        <w:t>arXiv preprint arXiv:2007.02132</w:t>
      </w:r>
      <w:r>
        <w:rPr>
          <w:rFonts w:ascii="Times New Roman" w:hAnsi="Times New Roman"/>
          <w:sz w:val="24"/>
        </w:rPr>
        <w:t>.</w:t>
      </w:r>
    </w:p>
    <w:p>
      <w:r>
        <w:rPr>
          <w:rFonts w:ascii="Times New Roman" w:hAnsi="Times New Roman"/>
          <w:sz w:val="24"/>
        </w:rPr>
        <w:t>Appendix A: FCTT-DA Pseudocode</w:t>
      </w:r>
    </w:p>
    <w:p>
      <w:r>
        <w:rPr>
          <w:rFonts w:ascii="Times New Roman" w:hAnsi="Times New Roman"/>
          <w:sz w:val="24"/>
        </w:rPr>
        <w:t>This appendix provides complete pseudocode details for implementing the FCTT-DA audit engines.</w:t>
      </w:r>
    </w:p>
    <w:p>
      <w:r>
        <w:rPr>
          <w:rFonts w:ascii="Times New Roman" w:hAnsi="Times New Roman"/>
          <w:sz w:val="24"/>
        </w:rPr>
        <w:t>A.1 Source Diversity Audit</w:t>
      </w:r>
    </w:p>
    <w:p>
      <w:r>
        <w:rPr>
          <w:rFonts w:ascii="Times New Roman" w:hAnsi="Times New Roman"/>
        </w:rPr>
        <w:t>def SourceDiversityAudit(source_data, thresholds, alpha, gamma_modal=0.90, gamma_entropy=0.25):</w:t>
      </w:r>
      <w:r>
        <w:rPr>
          <w:rFonts w:ascii="Times New Roman" w:hAnsi="Times New Roman"/>
        </w:rPr>
        <w:br/>
      </w:r>
      <w:r>
        <w:rPr>
          <w:rFonts w:ascii="Times New Roman" w:hAnsi="Times New Roman"/>
        </w:rPr>
        <w:t xml:space="preserve">    """</w:t>
      </w:r>
      <w:r>
        <w:rPr>
          <w:rFonts w:ascii="Times New Roman" w:hAnsi="Times New Roman"/>
        </w:rPr>
        <w:br/>
      </w:r>
      <w:r>
        <w:rPr>
          <w:rFonts w:ascii="Times New Roman" w:hAnsi="Times New Roman"/>
        </w:rPr>
        <w:t xml:space="preserve">    INPUT:  source_data, thresholds, alpha, gamma_modal=0.90, gamma_entropy=0.25</w:t>
      </w:r>
      <w:r>
        <w:rPr>
          <w:rFonts w:ascii="Times New Roman" w:hAnsi="Times New Roman"/>
        </w:rPr>
        <w:br/>
      </w:r>
      <w:r>
        <w:rPr>
          <w:rFonts w:ascii="Times New Roman" w:hAnsi="Times New Roman"/>
        </w:rPr>
        <w:t xml:space="preserve">    OUTPUT: {bandit_state, is_degenerate, diagnostics}</w:t>
      </w:r>
      <w:r>
        <w:rPr>
          <w:rFonts w:ascii="Times New Roman" w:hAnsi="Times New Roman"/>
        </w:rPr>
        <w:br/>
      </w:r>
      <w:r>
        <w:rPr>
          <w:rFonts w:ascii="Times New Roman" w:hAnsi="Times New Roman"/>
        </w:rPr>
        <w:t xml:space="preserve">    """</w:t>
      </w:r>
      <w:r>
        <w:rPr>
          <w:rFonts w:ascii="Times New Roman" w:hAnsi="Times New Roman"/>
        </w:rPr>
        <w:br/>
      </w:r>
      <w:r>
        <w:rPr>
          <w:rFonts w:ascii="Times New Roman" w:hAnsi="Times New Roman"/>
        </w:rPr>
        <w:t xml:space="preserve">    # 1. Feature Extraction &amp; Prediction</w:t>
      </w:r>
      <w:r>
        <w:rPr>
          <w:rFonts w:ascii="Times New Roman" w:hAnsi="Times New Roman"/>
        </w:rPr>
        <w:br/>
      </w:r>
      <w:r>
        <w:rPr>
          <w:rFonts w:ascii="Times New Roman" w:hAnsi="Times New Roman"/>
        </w:rPr>
        <w:t xml:space="preserve">    features = ComputeFeatures(source_data)</w:t>
      </w:r>
      <w:r>
        <w:rPr>
          <w:rFonts w:ascii="Times New Roman" w:hAnsi="Times New Roman"/>
        </w:rPr>
        <w:br/>
      </w:r>
      <w:r>
        <w:rPr>
          <w:rFonts w:ascii="Times New Roman" w:hAnsi="Times New Roman"/>
        </w:rPr>
        <w:t xml:space="preserve">    pred = WalkForwardGBT(features, train=504, test=63, step=63)</w:t>
      </w:r>
      <w:r>
        <w:rPr>
          <w:rFonts w:ascii="Times New Roman" w:hAnsi="Times New Roman"/>
        </w:rPr>
        <w:br/>
      </w:r>
      <w:r>
        <w:rPr>
          <w:rFonts w:ascii="Times New Roman" w:hAnsi="Times New Roman"/>
        </w:rPr>
        <w:t xml:space="preserve">    ctx = ComputeContexts(source_data)  # returns [Empirical Mode Decomposition (EMD), vol_rank, trend]</w:t>
      </w:r>
      <w:r>
        <w:rPr>
          <w:rFonts w:ascii="Times New Roman" w:hAnsi="Times New Roman"/>
        </w:rPr>
        <w:br/>
      </w:r>
      <w:r>
        <w:rPr>
          <w:rFonts w:ascii="Times New Roman" w:hAnsi="Times New Roman"/>
        </w:rPr>
        <w:t xml:space="preserve">    returns = source_data['returns']</w:t>
      </w:r>
      <w:r>
        <w:rPr>
          <w:rFonts w:ascii="Times New Roman" w:hAnsi="Times New Roman"/>
        </w:rPr>
        <w:br/>
      </w:r>
      <w:r>
        <w:rPr>
          <w:rFonts w:ascii="Times New Roman" w:hAnsi="Times New Roman"/>
        </w:rPr>
        <w:t xml:space="preserve">    </w:t>
      </w:r>
      <w:r>
        <w:rPr>
          <w:rFonts w:ascii="Times New Roman" w:hAnsi="Times New Roman"/>
        </w:rPr>
        <w:br/>
      </w:r>
      <w:r>
        <w:rPr>
          <w:rFonts w:ascii="Times New Roman" w:hAnsi="Times New Roman"/>
        </w:rPr>
        <w:t xml:space="preserve">    # 2. Online Bandit Training</w:t>
      </w:r>
      <w:r>
        <w:rPr>
          <w:rFonts w:ascii="Times New Roman" w:hAnsi="Times New Roman"/>
        </w:rPr>
        <w:br/>
      </w:r>
      <w:r>
        <w:rPr>
          <w:rFonts w:ascii="Times New Roman" w:hAnsi="Times New Roman"/>
        </w:rPr>
        <w:t xml:space="preserve">    K = len(thresholds)</w:t>
      </w:r>
      <w:r>
        <w:rPr>
          <w:rFonts w:ascii="Times New Roman" w:hAnsi="Times New Roman"/>
        </w:rPr>
        <w:br/>
      </w:r>
      <w:r>
        <w:rPr>
          <w:rFonts w:ascii="Times New Roman" w:hAnsi="Times New Roman"/>
        </w:rPr>
        <w:t xml:space="preserve">    bandit = LinUCB(K=K, d=3, alpha=alpha)</w:t>
      </w:r>
      <w:r>
        <w:rPr>
          <w:rFonts w:ascii="Times New Roman" w:hAnsi="Times New Roman"/>
        </w:rPr>
        <w:br/>
      </w:r>
      <w:r>
        <w:rPr>
          <w:rFonts w:ascii="Times New Roman" w:hAnsi="Times New Roman"/>
        </w:rPr>
        <w:t xml:space="preserve">    actions = []</w:t>
      </w:r>
      <w:r>
        <w:rPr>
          <w:rFonts w:ascii="Times New Roman" w:hAnsi="Times New Roman"/>
        </w:rPr>
        <w:br/>
      </w:r>
      <w:r>
        <w:rPr>
          <w:rFonts w:ascii="Times New Roman" w:hAnsi="Times New Roman"/>
        </w:rPr>
        <w:t xml:space="preserve">    </w:t>
      </w:r>
      <w:r>
        <w:rPr>
          <w:rFonts w:ascii="Times New Roman" w:hAnsi="Times New Roman"/>
        </w:rPr>
        <w:br/>
      </w:r>
      <w:r>
        <w:rPr>
          <w:rFonts w:ascii="Times New Roman" w:hAnsi="Times New Roman"/>
        </w:rPr>
        <w:t xml:space="preserve">    for t in range(len(ctx)):</w:t>
      </w:r>
      <w:r>
        <w:rPr>
          <w:rFonts w:ascii="Times New Roman" w:hAnsi="Times New Roman"/>
        </w:rPr>
        <w:br/>
      </w:r>
      <w:r>
        <w:rPr>
          <w:rFonts w:ascii="Times New Roman" w:hAnsi="Times New Roman"/>
        </w:rPr>
        <w:t xml:space="preserve">        a = bandit.select_action(ctx[t])</w:t>
      </w:r>
      <w:r>
        <w:rPr>
          <w:rFonts w:ascii="Times New Roman" w:hAnsi="Times New Roman"/>
        </w:rPr>
        <w:br/>
      </w:r>
      <w:r>
        <w:rPr>
          <w:rFonts w:ascii="Times New Roman" w:hAnsi="Times New Roman"/>
        </w:rPr>
        <w:t xml:space="preserve">        signal = 1 if pred[t] &gt;= thresholds[a] else 0</w:t>
      </w:r>
      <w:r>
        <w:rPr>
          <w:rFonts w:ascii="Times New Roman" w:hAnsi="Times New Roman"/>
        </w:rPr>
        <w:br/>
      </w:r>
      <w:r>
        <w:rPr>
          <w:rFonts w:ascii="Times New Roman" w:hAnsi="Times New Roman"/>
        </w:rPr>
        <w:t xml:space="preserve">        reward = signal * returns[t+1]</w:t>
      </w:r>
      <w:r>
        <w:rPr>
          <w:rFonts w:ascii="Times New Roman" w:hAnsi="Times New Roman"/>
        </w:rPr>
        <w:br/>
      </w:r>
      <w:r>
        <w:rPr>
          <w:rFonts w:ascii="Times New Roman" w:hAnsi="Times New Roman"/>
        </w:rPr>
        <w:t xml:space="preserve">        bandit.update(a, ctx[t], reward)</w:t>
      </w:r>
      <w:r>
        <w:rPr>
          <w:rFonts w:ascii="Times New Roman" w:hAnsi="Times New Roman"/>
        </w:rPr>
        <w:br/>
      </w:r>
      <w:r>
        <w:rPr>
          <w:rFonts w:ascii="Times New Roman" w:hAnsi="Times New Roman"/>
        </w:rPr>
        <w:t xml:space="preserve">        actions.append(a)</w:t>
      </w:r>
      <w:r>
        <w:rPr>
          <w:rFonts w:ascii="Times New Roman" w:hAnsi="Times New Roman"/>
        </w:rPr>
        <w:br/>
      </w:r>
      <w:r>
        <w:rPr>
          <w:rFonts w:ascii="Times New Roman" w:hAnsi="Times New Roman"/>
        </w:rPr>
        <w:t xml:space="preserve">        </w:t>
      </w:r>
      <w:r>
        <w:rPr>
          <w:rFonts w:ascii="Times New Roman" w:hAnsi="Times New Roman"/>
        </w:rPr>
        <w:br/>
      </w:r>
      <w:r>
        <w:rPr>
          <w:rFonts w:ascii="Times New Roman" w:hAnsi="Times New Roman"/>
        </w:rPr>
        <w:t xml:space="preserve">    # 3. Post-Training Diagnostics</w:t>
      </w:r>
      <w:r>
        <w:rPr>
          <w:rFonts w:ascii="Times New Roman" w:hAnsi="Times New Roman"/>
        </w:rPr>
        <w:br/>
      </w:r>
      <w:r>
        <w:rPr>
          <w:rFonts w:ascii="Times New Roman" w:hAnsi="Times New Roman"/>
        </w:rPr>
        <w:t xml:space="preserve">    action_freq = ComputeHistogram(actions, bins=K) / len(actions)</w:t>
      </w:r>
      <w:r>
        <w:rPr>
          <w:rFonts w:ascii="Times New Roman" w:hAnsi="Times New Roman"/>
        </w:rPr>
        <w:br/>
      </w:r>
      <w:r>
        <w:rPr>
          <w:rFonts w:ascii="Times New Roman" w:hAnsi="Times New Roman"/>
        </w:rPr>
        <w:t xml:space="preserve">    modal_share = max(action_freq)</w:t>
      </w:r>
      <w:r>
        <w:rPr>
          <w:rFonts w:ascii="Times New Roman" w:hAnsi="Times New Roman"/>
        </w:rPr>
        <w:br/>
      </w:r>
      <w:r>
        <w:rPr>
          <w:rFonts w:ascii="Times New Roman" w:hAnsi="Times New Roman"/>
        </w:rPr>
        <w:t xml:space="preserve">    entropy = -sum(p * log(p) for p in action_freq if p &gt; 0)</w:t>
      </w:r>
      <w:r>
        <w:rPr>
          <w:rFonts w:ascii="Times New Roman" w:hAnsi="Times New Roman"/>
        </w:rPr>
        <w:br/>
      </w:r>
      <w:r>
        <w:rPr>
          <w:rFonts w:ascii="Times New Roman" w:hAnsi="Times New Roman"/>
        </w:rPr>
        <w:t xml:space="preserve">    norm_entropy = entropy / log(K)</w:t>
      </w:r>
      <w:r>
        <w:rPr>
          <w:rFonts w:ascii="Times New Roman" w:hAnsi="Times New Roman"/>
        </w:rPr>
        <w:br/>
      </w:r>
      <w:r>
        <w:rPr>
          <w:rFonts w:ascii="Times New Roman" w:hAnsi="Times New Roman"/>
        </w:rPr>
        <w:t xml:space="preserve">    effective_actions = exp(entropy)</w:t>
      </w:r>
      <w:r>
        <w:rPr>
          <w:rFonts w:ascii="Times New Roman" w:hAnsi="Times New Roman"/>
        </w:rPr>
        <w:br/>
      </w:r>
      <w:r>
        <w:rPr>
          <w:rFonts w:ascii="Times New Roman" w:hAnsi="Times New Roman"/>
        </w:rPr>
        <w:t xml:space="preserve">    </w:t>
      </w:r>
      <w:r>
        <w:rPr>
          <w:rFonts w:ascii="Times New Roman" w:hAnsi="Times New Roman"/>
        </w:rPr>
        <w:br/>
      </w:r>
      <w:r>
        <w:rPr>
          <w:rFonts w:ascii="Times New Roman" w:hAnsi="Times New Roman"/>
        </w:rPr>
        <w:t xml:space="preserve">    is_degenerate = (modal_share &gt;= gamma_modal) and (norm_entropy &lt;= gamma_entropy)</w:t>
      </w:r>
      <w:r>
        <w:rPr>
          <w:rFonts w:ascii="Times New Roman" w:hAnsi="Times New Roman"/>
        </w:rPr>
        <w:br/>
      </w:r>
      <w:r>
        <w:rPr>
          <w:rFonts w:ascii="Times New Roman" w:hAnsi="Times New Roman"/>
        </w:rPr>
        <w:t xml:space="preserve">    </w:t>
      </w:r>
      <w:r>
        <w:rPr>
          <w:rFonts w:ascii="Times New Roman" w:hAnsi="Times New Roman"/>
        </w:rPr>
        <w:br/>
      </w:r>
      <w:r>
        <w:rPr>
          <w:rFonts w:ascii="Times New Roman" w:hAnsi="Times New Roman"/>
        </w:rPr>
        <w:t xml:space="preserve">    return {</w:t>
      </w:r>
      <w:r>
        <w:rPr>
          <w:rFonts w:ascii="Times New Roman" w:hAnsi="Times New Roman"/>
        </w:rPr>
        <w:br/>
      </w:r>
      <w:r>
        <w:rPr>
          <w:rFonts w:ascii="Times New Roman" w:hAnsi="Times New Roman"/>
        </w:rPr>
        <w:t xml:space="preserve">        "bandit_state": bandit.get_state(),  # freeze A_k, b_k, alpha, and derived parameters for every action</w:t>
      </w:r>
      <w:r>
        <w:rPr>
          <w:rFonts w:ascii="Times New Roman" w:hAnsi="Times New Roman"/>
        </w:rPr>
        <w:br/>
      </w:r>
      <w:r>
        <w:rPr>
          <w:rFonts w:ascii="Times New Roman" w:hAnsi="Times New Roman"/>
        </w:rPr>
        <w:t xml:space="preserve">        "is_degenerate": is_degenerate,</w:t>
      </w:r>
      <w:r>
        <w:rPr>
          <w:rFonts w:ascii="Times New Roman" w:hAnsi="Times New Roman"/>
        </w:rPr>
        <w:br/>
      </w:r>
      <w:r>
        <w:rPr>
          <w:rFonts w:ascii="Times New Roman" w:hAnsi="Times New Roman"/>
        </w:rPr>
        <w:t xml:space="preserve">        "diagnostics": {</w:t>
      </w:r>
      <w:r>
        <w:rPr>
          <w:rFonts w:ascii="Times New Roman" w:hAnsi="Times New Roman"/>
        </w:rPr>
        <w:br/>
      </w:r>
      <w:r>
        <w:rPr>
          <w:rFonts w:ascii="Times New Roman" w:hAnsi="Times New Roman"/>
        </w:rPr>
        <w:t xml:space="preserve">            "modal_share": modal_share,</w:t>
      </w:r>
      <w:r>
        <w:rPr>
          <w:rFonts w:ascii="Times New Roman" w:hAnsi="Times New Roman"/>
        </w:rPr>
        <w:br/>
      </w:r>
      <w:r>
        <w:rPr>
          <w:rFonts w:ascii="Times New Roman" w:hAnsi="Times New Roman"/>
        </w:rPr>
        <w:t xml:space="preserve">            "norm_entropy": norm_entropy,</w:t>
      </w:r>
      <w:r>
        <w:rPr>
          <w:rFonts w:ascii="Times New Roman" w:hAnsi="Times New Roman"/>
        </w:rPr>
        <w:br/>
      </w:r>
      <w:r>
        <w:rPr>
          <w:rFonts w:ascii="Times New Roman" w:hAnsi="Times New Roman"/>
        </w:rPr>
        <w:t xml:space="preserve">            "effective_actions": effective_actions,</w:t>
      </w:r>
      <w:r>
        <w:rPr>
          <w:rFonts w:ascii="Times New Roman" w:hAnsi="Times New Roman"/>
        </w:rPr>
        <w:br/>
      </w:r>
      <w:r>
        <w:rPr>
          <w:rFonts w:ascii="Times New Roman" w:hAnsi="Times New Roman"/>
        </w:rPr>
        <w:t xml:space="preserve">            "action_freq": action_freq</w:t>
      </w:r>
      <w:r>
        <w:rPr>
          <w:rFonts w:ascii="Times New Roman" w:hAnsi="Times New Roman"/>
        </w:rPr>
        <w:br/>
      </w:r>
      <w:r>
        <w:rPr>
          <w:rFonts w:ascii="Times New Roman" w:hAnsi="Times New Roman"/>
        </w:rPr>
        <w:t xml:space="preserve">        }</w:t>
      </w:r>
      <w:r>
        <w:rPr>
          <w:rFonts w:ascii="Times New Roman" w:hAnsi="Times New Roman"/>
        </w:rPr>
        <w:br/>
      </w:r>
      <w:r>
        <w:rPr>
          <w:rFonts w:ascii="Times New Roman" w:hAnsi="Times New Roman"/>
        </w:rPr>
        <w:t xml:space="preserve">    }</w:t>
      </w:r>
      <w:r>
        <w:rPr>
          <w:rFonts w:ascii="Times New Roman" w:hAnsi="Times New Roman"/>
        </w:rPr>
        <w:br/>
      </w:r>
    </w:p>
    <w:p>
      <w:r>
        <w:rPr>
          <w:rFonts w:ascii="Times New Roman" w:hAnsi="Times New Roman"/>
          <w:sz w:val="24"/>
        </w:rPr>
        <w:t>A.2 Target Transfer with Degeneracy Audit</w:t>
      </w:r>
    </w:p>
    <w:p>
      <w:r>
        <w:rPr>
          <w:rFonts w:ascii="Times New Roman" w:hAnsi="Times New Roman"/>
          <w:sz w:val="24"/>
        </w:rPr>
        <w:t>def TransferWithAudit(source_result, target_data, thresholds, cost_bps=10):</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INPUT:  source_result, target_data, thresholds, cost_bps=10</w:t>
      </w:r>
      <w:r>
        <w:rPr>
          <w:rFonts w:ascii="Times New Roman" w:hAnsi="Times New Roman"/>
          <w:sz w:val="24"/>
        </w:rPr>
        <w:br/>
      </w:r>
      <w:r>
        <w:rPr>
          <w:rFonts w:ascii="Times New Roman" w:hAnsi="Times New Roman"/>
          <w:sz w:val="24"/>
        </w:rPr>
        <w:t xml:space="preserve">    OUTPUT: {signals, returns, audit_result}</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 1. Pre-deployment check</w:t>
      </w:r>
      <w:r>
        <w:rPr>
          <w:rFonts w:ascii="Times New Roman" w:hAnsi="Times New Roman"/>
          <w:sz w:val="24"/>
        </w:rPr>
        <w:br/>
      </w:r>
      <w:r>
        <w:rPr>
          <w:rFonts w:ascii="Times New Roman" w:hAnsi="Times New Roman"/>
          <w:sz w:val="24"/>
        </w:rPr>
        <w:t xml:space="preserve">    if source_result["is_degenerate"]:</w:t>
      </w:r>
      <w:r>
        <w:rPr>
          <w:rFonts w:ascii="Times New Roman" w:hAnsi="Times New Roman"/>
          <w:sz w:val="24"/>
        </w:rPr>
        <w:br/>
      </w:r>
      <w:r>
        <w:rPr>
          <w:rFonts w:ascii="Times New Roman" w:hAnsi="Times New Roman"/>
          <w:sz w:val="24"/>
        </w:rPr>
        <w:t xml:space="preserve">        print("WARNING: Source policy is degenerate. Transfer will likely collapse.")</w:t>
      </w:r>
      <w:r>
        <w:rPr>
          <w:rFonts w:ascii="Times New Roman" w:hAnsi="Times New Roman"/>
          <w:sz w:val="24"/>
        </w:rPr>
        <w:br/>
      </w:r>
      <w:r>
        <w:rPr>
          <w:rFonts w:ascii="Times New Roman" w:hAnsi="Times New Roman"/>
          <w:sz w:val="24"/>
        </w:rPr>
        <w:t xml:space="preserve">        # Quantitative managers may decide to reject or proceed with extreme caution.</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 Restore the complete frozen source-side LinUCB state; no target-side updates are permitted.</w:t>
      </w:r>
      <w:r>
        <w:rPr>
          <w:rFonts w:ascii="Times New Roman" w:hAnsi="Times New Roman"/>
          <w:sz w:val="24"/>
        </w:rPr>
        <w:br/>
      </w:r>
      <w:r>
        <w:rPr>
          <w:rFonts w:ascii="Times New Roman" w:hAnsi="Times New Roman"/>
          <w:sz w:val="24"/>
        </w:rPr>
        <w:t xml:space="preserve">    frozen_bandit = LinUCB.from_state(source_result["bandit_state"])</w:t>
      </w:r>
      <w:r>
        <w:rPr>
          <w:rFonts w:ascii="Times New Roman" w:hAnsi="Times New Roman"/>
          <w:sz w:val="24"/>
        </w:rPr>
        <w:br/>
      </w:r>
      <w:r>
        <w:rPr>
          <w:rFonts w:ascii="Times New Roman" w:hAnsi="Times New Roman"/>
          <w:sz w:val="24"/>
        </w:rPr>
        <w:t xml:space="preserve">    target_features = ComputeFeatures(target_data)</w:t>
      </w:r>
      <w:r>
        <w:rPr>
          <w:rFonts w:ascii="Times New Roman" w:hAnsi="Times New Roman"/>
          <w:sz w:val="24"/>
        </w:rPr>
        <w:br/>
      </w:r>
      <w:r>
        <w:rPr>
          <w:rFonts w:ascii="Times New Roman" w:hAnsi="Times New Roman"/>
          <w:sz w:val="24"/>
        </w:rPr>
        <w:t xml:space="preserve">    target_pred = WalkForwardGBT(target_features, train=504, test=63, step=63)</w:t>
      </w:r>
      <w:r>
        <w:rPr>
          <w:rFonts w:ascii="Times New Roman" w:hAnsi="Times New Roman"/>
          <w:sz w:val="24"/>
        </w:rPr>
        <w:br/>
      </w:r>
      <w:r>
        <w:rPr>
          <w:rFonts w:ascii="Times New Roman" w:hAnsi="Times New Roman"/>
          <w:sz w:val="24"/>
        </w:rPr>
        <w:t xml:space="preserve">    target_ctx = ComputeContexts(target_data)</w:t>
      </w:r>
      <w:r>
        <w:rPr>
          <w:rFonts w:ascii="Times New Roman" w:hAnsi="Times New Roman"/>
          <w:sz w:val="24"/>
        </w:rPr>
        <w:br/>
      </w:r>
      <w:r>
        <w:rPr>
          <w:rFonts w:ascii="Times New Roman" w:hAnsi="Times New Roman"/>
          <w:sz w:val="24"/>
        </w:rPr>
        <w:t xml:space="preserve">    target_returns = target_data['returns']</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signals = []</w:t>
      </w:r>
      <w:r>
        <w:rPr>
          <w:rFonts w:ascii="Times New Roman" w:hAnsi="Times New Roman"/>
          <w:sz w:val="24"/>
        </w:rPr>
        <w:br/>
      </w:r>
      <w:r>
        <w:rPr>
          <w:rFonts w:ascii="Times New Roman" w:hAnsi="Times New Roman"/>
          <w:sz w:val="24"/>
        </w:rPr>
        <w:t xml:space="preserve">    returns_arr = []</w:t>
      </w:r>
      <w:r>
        <w:rPr>
          <w:rFonts w:ascii="Times New Roman" w:hAnsi="Times New Roman"/>
          <w:sz w:val="24"/>
        </w:rPr>
        <w:br/>
      </w:r>
      <w:r>
        <w:rPr>
          <w:rFonts w:ascii="Times New Roman" w:hAnsi="Times New Roman"/>
          <w:sz w:val="24"/>
        </w:rPr>
        <w:t xml:space="preserve">    actions = []</w:t>
      </w:r>
      <w:r>
        <w:rPr>
          <w:rFonts w:ascii="Times New Roman" w:hAnsi="Times New Roman"/>
          <w:sz w:val="24"/>
        </w:rPr>
        <w:br/>
      </w:r>
      <w:r>
        <w:rPr>
          <w:rFonts w:ascii="Times New Roman" w:hAnsi="Times New Roman"/>
          <w:sz w:val="24"/>
        </w:rPr>
        <w:t xml:space="preserve">    prev_signal = 0</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 2. Execution phase</w:t>
      </w:r>
      <w:r>
        <w:rPr>
          <w:rFonts w:ascii="Times New Roman" w:hAnsi="Times New Roman"/>
          <w:sz w:val="24"/>
        </w:rPr>
        <w:br/>
      </w:r>
      <w:r>
        <w:rPr>
          <w:rFonts w:ascii="Times New Roman" w:hAnsi="Times New Roman"/>
          <w:sz w:val="24"/>
        </w:rPr>
        <w:t xml:space="preserve">    for t in range(len(target_ctx)):</w:t>
      </w:r>
      <w:r>
        <w:rPr>
          <w:rFonts w:ascii="Times New Roman" w:hAnsi="Times New Roman"/>
          <w:sz w:val="24"/>
        </w:rPr>
        <w:br/>
      </w:r>
      <w:r>
        <w:rPr>
          <w:rFonts w:ascii="Times New Roman" w:hAnsi="Times New Roman"/>
          <w:sz w:val="24"/>
        </w:rPr>
        <w:t xml:space="preserve">        # Full frozen LinUCB scoring, including the source-trained exploration bonus.</w:t>
      </w:r>
      <w:r>
        <w:rPr>
          <w:rFonts w:ascii="Times New Roman" w:hAnsi="Times New Roman"/>
          <w:sz w:val="24"/>
        </w:rPr>
        <w:br/>
      </w:r>
      <w:r>
        <w:rPr>
          <w:rFonts w:ascii="Times New Roman" w:hAnsi="Times New Roman"/>
          <w:sz w:val="24"/>
        </w:rPr>
        <w:t xml:space="preserve">        # update=False enforces zero-shot transfer with no target-side learning.</w:t>
      </w:r>
      <w:r>
        <w:rPr>
          <w:rFonts w:ascii="Times New Roman" w:hAnsi="Times New Roman"/>
          <w:sz w:val="24"/>
        </w:rPr>
        <w:br/>
      </w:r>
      <w:r>
        <w:rPr>
          <w:rFonts w:ascii="Times New Roman" w:hAnsi="Times New Roman"/>
          <w:sz w:val="24"/>
        </w:rPr>
        <w:t xml:space="preserve">        a = frozen_bandit.select_action(target_ctx[t], update=False)</w:t>
      </w:r>
      <w:r>
        <w:rPr>
          <w:rFonts w:ascii="Times New Roman" w:hAnsi="Times New Roman"/>
          <w:sz w:val="24"/>
        </w:rPr>
        <w:br/>
      </w:r>
      <w:r>
        <w:rPr>
          <w:rFonts w:ascii="Times New Roman" w:hAnsi="Times New Roman"/>
          <w:sz w:val="24"/>
        </w:rPr>
        <w:t xml:space="preserve">        threshold = thresholds[a]</w:t>
      </w:r>
      <w:r>
        <w:rPr>
          <w:rFonts w:ascii="Times New Roman" w:hAnsi="Times New Roman"/>
          <w:sz w:val="24"/>
        </w:rPr>
        <w:br/>
      </w:r>
      <w:r>
        <w:rPr>
          <w:rFonts w:ascii="Times New Roman" w:hAnsi="Times New Roman"/>
          <w:sz w:val="24"/>
        </w:rPr>
        <w:t xml:space="preserve">        signal = 1 if target_pred[t] &gt;= threshold else 0</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 Realized returns incorporating transaction frictions</w:t>
      </w:r>
      <w:r>
        <w:rPr>
          <w:rFonts w:ascii="Times New Roman" w:hAnsi="Times New Roman"/>
          <w:sz w:val="24"/>
        </w:rPr>
        <w:br/>
      </w:r>
      <w:r>
        <w:rPr>
          <w:rFonts w:ascii="Times New Roman" w:hAnsi="Times New Roman"/>
          <w:sz w:val="24"/>
        </w:rPr>
        <w:t xml:space="preserve">        ret = target_returns[t+1]</w:t>
      </w:r>
      <w:r>
        <w:rPr>
          <w:rFonts w:ascii="Times New Roman" w:hAnsi="Times New Roman"/>
          <w:sz w:val="24"/>
        </w:rPr>
        <w:br/>
      </w:r>
      <w:r>
        <w:rPr>
          <w:rFonts w:ascii="Times New Roman" w:hAnsi="Times New Roman"/>
          <w:sz w:val="24"/>
        </w:rPr>
        <w:t xml:space="preserve">        net_ret = signal * ret - abs(signal - prev_signal) * (cost_bps / 10000.0)</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signals.append(signal)</w:t>
      </w:r>
      <w:r>
        <w:rPr>
          <w:rFonts w:ascii="Times New Roman" w:hAnsi="Times New Roman"/>
          <w:sz w:val="24"/>
        </w:rPr>
        <w:br/>
      </w:r>
      <w:r>
        <w:rPr>
          <w:rFonts w:ascii="Times New Roman" w:hAnsi="Times New Roman"/>
          <w:sz w:val="24"/>
        </w:rPr>
        <w:t xml:space="preserve">        returns_arr.append(net_ret)</w:t>
      </w:r>
      <w:r>
        <w:rPr>
          <w:rFonts w:ascii="Times New Roman" w:hAnsi="Times New Roman"/>
          <w:sz w:val="24"/>
        </w:rPr>
        <w:br/>
      </w:r>
      <w:r>
        <w:rPr>
          <w:rFonts w:ascii="Times New Roman" w:hAnsi="Times New Roman"/>
          <w:sz w:val="24"/>
        </w:rPr>
        <w:t xml:space="preserve">        actions.append(a)</w:t>
      </w:r>
      <w:r>
        <w:rPr>
          <w:rFonts w:ascii="Times New Roman" w:hAnsi="Times New Roman"/>
          <w:sz w:val="24"/>
        </w:rPr>
        <w:br/>
      </w:r>
      <w:r>
        <w:rPr>
          <w:rFonts w:ascii="Times New Roman" w:hAnsi="Times New Roman"/>
          <w:sz w:val="24"/>
        </w:rPr>
        <w:t xml:space="preserve">        prev_signal = signal</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 3. Post-transfer audit analysis</w:t>
      </w:r>
      <w:r>
        <w:rPr>
          <w:rFonts w:ascii="Times New Roman" w:hAnsi="Times New Roman"/>
          <w:sz w:val="24"/>
        </w:rPr>
        <w:br/>
      </w:r>
      <w:r>
        <w:rPr>
          <w:rFonts w:ascii="Times New Roman" w:hAnsi="Times New Roman"/>
          <w:sz w:val="24"/>
        </w:rPr>
        <w:t xml:space="preserve">    K = len(thresholds)</w:t>
      </w:r>
      <w:r>
        <w:rPr>
          <w:rFonts w:ascii="Times New Roman" w:hAnsi="Times New Roman"/>
          <w:sz w:val="24"/>
        </w:rPr>
        <w:br/>
      </w:r>
      <w:r>
        <w:rPr>
          <w:rFonts w:ascii="Times New Roman" w:hAnsi="Times New Roman"/>
          <w:sz w:val="24"/>
        </w:rPr>
        <w:t xml:space="preserve">    action_freq = ComputeHistogram(actions, bins=K) / len(actions)</w:t>
      </w:r>
      <w:r>
        <w:rPr>
          <w:rFonts w:ascii="Times New Roman" w:hAnsi="Times New Roman"/>
          <w:sz w:val="24"/>
        </w:rPr>
        <w:br/>
      </w:r>
      <w:r>
        <w:rPr>
          <w:rFonts w:ascii="Times New Roman" w:hAnsi="Times New Roman"/>
          <w:sz w:val="24"/>
        </w:rPr>
        <w:t xml:space="preserve">    modal_share = max(action_freq)</w:t>
      </w:r>
      <w:r>
        <w:rPr>
          <w:rFonts w:ascii="Times New Roman" w:hAnsi="Times New Roman"/>
          <w:sz w:val="24"/>
        </w:rPr>
        <w:br/>
      </w:r>
      <w:r>
        <w:rPr>
          <w:rFonts w:ascii="Times New Roman" w:hAnsi="Times New Roman"/>
          <w:sz w:val="24"/>
        </w:rPr>
        <w:t xml:space="preserve">    modal_threshold = thresholds[argmax(action_freq)]</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entropy_val = -sum(p * log(p) for p in action_freq if p &gt; 0)</w:t>
      </w:r>
      <w:r>
        <w:rPr>
          <w:rFonts w:ascii="Times New Roman" w:hAnsi="Times New Roman"/>
          <w:sz w:val="24"/>
        </w:rPr>
        <w:br/>
      </w:r>
      <w:r>
        <w:rPr>
          <w:rFonts w:ascii="Times New Roman" w:hAnsi="Times New Roman"/>
          <w:sz w:val="24"/>
        </w:rPr>
        <w:t xml:space="preserve">    is_collapsed = (modal_share &gt;= 0.90) and (entropy_val / log(K) &lt;= 0.25)</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 4. Behavioral equivalence check</w:t>
      </w:r>
      <w:r>
        <w:rPr>
          <w:rFonts w:ascii="Times New Roman" w:hAnsi="Times New Roman"/>
          <w:sz w:val="24"/>
        </w:rPr>
        <w:br/>
      </w:r>
      <w:r>
        <w:rPr>
          <w:rFonts w:ascii="Times New Roman" w:hAnsi="Times New Roman"/>
          <w:sz w:val="24"/>
        </w:rPr>
        <w:t xml:space="preserve">    fixed_returns = ComputeFixedThresholdReturns(target_data, target_pred, modal_threshold)</w:t>
      </w:r>
      <w:r>
        <w:rPr>
          <w:rFonts w:ascii="Times New Roman" w:hAnsi="Times New Roman"/>
          <w:sz w:val="24"/>
        </w:rPr>
        <w:br/>
      </w:r>
      <w:r>
        <w:rPr>
          <w:rFonts w:ascii="Times New Roman" w:hAnsi="Times New Roman"/>
          <w:sz w:val="24"/>
        </w:rPr>
        <w:t xml:space="preserve">    sharpe_learned = AnnualizedSharpe(returns_arr)</w:t>
      </w:r>
      <w:r>
        <w:rPr>
          <w:rFonts w:ascii="Times New Roman" w:hAnsi="Times New Roman"/>
          <w:sz w:val="24"/>
        </w:rPr>
        <w:br/>
      </w:r>
      <w:r>
        <w:rPr>
          <w:rFonts w:ascii="Times New Roman" w:hAnsi="Times New Roman"/>
          <w:sz w:val="24"/>
        </w:rPr>
        <w:t xml:space="preserve">    sharpe_fixed = AnnualizedSharpe(fixed_returns)</w:t>
      </w:r>
      <w:r>
        <w:rPr>
          <w:rFonts w:ascii="Times New Roman" w:hAnsi="Times New Roman"/>
          <w:sz w:val="24"/>
        </w:rPr>
        <w:br/>
      </w:r>
      <w:r>
        <w:rPr>
          <w:rFonts w:ascii="Times New Roman" w:hAnsi="Times New Roman"/>
          <w:sz w:val="24"/>
        </w:rPr>
        <w:t xml:space="preserve">    sharpe_diff = sharpe_learned - sharpe_fixed</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 Bootstrap confidence interval (Stationary Bootstrap)</w:t>
      </w:r>
      <w:r>
        <w:rPr>
          <w:rFonts w:ascii="Times New Roman" w:hAnsi="Times New Roman"/>
          <w:sz w:val="24"/>
        </w:rPr>
        <w:br/>
      </w:r>
      <w:r>
        <w:rPr>
          <w:rFonts w:ascii="Times New Roman" w:hAnsi="Times New Roman"/>
          <w:sz w:val="24"/>
        </w:rPr>
        <w:t xml:space="preserve">    ci_95 = PairedBootstrapCI(returns_arr, fixed_returns, B=2000)</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return {</w:t>
      </w:r>
      <w:r>
        <w:rPr>
          <w:rFonts w:ascii="Times New Roman" w:hAnsi="Times New Roman"/>
          <w:sz w:val="24"/>
        </w:rPr>
        <w:br/>
      </w:r>
      <w:r>
        <w:rPr>
          <w:rFonts w:ascii="Times New Roman" w:hAnsi="Times New Roman"/>
          <w:sz w:val="24"/>
        </w:rPr>
        <w:t xml:space="preserve">        "signals": signals,</w:t>
      </w:r>
      <w:r>
        <w:rPr>
          <w:rFonts w:ascii="Times New Roman" w:hAnsi="Times New Roman"/>
          <w:sz w:val="24"/>
        </w:rPr>
        <w:br/>
      </w:r>
      <w:r>
        <w:rPr>
          <w:rFonts w:ascii="Times New Roman" w:hAnsi="Times New Roman"/>
          <w:sz w:val="24"/>
        </w:rPr>
        <w:t xml:space="preserve">        "returns": returns_arr,</w:t>
      </w:r>
      <w:r>
        <w:rPr>
          <w:rFonts w:ascii="Times New Roman" w:hAnsi="Times New Roman"/>
          <w:sz w:val="24"/>
        </w:rPr>
        <w:br/>
      </w:r>
      <w:r>
        <w:rPr>
          <w:rFonts w:ascii="Times New Roman" w:hAnsi="Times New Roman"/>
          <w:sz w:val="24"/>
        </w:rPr>
        <w:t xml:space="preserve">        "audit": {</w:t>
      </w:r>
      <w:r>
        <w:rPr>
          <w:rFonts w:ascii="Times New Roman" w:hAnsi="Times New Roman"/>
          <w:sz w:val="24"/>
        </w:rPr>
        <w:br/>
      </w:r>
      <w:r>
        <w:rPr>
          <w:rFonts w:ascii="Times New Roman" w:hAnsi="Times New Roman"/>
          <w:sz w:val="24"/>
        </w:rPr>
        <w:t xml:space="preserve">            "modal_share": modal_share,</w:t>
      </w:r>
      <w:r>
        <w:rPr>
          <w:rFonts w:ascii="Times New Roman" w:hAnsi="Times New Roman"/>
          <w:sz w:val="24"/>
        </w:rPr>
        <w:br/>
      </w:r>
      <w:r>
        <w:rPr>
          <w:rFonts w:ascii="Times New Roman" w:hAnsi="Times New Roman"/>
          <w:sz w:val="24"/>
        </w:rPr>
        <w:t xml:space="preserve">            "modal_threshold": modal_threshold,</w:t>
      </w:r>
      <w:r>
        <w:rPr>
          <w:rFonts w:ascii="Times New Roman" w:hAnsi="Times New Roman"/>
          <w:sz w:val="24"/>
        </w:rPr>
        <w:br/>
      </w:r>
      <w:r>
        <w:rPr>
          <w:rFonts w:ascii="Times New Roman" w:hAnsi="Times New Roman"/>
          <w:sz w:val="24"/>
        </w:rPr>
        <w:t xml:space="preserve">            "is_collapsed": is_collapsed,</w:t>
      </w:r>
      <w:r>
        <w:rPr>
          <w:rFonts w:ascii="Times New Roman" w:hAnsi="Times New Roman"/>
          <w:sz w:val="24"/>
        </w:rPr>
        <w:br/>
      </w:r>
      <w:r>
        <w:rPr>
          <w:rFonts w:ascii="Times New Roman" w:hAnsi="Times New Roman"/>
          <w:sz w:val="24"/>
        </w:rPr>
        <w:t xml:space="preserve">            "sharpe_learned": sharpe_learned,</w:t>
      </w:r>
      <w:r>
        <w:rPr>
          <w:rFonts w:ascii="Times New Roman" w:hAnsi="Times New Roman"/>
          <w:sz w:val="24"/>
        </w:rPr>
        <w:br/>
      </w:r>
      <w:r>
        <w:rPr>
          <w:rFonts w:ascii="Times New Roman" w:hAnsi="Times New Roman"/>
          <w:sz w:val="24"/>
        </w:rPr>
        <w:t xml:space="preserve">            "sharpe_fixed": sharpe_fixed,</w:t>
      </w:r>
      <w:r>
        <w:rPr>
          <w:rFonts w:ascii="Times New Roman" w:hAnsi="Times New Roman"/>
          <w:sz w:val="24"/>
        </w:rPr>
        <w:br/>
      </w:r>
      <w:r>
        <w:rPr>
          <w:rFonts w:ascii="Times New Roman" w:hAnsi="Times New Roman"/>
          <w:sz w:val="24"/>
        </w:rPr>
        <w:t xml:space="preserve">            "sharpe_diff": sharpe_diff,</w:t>
      </w:r>
      <w:r>
        <w:rPr>
          <w:rFonts w:ascii="Times New Roman" w:hAnsi="Times New Roman"/>
          <w:sz w:val="24"/>
        </w:rPr>
        <w:br/>
      </w:r>
      <w:r>
        <w:rPr>
          <w:rFonts w:ascii="Times New Roman" w:hAnsi="Times New Roman"/>
          <w:sz w:val="24"/>
        </w:rPr>
        <w:t xml:space="preserve">            "ci_95": ci_95,</w:t>
      </w:r>
      <w:r>
        <w:rPr>
          <w:rFonts w:ascii="Times New Roman" w:hAnsi="Times New Roman"/>
          <w:sz w:val="24"/>
        </w:rPr>
        <w:br/>
      </w:r>
      <w:r>
        <w:rPr>
          <w:rFonts w:ascii="Times New Roman" w:hAnsi="Times New Roman"/>
          <w:sz w:val="24"/>
        </w:rPr>
        <w:t xml:space="preserve">            "recommendation": "REJECT" if (is_collapsed or ci_95[1] &lt; 0) else "ACCEPT"</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w:t>
      </w:r>
      <w:r>
        <w:rPr>
          <w:rFonts w:ascii="Times New Roman" w:hAnsi="Times New Roman"/>
          <w:sz w:val="24"/>
        </w:rPr>
        <w:br/>
      </w:r>
    </w:p>
    <w:p>
      <w:r>
        <w:rPr>
          <w:rFonts w:ascii="Times New Roman" w:hAnsi="Times New Roman"/>
          <w:sz w:val="24"/>
        </w:rPr>
        <w:t>A.3 Transaction Cost Sensitivity Analysis</w:t>
      </w:r>
    </w:p>
    <w:p>
      <w:r>
        <w:rPr>
          <w:rFonts w:ascii="Times New Roman" w:hAnsi="Times New Roman"/>
          <w:sz w:val="24"/>
        </w:rPr>
        <w:t>def CostSensitivity(signals, raw_returns, cost_levels=[0, 5, 10, 20, 50]):</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INPUT:  signals, raw_returns, cost_levels=[0, 5, 10, 20, 50]</w:t>
      </w:r>
      <w:r>
        <w:rPr>
          <w:rFonts w:ascii="Times New Roman" w:hAnsi="Times New Roman"/>
          <w:sz w:val="24"/>
        </w:rPr>
        <w:br/>
      </w:r>
      <w:r>
        <w:rPr>
          <w:rFonts w:ascii="Times New Roman" w:hAnsi="Times New Roman"/>
          <w:sz w:val="24"/>
        </w:rPr>
        <w:t xml:space="preserve">    OUTPUT: {break_even_bps, sharpe_by_cost}</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changes = ComputeAbsoluteDifferences(signals)  # 1 when signal changes, 0 otherwise</w:t>
      </w:r>
      <w:r>
        <w:rPr>
          <w:rFonts w:ascii="Times New Roman" w:hAnsi="Times New Roman"/>
          <w:sz w:val="24"/>
        </w:rPr>
        <w:br/>
      </w:r>
      <w:r>
        <w:rPr>
          <w:rFonts w:ascii="Times New Roman" w:hAnsi="Times New Roman"/>
          <w:sz w:val="24"/>
        </w:rPr>
        <w:t xml:space="preserve">    total_changes = sum(changes)</w:t>
      </w:r>
      <w:r>
        <w:rPr>
          <w:rFonts w:ascii="Times New Roman" w:hAnsi="Times New Roman"/>
          <w:sz w:val="24"/>
        </w:rPr>
        <w:br/>
      </w:r>
      <w:r>
        <w:rPr>
          <w:rFonts w:ascii="Times New Roman" w:hAnsi="Times New Roman"/>
          <w:sz w:val="24"/>
        </w:rPr>
        <w:t xml:space="preserve">    total_return = sum(raw_returns)</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 Break-even cost: the cost level (in bps) at which strategy returns equal zero</w:t>
      </w:r>
      <w:r>
        <w:rPr>
          <w:rFonts w:ascii="Times New Roman" w:hAnsi="Times New Roman"/>
          <w:sz w:val="24"/>
        </w:rPr>
        <w:br/>
      </w:r>
      <w:r>
        <w:rPr>
          <w:rFonts w:ascii="Times New Roman" w:hAnsi="Times New Roman"/>
          <w:sz w:val="24"/>
        </w:rPr>
        <w:t xml:space="preserve">    break_even_bps = (total_return / total_changes) * 10000.0 if total_changes &gt; 0 else 0.0</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sharpe_by_cost = {}</w:t>
      </w:r>
      <w:r>
        <w:rPr>
          <w:rFonts w:ascii="Times New Roman" w:hAnsi="Times New Roman"/>
          <w:sz w:val="24"/>
        </w:rPr>
        <w:br/>
      </w:r>
      <w:r>
        <w:rPr>
          <w:rFonts w:ascii="Times New Roman" w:hAnsi="Times New Roman"/>
          <w:sz w:val="24"/>
        </w:rPr>
        <w:t xml:space="preserve">    for cost in cost_levels:</w:t>
      </w:r>
      <w:r>
        <w:rPr>
          <w:rFonts w:ascii="Times New Roman" w:hAnsi="Times New Roman"/>
          <w:sz w:val="24"/>
        </w:rPr>
        <w:br/>
      </w:r>
      <w:r>
        <w:rPr>
          <w:rFonts w:ascii="Times New Roman" w:hAnsi="Times New Roman"/>
          <w:sz w:val="24"/>
        </w:rPr>
        <w:t xml:space="preserve">        net_returns = raw_returns - changes * (cost / 10000.0)</w:t>
      </w:r>
      <w:r>
        <w:rPr>
          <w:rFonts w:ascii="Times New Roman" w:hAnsi="Times New Roman"/>
          <w:sz w:val="24"/>
        </w:rPr>
        <w:br/>
      </w:r>
      <w:r>
        <w:rPr>
          <w:rFonts w:ascii="Times New Roman" w:hAnsi="Times New Roman"/>
          <w:sz w:val="24"/>
        </w:rPr>
        <w:t xml:space="preserve">        sharpe_by_cost[cost] = AnnualizedSharpe(net_returns)</w:t>
      </w:r>
      <w:r>
        <w:rPr>
          <w:rFonts w:ascii="Times New Roman" w:hAnsi="Times New Roman"/>
          <w:sz w:val="24"/>
        </w:rPr>
        <w:br/>
      </w:r>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    return {</w:t>
      </w:r>
      <w:r>
        <w:rPr>
          <w:rFonts w:ascii="Times New Roman" w:hAnsi="Times New Roman"/>
          <w:sz w:val="24"/>
        </w:rPr>
        <w:br/>
      </w:r>
      <w:r>
        <w:rPr>
          <w:rFonts w:ascii="Times New Roman" w:hAnsi="Times New Roman"/>
          <w:sz w:val="24"/>
        </w:rPr>
        <w:t xml:space="preserve">        "break_even_bps": break_even_bps,</w:t>
      </w:r>
      <w:r>
        <w:rPr>
          <w:rFonts w:ascii="Times New Roman" w:hAnsi="Times New Roman"/>
          <w:sz w:val="24"/>
        </w:rPr>
        <w:br/>
      </w:r>
      <w:r>
        <w:rPr>
          <w:rFonts w:ascii="Times New Roman" w:hAnsi="Times New Roman"/>
          <w:sz w:val="24"/>
        </w:rPr>
        <w:t xml:space="preserve">        "sharpe_by_cost": sharpe_by_cost</w:t>
      </w:r>
      <w:r>
        <w:rPr>
          <w:rFonts w:ascii="Times New Roman" w:hAnsi="Times New Roman"/>
          <w:sz w:val="24"/>
        </w:rPr>
        <w:br/>
      </w:r>
      <w:r>
        <w:rPr>
          <w:rFonts w:ascii="Times New Roman" w:hAnsi="Times New Roman"/>
          <w:sz w:val="24"/>
        </w:rPr>
        <w:t xml:space="preserve">    }</w:t>
      </w:r>
      <w:r>
        <w:rPr>
          <w:rFonts w:ascii="Times New Roman" w:hAnsi="Times New Roman"/>
          <w:sz w:val="24"/>
        </w:rPr>
        <w:br/>
      </w:r>
    </w:p>
    <w:p>
      <w:r>
        <w:rPr>
          <w:rFonts w:ascii="Times New Roman" w:hAnsi="Times New Roman"/>
          <w:sz w:val="24"/>
        </w:rPr>
        <w:t>Appendix B: Context Cloud Geometry — Formal Treatment</w:t>
      </w:r>
    </w:p>
    <w:p>
      <w:r>
        <w:rPr>
          <w:rFonts w:ascii="Times New Roman" w:hAnsi="Times New Roman"/>
          <w:sz w:val="24"/>
        </w:rPr>
        <w:t>This appendix provides formal treatments and geometric proofs associated with the decision boundaries of the frozen LinUCB decision gating layer.</w:t>
      </w:r>
    </w:p>
    <w:p>
      <w:r>
        <w:rPr>
          <w:rFonts w:ascii="Times New Roman" w:hAnsi="Times New Roman"/>
          <w:sz w:val="24"/>
        </w:rPr>
        <w:t>B.1 Decision Regions as Convex Cones</w:t>
      </w:r>
    </w:p>
    <w:p>
      <w:r>
        <w:rPr>
          <w:rFonts w:ascii="Times New Roman" w:hAnsi="Times New Roman"/>
        </w:rPr>
        <w:t xml:space="preserve">For a </w:t>
      </w:r>
      <w:r>
        <w:rPr>
          <w:rFonts w:ascii="Times New Roman" w:hAnsi="Times New Roman"/>
        </w:rPr>
        <w:t xml:space="preserve">-action linear scoring policy with weight matrix </w:t>
      </w:r>
      <w:r>
        <w:rPr>
          <w:rFonts w:ascii="Times New Roman" w:hAnsi="Times New Roman"/>
        </w:rPr>
        <w:t xml:space="preserve">, the decision region for action </w:t>
      </w:r>
      <w:r>
        <w:rPr>
          <w:rFonts w:ascii="Times New Roman" w:hAnsi="Times New Roman"/>
        </w:rPr>
        <w:t xml:space="preserve"> is </w:t>
      </w:r>
      <w:r>
        <w:rPr>
          <w:rFonts w:ascii="Times New Roman" w:hAnsi="Times New Roman"/>
        </w:rPr>
        <w:t>.</w:t>
      </w:r>
    </w:p>
    <w:p>
      <w:r>
        <w:rPr>
          <w:rFonts w:ascii="Times New Roman" w:hAnsi="Times New Roman"/>
        </w:rPr>
        <w:t xml:space="preserve">Each </w:t>
      </w:r>
      <w:r>
        <w:rPr>
          <w:rFonts w:ascii="Times New Roman" w:hAnsi="Times New Roman"/>
        </w:rPr>
        <w:t xml:space="preserve"> is a convex polyhedral cone—the intersection of </w:t>
      </w:r>
      <w:r>
        <w:rPr>
          <w:rFonts w:ascii="Times New Roman" w:hAnsi="Times New Roman"/>
        </w:rPr>
        <w:t xml:space="preserve"> closed half-spaces through the origin. The collection </w:t>
      </w:r>
      <w:r>
        <w:rPr>
          <w:rFonts w:ascii="Times New Roman" w:hAnsi="Times New Roman"/>
        </w:rPr>
        <w:t xml:space="preserve"> forms a conic partition of </w:t>
      </w:r>
      <w:r>
        <w:rPr>
          <w:rFonts w:ascii="Times New Roman" w:hAnsi="Times New Roman"/>
        </w:rPr>
        <w:t xml:space="preserve"> (up to shared boundaries).</w:t>
      </w:r>
    </w:p>
    <w:p>
      <w:r>
        <w:rPr>
          <w:rFonts w:ascii="Times New Roman" w:hAnsi="Times New Roman"/>
          <w:sz w:val="24"/>
        </w:rPr>
        <w:t>B.2 Decision Margin</w:t>
      </w:r>
    </w:p>
    <w:p>
      <w:r>
        <w:rPr>
          <w:rFonts w:ascii="Times New Roman" w:hAnsi="Times New Roman"/>
        </w:rPr>
        <w:t xml:space="preserve">Define the selected action and decision margin at context </w:t>
      </w:r>
      <w:r>
        <w:rPr>
          <w:rFonts w:ascii="Times New Roman" w:hAnsi="Times New Roman"/>
        </w:rPr>
        <w:t xml:space="preserve"> as </w:t>
      </w:r>
      <w:r>
        <w:rPr>
          <w:rFonts w:ascii="Times New Roman" w:hAnsi="Times New Roman"/>
        </w:rPr>
        <w:t xml:space="preserve"> and </w:t>
      </w:r>
      <w:r>
        <w:rPr>
          <w:rFonts w:ascii="Times New Roman" w:hAnsi="Times New Roman"/>
        </w:rPr>
        <w:t>.</w:t>
      </w:r>
    </w:p>
    <w:p>
      <w:r>
        <w:rPr>
          <w:rFonts w:ascii="Times New Roman" w:hAnsi="Times New Roman"/>
        </w:rPr>
        <w:t xml:space="preserve">The margin </w:t>
      </w:r>
      <w:r>
        <w:rPr>
          <w:rFonts w:ascii="Times New Roman" w:hAnsi="Times New Roman"/>
        </w:rPr>
        <w:t xml:space="preserve"> measures the score gap between the selected action and its closest competitor; </w:t>
      </w:r>
      <w:r>
        <w:rPr>
          <w:rFonts w:ascii="Times New Roman" w:hAnsi="Times New Roman"/>
        </w:rPr>
        <w:t xml:space="preserve"> means that </w:t>
      </w:r>
      <w:r>
        <w:rPr>
          <w:rFonts w:ascii="Times New Roman" w:hAnsi="Times New Roman"/>
        </w:rPr>
        <w:t xml:space="preserve"> does not lie on a decision boundary.</w:t>
      </w:r>
    </w:p>
    <w:p>
      <w:r>
        <w:rPr>
          <w:rFonts w:ascii="Times New Roman" w:hAnsi="Times New Roman"/>
        </w:rPr>
        <w:t xml:space="preserve">Proposition (Collapse under a sufficiently small context cloud). Fix </w:t>
      </w:r>
      <w:r>
        <w:rPr>
          <w:rFonts w:ascii="Times New Roman" w:hAnsi="Times New Roman"/>
        </w:rPr>
        <w:t xml:space="preserve"> and let </w:t>
      </w:r>
      <w:r>
        <w:rPr>
          <w:rFonts w:ascii="Times New Roman" w:hAnsi="Times New Roman"/>
        </w:rPr>
        <w:t xml:space="preserve">. Define </w:t>
      </w:r>
      <w:r>
        <w:rPr>
          <w:rFonts w:ascii="Times New Roman" w:hAnsi="Times New Roman"/>
        </w:rPr>
        <w:t xml:space="preserve"> and </w:t>
      </w:r>
      <w:r>
        <w:rPr>
          <w:rFonts w:ascii="Times New Roman" w:hAnsi="Times New Roman"/>
        </w:rPr>
        <w:t xml:space="preserve">. If </w:t>
      </w:r>
      <w:r>
        <w:rPr>
          <w:rFonts w:ascii="Times New Roman" w:hAnsi="Times New Roman"/>
        </w:rPr>
        <w:t xml:space="preserve">, then </w:t>
      </w:r>
      <w:r>
        <w:rPr>
          <w:rFonts w:ascii="Times New Roman" w:hAnsi="Times New Roman"/>
        </w:rPr>
        <w:t xml:space="preserve"> for every </w:t>
      </w:r>
      <w:r>
        <w:rPr>
          <w:rFonts w:ascii="Times New Roman" w:hAnsi="Times New Roman"/>
        </w:rPr>
        <w:t>; hence the policy selects one action on the entire target context cloud.</w:t>
      </w:r>
    </w:p>
    <w:p>
      <w:r>
        <w:rPr>
          <w:rFonts w:ascii="Times New Roman" w:hAnsi="Times New Roman"/>
        </w:rPr>
        <w:t xml:space="preserve">Proof. For any </w:t>
      </w:r>
      <w:r>
        <w:rPr>
          <w:rFonts w:ascii="Times New Roman" w:hAnsi="Times New Roman"/>
        </w:rPr>
        <w:t xml:space="preserve"> and </w:t>
      </w:r>
      <w:r>
        <w:rPr>
          <w:rFonts w:ascii="Times New Roman" w:hAnsi="Times New Roman"/>
        </w:rPr>
        <w:t xml:space="preserve">, Cauchy–Schwarz gives </w:t>
      </w:r>
      <w:r>
        <w:rPr>
          <w:rFonts w:ascii="Times New Roman" w:hAnsi="Times New Roman"/>
        </w:rPr>
        <w:t xml:space="preserve">. Therefore </w:t>
      </w:r>
      <w:r>
        <w:rPr>
          <w:rFonts w:ascii="Times New Roman" w:hAnsi="Times New Roman"/>
        </w:rPr>
        <w:t xml:space="preserve"> for all competitors </w:t>
      </w:r>
      <w:r>
        <w:rPr>
          <w:rFonts w:ascii="Times New Roman" w:hAnsi="Times New Roman"/>
        </w:rPr>
        <w:t xml:space="preserve">, so </w:t>
      </w:r>
      <w:r>
        <w:rPr>
          <w:rFonts w:ascii="Times New Roman" w:hAnsi="Times New Roman"/>
        </w:rPr>
        <w:t xml:space="preserve"> throughout </w:t>
      </w:r>
      <w:r>
        <w:rPr>
          <w:rFonts w:ascii="Times New Roman" w:hAnsi="Times New Roman"/>
        </w:rPr>
        <w:t>.</w:t>
      </w:r>
    </w:p>
    <w:p>
      <w:r>
        <w:rPr>
          <w:b w:val="0"/>
          <w:i w:val="0"/>
        </w:rPr>
        <w:t>Empirically, very small score margins indicate near ties among actions. In that regime, modest distributional shifts can move a context cloud across a decision boundary; conversely, if a small target cloud lies wholly inside one decision region, the transferred policy becomes behaviorally static.</w:t>
      </w:r>
    </w:p>
    <w:p>
      <w:r>
        <w:rPr>
          <w:rFonts w:ascii="Times New Roman" w:hAnsi="Times New Roman"/>
          <w:sz w:val="24"/>
        </w:rPr>
        <w:t>B.3 Context Cloud Overlap Metric</w:t>
      </w:r>
    </w:p>
    <w:p>
      <w:r>
        <w:rPr>
          <w:rFonts w:ascii="Times New Roman" w:hAnsi="Times New Roman"/>
        </w:rPr>
        <w:t xml:space="preserve">Define the normalized source–target context distance as </w:t>
      </w:r>
      <w:r>
        <w:rPr>
          <w:rFonts w:ascii="Times New Roman" w:hAnsi="Times New Roman"/>
        </w:rPr>
        <w:t xml:space="preserve">, where </w:t>
      </w:r>
      <w:r>
        <w:rPr>
          <w:rFonts w:ascii="Times New Roman" w:hAnsi="Times New Roman"/>
        </w:rPr>
        <w:t xml:space="preserve"> is the 1-Wasserstein distance.</w:t>
      </w:r>
    </w:p>
    <w:p>
      <w:r>
        <w:rPr>
          <w:rFonts w:ascii="Times New Roman" w:hAnsi="Times New Roman"/>
        </w:rPr>
        <w:t xml:space="preserve">Here </w:t>
      </w:r>
      <w:r>
        <w:rPr>
          <w:rFonts w:ascii="Times New Roman" w:hAnsi="Times New Roman"/>
        </w:rPr>
        <w:t xml:space="preserve"> and </w:t>
      </w:r>
      <w:r>
        <w:rPr>
          <w:rFonts w:ascii="Times New Roman" w:hAnsi="Times New Roman"/>
        </w:rPr>
        <w:t xml:space="preserve"> are the source and target context distributions, </w:t>
      </w:r>
      <w:r>
        <w:rPr>
          <w:rFonts w:ascii="Times New Roman" w:hAnsi="Times New Roman"/>
        </w:rPr>
        <w:t xml:space="preserve"> is the set of their couplings, and </w:t>
      </w:r>
      <w:r>
        <w:rPr>
          <w:rFonts w:ascii="Times New Roman" w:hAnsi="Times New Roman"/>
        </w:rPr>
        <w:t xml:space="preserve"> are aggregate marginal standard deviations. A small </w:t>
      </w:r>
      <w:r>
        <w:rPr>
          <w:rFonts w:ascii="Times New Roman" w:hAnsi="Times New Roman"/>
        </w:rPr>
        <w:t xml:space="preserve"> indicates substantial context-cloud overlap and makes zero-shot policy generalization more plausible.</w:t>
      </w:r>
    </w:p>
    <w:p>
      <w:r>
        <w:rPr/>
        <w:t>B.4 Formal Proof of Proposition 1</w:t>
      </w:r>
    </w:p>
    <w:p>
      <w:r>
        <w:rPr>
          <w:b/>
        </w:rPr>
        <w:t>Deterministic-policy continuity clarification.</w:t>
      </w:r>
      <w:r>
        <w:rPr/>
        <w:t xml:space="preserve"> For a deterministic argmax policy, the hard action indicator</w:t>
      </w:r>
    </w:p>
    <w:p/>
    <w:p>
      <w:r>
        <w:rPr/>
        <w:t>is discontinuous on decision boundaries and is therefore not globally Lipschitz. Consequently, the Kantorovich–Rubinstein bound cannot be applied directly to this raw indicator.</w:t>
      </w:r>
    </w:p>
    <w:p>
      <w:r>
        <w:rPr/>
        <w:t xml:space="preserve">For the deterministic policy, impose the following </w:t>
      </w:r>
      <w:r>
        <w:rPr>
          <w:b/>
        </w:rPr>
        <w:t>positive-margin boundary condition</w:t>
      </w:r>
      <w:r>
        <w:rPr/>
        <w:t xml:space="preserve">. Let the dominant action be </w:t>
      </w:r>
      <w:r>
        <w:rPr/>
        <w:t xml:space="preserve"> and define the pairwise score margin against action </w:t>
      </w:r>
      <w:r>
        <w:rPr/>
        <w:t xml:space="preserve"> by</w:t>
      </w:r>
    </w:p>
    <w:p/>
    <w:p>
      <w:r>
        <w:rPr/>
        <w:t xml:space="preserve">Assume there exist </w:t>
      </w:r>
      <w:r>
        <w:rPr/>
        <w:t xml:space="preserve"> and </w:t>
      </w:r>
      <w:r>
        <w:rPr/>
        <w:t xml:space="preserve"> such that</w:t>
      </w:r>
    </w:p>
    <w:p/>
    <w:p>
      <w:r>
        <w:rPr/>
        <w:t>Define</w:t>
      </w:r>
    </w:p>
    <w:p/>
    <w:p>
      <w:r>
        <w:rPr/>
        <w:t xml:space="preserve">Every </w:t>
      </w:r>
      <w:r>
        <w:rPr/>
        <w:t xml:space="preserve"> remains in the </w:t>
      </w:r>
      <w:r>
        <w:rPr/>
        <w:t xml:space="preserve"> decision region after any perturbation of Euclidean norm less than </w:t>
      </w:r>
      <w:r>
        <w:rPr/>
        <w:t xml:space="preserve">. Hence, for any coupling of </w:t>
      </w:r>
      <w:r>
        <w:rPr/>
        <w:t xml:space="preserve"> and </w:t>
      </w:r>
      <w:r>
        <w:rPr/>
        <w:t>, a union-bound and Markov-inequality argument gives</w:t>
      </w:r>
    </w:p>
    <w:p/>
    <w:p>
      <w:r>
        <w:rPr/>
        <w:t xml:space="preserve">This deterministic bound does </w:t>
      </w:r>
      <w:r>
        <w:rPr>
          <w:b/>
        </w:rPr>
        <w:t>not</w:t>
      </w:r>
      <w:r>
        <w:rPr/>
        <w:t xml:space="preserve"> assume that the hard indicator itself is Lipschitz. Its validity comes from the explicit positive distance of most source probability mass from every competing decision boundary.</w:t>
      </w:r>
    </w:p>
    <w:p>
      <w:r>
        <w:rPr>
          <w:b/>
        </w:rPr>
        <w:t>Proposition 1 (Transfer of source action concentration, smoothed form).</w:t>
      </w:r>
      <w:r>
        <w:rPr/>
        <w:t xml:space="preserve"> Let </w:t>
      </w:r>
      <w:r>
        <w:rPr/>
        <w:t xml:space="preserve"> denote a genuinely smoothed probability that the frozen policy selects action </w:t>
      </w:r>
      <w:r>
        <w:rPr/>
        <w:t xml:space="preserve"> at context </w:t>
      </w:r>
      <w:r>
        <w:rPr/>
        <w:t xml:space="preserve">, and suppose that </w:t>
      </w:r>
      <w:r>
        <w:rPr/>
        <w:t xml:space="preserve"> is </w:t>
      </w:r>
      <w:r>
        <w:rPr/>
        <w:t>-Lipschitz. If</w:t>
      </w:r>
    </w:p>
    <w:p/>
    <w:p>
      <w:r>
        <w:rPr/>
        <w:t xml:space="preserve">then, for any target context distribution </w:t>
      </w:r>
      <w:r>
        <w:rPr/>
        <w:t>,</w:t>
      </w:r>
    </w:p>
    <w:p/>
    <w:p>
      <w:r>
        <w:rPr>
          <w:b/>
        </w:rPr>
        <w:t>Proof.</w:t>
      </w:r>
      <w:r>
        <w:rPr/>
        <w:t xml:space="preserve"> By Kantorovich–Rubinstein duality, every </w:t>
      </w:r>
      <w:r>
        <w:rPr/>
        <w:t xml:space="preserve">-Lipschitz function </w:t>
      </w:r>
      <w:r>
        <w:rPr/>
        <w:t xml:space="preserve"> satisfies</w:t>
      </w:r>
    </w:p>
    <w:p/>
    <w:p>
      <w:r>
        <w:rPr/>
        <w:t xml:space="preserve">Applying this inequality to </w:t>
      </w:r>
      <w:r>
        <w:rPr/>
        <w:t xml:space="preserve"> and combining it with the source concentration assumption yields the stated lower bound. The deterministic and smoothed results are therefore separate: the former requires a positive-margin boundary condition, whereas the latter requires genuine Lipschitz regularity of the selection-probability map.</w:t>
      </w:r>
    </w:p>
    <w:p>
      <w:r>
        <w:rPr/>
        <w:t>B.5 Formal Proof of Proposition 2</w:t>
      </w:r>
    </w:p>
    <w:p>
      <w:r>
        <w:rPr>
          <w:b/>
        </w:rPr>
        <w:t>Proposition 2 (Formal statement).</w:t>
      </w:r>
      <w:r>
        <w:rPr/>
        <w:t xml:space="preserve"> For a </w:t>
      </w:r>
      <w:r>
        <w:rPr/>
        <w:t xml:space="preserve">-action linear scoring policy with weight vectors </w:t>
      </w:r>
      <w:r>
        <w:rPr/>
        <w:t>, define</w:t>
      </w:r>
    </w:p>
    <w:p/>
    <w:p>
      <w:r>
        <w:rPr/>
        <w:t>and let</w:t>
      </w:r>
    </w:p>
    <w:p/>
    <w:p>
      <w:r>
        <w:rPr/>
        <w:t>If</w:t>
      </w:r>
    </w:p>
    <w:p/>
    <w:p>
      <w:r>
        <w:rPr/>
        <w:t xml:space="preserve">then the policy selects the same action for every </w:t>
      </w:r>
      <w:r>
        <w:rPr/>
        <w:t>.</w:t>
      </w:r>
    </w:p>
    <w:p>
      <w:r>
        <w:rPr>
          <w:b/>
        </w:rPr>
        <w:t>Proof.</w:t>
      </w:r>
      <w:r>
        <w:rPr/>
        <w:t xml:space="preserve"> Fix any </w:t>
      </w:r>
      <w:r>
        <w:rPr/>
        <w:t xml:space="preserve"> and let </w:t>
      </w:r>
      <w:r>
        <w:rPr/>
        <w:t xml:space="preserve">. For every competitor </w:t>
      </w:r>
      <w:r>
        <w:rPr/>
        <w:t>,</w:t>
      </w:r>
    </w:p>
    <w:p/>
    <w:p>
      <w:r>
        <w:rPr/>
        <w:t>By Cauchy–Schwarz,</w:t>
      </w:r>
    </w:p>
    <w:p/>
    <w:p>
      <w:r>
        <w:rPr/>
        <w:t xml:space="preserve">Thus </w:t>
      </w:r>
      <w:r>
        <w:rPr/>
        <w:t xml:space="preserve"> for every </w:t>
      </w:r>
      <w:r>
        <w:rPr/>
        <w:t xml:space="preserve">, so </w:t>
      </w:r>
      <w:r>
        <w:rPr/>
        <w:t xml:space="preserve">. Because </w:t>
      </w:r>
      <w:r>
        <w:rPr/>
        <w:t xml:space="preserve"> and </w:t>
      </w:r>
      <w:r>
        <w:rPr/>
        <w:t xml:space="preserve"> were arbitrary, the selected action is constant on </w:t>
      </w:r>
      <w:r>
        <w:rPr/>
        <w:t>.</w:t>
      </w:r>
    </w:p>
    <w:p>
      <w:r>
        <w:rPr>
          <w:rFonts w:ascii="Times New Roman" w:hAnsi="Times New Roman"/>
          <w:sz w:val="24"/>
        </w:rPr>
        <w:t>Appendix C: LinUCB Exploration Parameter Sensitivity Analysis Detail</w:t>
      </w:r>
    </w:p>
    <w:p>
      <w:r>
        <w:rPr>
          <w:rFonts w:ascii="Times New Roman" w:hAnsi="Times New Roman"/>
          <w:sz w:val="24"/>
        </w:rPr>
        <w:t xml:space="preserve">To further check our findings, we plotted the relationship between the exploration parameter </w:t>
      </w:r>
      <w:r>
        <w:rPr/>
        <w:t>α</w:t>
      </w:r>
      <w:r>
        <w:rPr>
          <w:rFonts w:ascii="Times New Roman" w:hAnsi="Times New Roman"/>
          <w:sz w:val="24"/>
        </w:rPr>
        <w:t xml:space="preserve"> and the action selection patterns.</w:t>
      </w:r>
      <w:r>
        <w:rPr>
          <w:rFonts w:ascii="Times New Roman" w:hAnsi="Times New Roman"/>
          <w:sz w:val="24"/>
        </w:rPr>
        <w:br/>
      </w:r>
      <w:r>
        <w:rPr>
          <w:rFonts w:ascii="Times New Roman" w:hAnsi="Times New Roman"/>
          <w:sz w:val="24"/>
        </w:rPr>
      </w:r>
    </w:p>
    <w:p>
      <w:pPr>
        <w:jc w:val="center"/>
      </w:pPr>
      <w:r>
        <w:rPr>
          <w:rFonts w:ascii="Times New Roman" w:hAnsi="Times New Roman"/>
          <w:i/>
          <w:sz w:val="18"/>
        </w:rPr>
        <w:t>Figure 2. Sensitivity of source-policy action concentration to the LinUCB exploration parameter α for SPY and TLT.</w:t>
      </w:r>
    </w:p>
    <w:p>
      <w:r>
        <w:rPr>
          <w:rFonts w:ascii="Times New Roman" w:hAnsi="Times New Roman"/>
          <w:sz w:val="24"/>
        </w:rPr>
        <w:t xml:space="preserve">The flat line for SPY confirms that increasing exploration parameter </w:t>
      </w:r>
      <w:r>
        <w:rPr/>
        <w:t>α</w:t>
      </w:r>
      <w:r>
        <w:rPr>
          <w:rFonts w:ascii="Times New Roman" w:hAnsi="Times New Roman"/>
          <w:sz w:val="24"/>
        </w:rPr>
        <w:t xml:space="preserve"> is completely ineffective at breaking the training-induced static collapse. For TLT, a larger </w:t>
      </w:r>
      <w:r>
        <w:rPr/>
        <w:t>α</w:t>
      </w:r>
      <w:r>
        <w:rPr>
          <w:rFonts w:ascii="Times New Roman" w:hAnsi="Times New Roman"/>
          <w:sz w:val="24"/>
        </w:rPr>
        <w:t xml:space="preserve"> gradually decreases the modal share by adding exploration noise, but this does not alter the underlying structural parameter mapping.</w:t>
      </w:r>
    </w:p>
    <w:p>
      <w:r>
        <w:rPr>
          <w:b/>
          <w:sz w:val="28"/>
        </w:rPr>
        <w:t>Declarations</w:t>
      </w:r>
    </w:p>
    <w:p/>
    <w:p>
      <w:r>
        <w:rPr>
          <w:b/>
          <w:sz w:val="24"/>
        </w:rPr>
        <w:t>Availability of data and material</w:t>
      </w:r>
    </w:p>
    <w:p>
      <w:r>
        <w:rPr/>
        <w:t>All data sources are publicly available. Equity and ETF price data are from Yahoo Finance. Cryptocurrency data are from Yahoo Finance and CoinGecko. Complete data manifests with SHA-256 checksums are provided in the supplementary materials. All code and processed data are publicly available on GitHub: https://github.com/Skywalkerhm/FCTT-DA-Financial-Innovation</w:t>
      </w:r>
    </w:p>
    <w:p/>
    <w:p>
      <w:r>
        <w:rPr>
          <w:b/>
          <w:sz w:val="24"/>
        </w:rPr>
        <w:t>Competing interests</w:t>
      </w:r>
    </w:p>
    <w:p>
      <w:r>
        <w:rPr/>
        <w:t>The authors declare that they have no competing interests.</w:t>
      </w:r>
    </w:p>
    <w:p/>
    <w:p>
      <w:r>
        <w:rPr>
          <w:b/>
          <w:sz w:val="24"/>
        </w:rPr>
        <w:t>Funding</w:t>
      </w:r>
    </w:p>
    <w:p>
      <w:r>
        <w:rPr/>
        <w:t>This research did not receive any specific grant from funding agencies in the public, commercial, or not-for-profit sectors.</w:t>
      </w:r>
    </w:p>
    <w:p/>
    <w:p>
      <w:r>
        <w:rPr>
          <w:b/>
          <w:sz w:val="24"/>
        </w:rPr>
        <w:t>Authors' contributions</w:t>
      </w:r>
    </w:p>
    <w:p>
      <w:r>
        <w:rPr/>
        <w:t>MH conceived the study, developed the methodology, and wrote the manuscript. ML contributed to the theoretical framework and formal analysis. XL assisted with data collection and validation. All authors read and approved the final manuscript.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