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over-letter--plos-one"/>
    <w:p>
      <w:pPr>
        <w:pStyle w:val="Heading1"/>
        <w:spacing w:line="480" w:lineRule="auto"/>
      </w:pPr>
      <w:r>
        <w:t xml:space="preserve">Cover Letter — PLOS ONE</w:t>
      </w:r>
    </w:p>
    <w:p>
      <w:pPr>
        <w:pStyle w:val="FirstParagraph"/>
        <w:spacing w:line="480" w:lineRule="auto"/>
      </w:pPr>
      <w:r>
        <w:t xml:space="preserve">9 October 2026</w:t>
      </w:r>
    </w:p>
    <w:p>
      <w:pPr>
        <w:pStyle w:val="BodyText"/>
        <w:spacing w:line="480" w:lineRule="auto"/>
      </w:pPr>
      <w:r>
        <w:t xml:space="preserve">The Editors</w:t>
      </w:r>
      <w:r>
        <w:t xml:space="preserve"> </w:t>
      </w:r>
      <w:r>
        <w:t xml:space="preserve">PLOS ONE</w:t>
      </w:r>
    </w:p>
    <w:p>
      <w:pPr>
        <w:pStyle w:val="BodyText"/>
        <w:spacing w:line="480" w:lineRule="auto"/>
      </w:pPr>
      <w:r>
        <w:rPr>
          <w:b/>
          <w:bCs/>
        </w:rPr>
        <w:t xml:space="preserve">Re: Submission of a Research Article — "Regime-aware decision calibration: when</w:t>
      </w:r>
      <w:r>
        <w:rPr>
          <w:b/>
          <w:bCs/>
        </w:rPr>
        <w:t xml:space="preserve"> </w:t>
      </w:r>
      <w:r>
        <w:rPr>
          <w:b/>
          <w:bCs/>
        </w:rPr>
        <w:t xml:space="preserve">should state information change a trading threshold?"</w:t>
      </w:r>
    </w:p>
    <w:p>
      <w:pPr>
        <w:pStyle w:val="BodyText"/>
        <w:spacing w:line="480" w:lineRule="auto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Article.</w:t>
      </w:r>
    </w:p>
    <w:p>
      <w:pPr>
        <w:pStyle w:val="BodyText"/>
        <w:spacing w:line="480" w:lineRule="auto"/>
      </w:pPr>
      <w:r>
        <w:t xml:space="preserve">Dear Editors,</w:t>
      </w:r>
    </w:p>
    <w:p>
      <w:pPr>
        <w:pStyle w:val="BodyText"/>
        <w:spacing w:line="480" w:lineRule="auto"/>
      </w:pPr>
      <w:r>
        <w:t xml:space="preserve">I submit for your consideration the Research Article</w:t>
      </w:r>
      <w:r>
        <w:t xml:space="preserve"> </w:t>
      </w:r>
      <w:r>
        <w:rPr>
          <w:b/>
          <w:bCs/>
        </w:rPr>
        <w:t xml:space="preserve">"Regime-aware decision</w:t>
      </w:r>
      <w:r>
        <w:rPr>
          <w:b/>
          <w:bCs/>
        </w:rPr>
        <w:t xml:space="preserve"> </w:t>
      </w:r>
      <w:r>
        <w:rPr>
          <w:b/>
          <w:bCs/>
        </w:rPr>
        <w:t xml:space="preserve">calibration: when should state information change a trading threshold?"</w:t>
      </w:r>
    </w:p>
    <w:bookmarkStart w:id="9" w:name="summary-of-the-study"/>
    <w:p>
      <w:pPr>
        <w:pStyle w:val="Heading2"/>
        <w:spacing w:line="480" w:lineRule="auto"/>
      </w:pPr>
      <w:r>
        <w:t xml:space="preserve">Summary of the study</w:t>
      </w:r>
    </w:p>
    <w:p>
      <w:pPr>
        <w:pStyle w:val="FirstParagraph"/>
        <w:spacing w:line="480" w:lineRule="auto"/>
      </w:pPr>
      <w:r>
        <w:t xml:space="preserve">Conditioning a trading threshold on a detected market "regime" is a widely used,</w:t>
      </w:r>
      <w:r>
        <w:t xml:space="preserve"> </w:t>
      </w:r>
      <w:r>
        <w:t xml:space="preserve">model-agnostic intervention, but it frequently fails out of sample and its mechanism is</w:t>
      </w:r>
      <w:r>
        <w:t xml:space="preserve"> </w:t>
      </w:r>
      <w:r>
        <w:t xml:space="preserve">poorly understood. This paper argues that the objects usually invoked to justify it —</w:t>
      </w:r>
      <w:r>
        <w:t xml:space="preserve"> </w:t>
      </w:r>
      <w:r>
        <w:t xml:space="preserve">probability calibration and regime-classification accuracy — are not the decision</w:t>
      </w:r>
      <w:r>
        <w:t xml:space="preserve"> </w:t>
      </w:r>
      <w:r>
        <w:t xml:space="preserve">mechanism. The relevant object is</w:t>
      </w:r>
      <w:r>
        <w:t xml:space="preserve"> </w:t>
      </w:r>
      <w:r>
        <w:rPr>
          <w:b/>
          <w:bCs/>
        </w:rPr>
        <w:t xml:space="preserve">decision calibration</w:t>
      </w:r>
      <w:r>
        <w:t xml:space="preserve">: a state partition improves</w:t>
      </w:r>
      <w:r>
        <w:t xml:space="preserve"> </w:t>
      </w:r>
      <w:r>
        <w:t xml:space="preserve">decisions only if it changes the optimal action on a positive-probability region whose</w:t>
      </w:r>
      <w:r>
        <w:t xml:space="preserve"> </w:t>
      </w:r>
      <w:r>
        <w:t xml:space="preserve">expected utility exceeds the estimation and risk costs.</w:t>
      </w:r>
    </w:p>
    <w:p>
      <w:pPr>
        <w:pStyle w:val="BodyText"/>
        <w:spacing w:line="480" w:lineRule="auto"/>
      </w:pPr>
      <w:r>
        <w:t xml:space="preserve">I formalize this as a decision-regret and value-of-information problem, define</w:t>
      </w:r>
      <w:r>
        <w:t xml:space="preserve"> </w:t>
      </w:r>
      <w:r>
        <w:rPr>
          <w:b/>
          <w:bCs/>
        </w:rPr>
        <w:t xml:space="preserve">Regime-Aware Decision Calibration (RADC)</w:t>
      </w:r>
      <w:r>
        <w:t xml:space="preserve">, and prove five results, including two</w:t>
      </w:r>
      <w:r>
        <w:t xml:space="preserve"> </w:t>
      </w:r>
      <w:r>
        <w:t xml:space="preserve">identification/negative statements: probability calibration cannot certify decision</w:t>
      </w:r>
      <w:r>
        <w:t xml:space="preserve"> </w:t>
      </w:r>
      <w:r>
        <w:t xml:space="preserve">relevance, and a strictly monotone recalibration is decision-inert for re-optimized</w:t>
      </w:r>
      <w:r>
        <w:t xml:space="preserve"> </w:t>
      </w:r>
      <w:r>
        <w:t xml:space="preserve">thresholds. RADC is a two-gate estimator: it selects a resampling-stable context</w:t>
      </w:r>
      <w:r>
        <w:t xml:space="preserve"> </w:t>
      </w:r>
      <w:r>
        <w:t xml:space="preserve">partition, then activates state-dependent thresholds only when a lower confidence bound</w:t>
      </w:r>
      <w:r>
        <w:t xml:space="preserve"> </w:t>
      </w:r>
      <w:r>
        <w:t xml:space="preserve">on the value of state information exceeds a conformal risk buffer; otherwise it</w:t>
      </w:r>
      <w:r>
        <w:t xml:space="preserve"> </w:t>
      </w:r>
      <w:r>
        <w:t xml:space="preserve">collapses to the best fixed threshold.</w:t>
      </w:r>
    </w:p>
    <w:bookmarkEnd w:id="9"/>
    <w:bookmarkStart w:id="10" w:name="principal-results"/>
    <w:p>
      <w:pPr>
        <w:pStyle w:val="Heading2"/>
        <w:spacing w:line="480" w:lineRule="auto"/>
      </w:pPr>
      <w:r>
        <w:t xml:space="preserve">Principal results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t xml:space="preserve">The decision-regret reduction tracks the realized out-of-sample gain (r = +0.945),</w:t>
      </w:r>
      <w:r>
        <w:t xml:space="preserve"> </w:t>
      </w:r>
      <w:r>
        <w:t xml:space="preserve">whereas expected calibration error does not (r = +0.098).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t xml:space="preserve">Probability calibration is decision-inert: temperature and Platt scaling change</w:t>
      </w:r>
      <w:r>
        <w:t xml:space="preserve"> </w:t>
      </w:r>
      <w:r>
        <w:t xml:space="preserve">external utility by exactly 0.0000 (on real data, ECE falls from 0.074 to 0.017 with</w:t>
      </w:r>
      <w:r>
        <w:t xml:space="preserve"> </w:t>
      </w:r>
      <w:r>
        <w:t xml:space="preserve">no change in utility), while decision calibration adds +0.2881 in a 2x2 factorization</w:t>
      </w:r>
      <w:r>
        <w:t xml:space="preserve"> </w:t>
      </w:r>
      <w:r>
        <w:t xml:space="preserve">with zero interaction.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t xml:space="preserve">On controlled regime data-generating processes the estimator recovers essentially the</w:t>
      </w:r>
      <w:r>
        <w:t xml:space="preserve"> </w:t>
      </w:r>
      <w:r>
        <w:t xml:space="preserve">full oracle gain (recovery 1.01 on a strong positive control), activates in 0% of</w:t>
      </w:r>
      <w:r>
        <w:t xml:space="preserve"> </w:t>
      </w:r>
      <w:r>
        <w:t xml:space="preserve">decision-irrelevant and weak-detector controls, loses its gain under state-shuffle</w:t>
      </w:r>
      <w:r>
        <w:t xml:space="preserve"> </w:t>
      </w:r>
      <w:r>
        <w:t xml:space="preserve">placebos, and abstains on 100% of cases with no positive oracle gain.</w:t>
      </w:r>
    </w:p>
    <w:p>
      <w:pPr>
        <w:pStyle w:val="Compact"/>
        <w:numPr>
          <w:ilvl w:val="0"/>
          <w:numId w:val="1001"/>
        </w:numPr>
        <w:spacing w:line="480" w:lineRule="auto"/>
      </w:pPr>
      <w:r>
        <w:t xml:space="preserve">On a frozen Bitcoin/Tesla bundle the oracle upper bound is negative, and the method</w:t>
      </w:r>
      <w:r>
        <w:t xml:space="preserve"> </w:t>
      </w:r>
      <w:r>
        <w:t xml:space="preserve">correctly abstains rather than degrading the fixed threshold.</w:t>
      </w:r>
    </w:p>
    <w:bookmarkEnd w:id="10"/>
    <w:bookmarkStart w:id="11" w:name="relation-to-previous-work"/>
    <w:p>
      <w:pPr>
        <w:pStyle w:val="Heading2"/>
        <w:spacing w:line="480" w:lineRule="auto"/>
      </w:pPr>
      <w:r>
        <w:t xml:space="preserve">Relation to previous work</w:t>
      </w:r>
    </w:p>
    <w:p>
      <w:pPr>
        <w:pStyle w:val="FirstParagraph"/>
        <w:spacing w:line="480" w:lineRule="auto"/>
      </w:pPr>
      <w:r>
        <w:t xml:space="preserve">The paper builds on regime-switching models, probability calibration, value-of-</w:t>
      </w:r>
      <w:r>
        <w:t xml:space="preserve"> </w:t>
      </w:r>
      <w:r>
        <w:t xml:space="preserve">information theory, and conformal risk control, and it contributes the decision-</w:t>
      </w:r>
      <w:r>
        <w:t xml:space="preserve"> </w:t>
      </w:r>
      <w:r>
        <w:t xml:space="preserve">theoretic object that connects regime learning to threshold decisions. It does not</w:t>
      </w:r>
      <w:r>
        <w:t xml:space="preserve"> </w:t>
      </w:r>
      <w:r>
        <w:t xml:space="preserve">claim a profitable trading strategy; the contribution is a testable criterion for</w:t>
      </w:r>
      <w:r>
        <w:t xml:space="preserve"> </w:t>
      </w:r>
      <w:r>
        <w:rPr>
          <w:i/>
          <w:iCs/>
        </w:rPr>
        <w:t xml:space="preserve">whether to be regime-aware at all</w:t>
      </w:r>
      <w:r>
        <w:t xml:space="preserve">, together with controlled evidence for the</w:t>
      </w:r>
      <w:r>
        <w:t xml:space="preserve"> </w:t>
      </w:r>
      <w:r>
        <w:t xml:space="preserve">mechanism.</w:t>
      </w:r>
    </w:p>
    <w:bookmarkEnd w:id="11"/>
    <w:bookmarkStart w:id="12" w:name="why-plos-one"/>
    <w:p>
      <w:pPr>
        <w:pStyle w:val="Heading2"/>
        <w:spacing w:line="480" w:lineRule="auto"/>
      </w:pPr>
      <w:r>
        <w:t xml:space="preserve">Why PLOS ONE</w:t>
      </w:r>
    </w:p>
    <w:p>
      <w:pPr>
        <w:pStyle w:val="FirstParagraph"/>
        <w:spacing w:line="480" w:lineRule="auto"/>
      </w:pPr>
      <w:r>
        <w:t xml:space="preserve">The study is a methods-and-mechanism contribution whose claims are bounded by the</w:t>
      </w:r>
      <w:r>
        <w:t xml:space="preserve"> </w:t>
      </w:r>
      <w:r>
        <w:t xml:space="preserve">evidence. Every result reproduces bit-identically from a frozen bundle, and the</w:t>
      </w:r>
      <w:r>
        <w:t xml:space="preserve"> </w:t>
      </w:r>
      <w:r>
        <w:t xml:space="preserve">submission includes a one-command reproduction package, a SHA-256 manifest, and an</w:t>
      </w:r>
      <w:r>
        <w:t xml:space="preserve"> </w:t>
      </w:r>
      <w:r>
        <w:t xml:space="preserve">automated test suite. I have reported the negative real-asset outcome as a boundary</w:t>
      </w:r>
      <w:r>
        <w:t xml:space="preserve"> </w:t>
      </w:r>
      <w:r>
        <w:t xml:space="preserve">condition rather than concealing it.</w:t>
      </w:r>
    </w:p>
    <w:bookmarkEnd w:id="12"/>
    <w:bookmarkStart w:id="13" w:name="suggested-academic-editors"/>
    <w:p>
      <w:pPr>
        <w:pStyle w:val="Heading2"/>
        <w:spacing w:line="480" w:lineRule="auto"/>
      </w:pPr>
      <w:r>
        <w:t xml:space="preserve">Suggested Academic Editors</w:t>
      </w:r>
    </w:p>
    <w:p>
      <w:pPr>
        <w:pStyle w:val="FirstParagraph"/>
        <w:spacing w:line="480" w:lineRule="auto"/>
      </w:pPr>
      <w:r>
        <w:t xml:space="preserve">[[Optional: name 1-3 PLOS ONE Academic Editors whose expertise fits decision theory,</w:t>
      </w:r>
      <w:r>
        <w:t xml:space="preserve"> </w:t>
      </w:r>
      <w:r>
        <w:t xml:space="preserve">machine learning in finance, or calibration; see the PLOS ONE Editorial Board list.]]</w:t>
      </w:r>
    </w:p>
    <w:bookmarkEnd w:id="13"/>
    <w:bookmarkStart w:id="14" w:name="opposed-reviewers"/>
    <w:p>
      <w:pPr>
        <w:pStyle w:val="Heading2"/>
        <w:spacing w:line="480" w:lineRule="auto"/>
      </w:pPr>
      <w:r>
        <w:t xml:space="preserve">Opposed reviewers</w:t>
      </w:r>
    </w:p>
    <w:p>
      <w:pPr>
        <w:pStyle w:val="FirstParagraph"/>
        <w:spacing w:line="480" w:lineRule="auto"/>
      </w:pPr>
      <w:r>
        <w:t xml:space="preserve">[[Optional: list any individuals who should not review this manuscript, with a brief</w:t>
      </w:r>
      <w:r>
        <w:t xml:space="preserve"> </w:t>
      </w:r>
      <w:r>
        <w:t xml:space="preserve">reason.]]</w:t>
      </w:r>
    </w:p>
    <w:bookmarkEnd w:id="14"/>
    <w:bookmarkStart w:id="16" w:name="declarations"/>
    <w:p>
      <w:pPr>
        <w:pStyle w:val="Heading2"/>
        <w:spacing w:line="480" w:lineRule="auto"/>
      </w:pPr>
      <w:r>
        <w:t xml:space="preserve">Declarations</w:t>
      </w:r>
    </w:p>
    <w:p>
      <w:pPr>
        <w:pStyle w:val="FirstParagraph"/>
        <w:spacing w:line="480" w:lineRule="auto"/>
      </w:pPr>
      <w:r>
        <w:t xml:space="preserve">The manuscript is original, has not been published previously, and is not under</w:t>
      </w:r>
      <w:r>
        <w:t xml:space="preserve"> </w:t>
      </w:r>
      <w:r>
        <w:t xml:space="preserve">consideration elsewhere. The single author has approved the submission and declares no</w:t>
      </w:r>
      <w:r>
        <w:t xml:space="preserve"> </w:t>
      </w:r>
      <w:r>
        <w:t xml:space="preserve">competing interests.</w:t>
      </w:r>
    </w:p>
    <w:p>
      <w:pPr>
        <w:pStyle w:val="BodyText"/>
        <w:spacing w:line="480" w:lineRule="auto"/>
      </w:pPr>
      <w:r>
        <w:t xml:space="preserve">Sincerely,</w:t>
      </w:r>
    </w:p>
    <w:p>
      <w:pPr>
        <w:pStyle w:val="BodyText"/>
        <w:spacing w:line="480" w:lineRule="auto"/>
      </w:pPr>
      <w:r>
        <w:t xml:space="preserve">Min Huang</w:t>
      </w:r>
      <w:r>
        <w:t xml:space="preserve"> </w:t>
      </w:r>
      <w:r>
        <w:t xml:space="preserve">The Chinese University of Hong Kong, Shenzhen, Guangdong, China</w:t>
      </w:r>
      <w:r>
        <w:t xml:space="preserve"> </w:t>
      </w:r>
      <w:hyperlink r:id="rId15">
        <w:r>
          <w:rPr>
            <w:rStyle w:val="Hyperlink"/>
          </w:rPr>
          <w:t xml:space="preserve">minhuang1@link.cuhk.edu.cn</w:t>
        </w:r>
      </w:hyperlink>
      <w:r>
        <w:t xml:space="preserve"> </w:t>
      </w:r>
      <w:r>
        <w:t xml:space="preserve">ORCID: 0009-0007-4991-3221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mailto:minhuang1@link.cuhk.edu.cn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mailto:minhuang1@link.cuhk.edu.c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2026-10-09T06:27:02Z</dcterms:created>
  <dcterms:modified xsi:type="dcterms:W3CDTF">2026-10-09T06:27:02Z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