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0ddbc20a2d9b3fdc219fbd0a48715ed6b46cd2"/>
    <w:p>
      <w:pPr>
        <w:pStyle w:val="Heading1"/>
        <w:spacing w:line="480" w:lineRule="auto"/>
      </w:pPr>
      <w:r>
        <w:t xml:space="preserve">Regime-aware decision calibration: when should state information change a trading threshold?</w:t>
      </w:r>
    </w:p>
    <w:p>
      <w:pPr>
        <w:pStyle w:val="FirstParagraph"/>
        <w:spacing w:line="480" w:lineRule="auto"/>
      </w:pPr>
      <w:r>
        <w:rPr>
          <w:b/>
          <w:bCs/>
        </w:rPr>
        <w:t xml:space="preserve">Short title:</w:t>
      </w:r>
      <w:r>
        <w:t xml:space="preserve"> </w:t>
      </w:r>
      <w:r>
        <w:t xml:space="preserve">Regime-aware decision calibration</w:t>
      </w:r>
    </w:p>
    <w:p>
      <w:pPr>
        <w:pStyle w:val="BodyText"/>
        <w:spacing w:line="480" w:lineRule="auto"/>
      </w:pPr>
      <w:r>
        <w:rPr>
          <w:b/>
          <w:bCs/>
        </w:rPr>
        <w:t xml:space="preserve">Authors:</w:t>
      </w:r>
      <w:r>
        <w:t xml:space="preserve"> </w:t>
      </w:r>
      <w:r>
        <w:t xml:space="preserve">Min Huang^1*</w:t>
      </w:r>
    </w:p>
    <w:p>
      <w:pPr>
        <w:pStyle w:val="BodyText"/>
        <w:spacing w:line="480" w:lineRule="auto"/>
      </w:pPr>
      <w:r>
        <w:rPr>
          <w:b/>
          <w:bCs/>
        </w:rPr>
        <w:t xml:space="preserve">Affiliations: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t xml:space="preserve">The Chinese University of Hong Kong, Shenzhen, Guangdong, China</w:t>
      </w:r>
    </w:p>
    <w:p>
      <w:pPr>
        <w:pStyle w:val="FirstParagraph"/>
        <w:spacing w:line="480" w:lineRule="auto"/>
      </w:pPr>
      <w:r>
        <w:rPr>
          <w:b/>
          <w:bCs/>
        </w:rPr>
        <w:t xml:space="preserve">* Corresponding author:</w:t>
      </w:r>
      <w:r>
        <w:t xml:space="preserve"> </w:t>
      </w:r>
      <w:hyperlink r:id="rId9">
        <w:r>
          <w:rPr>
            <w:rStyle w:val="Hyperlink"/>
          </w:rPr>
          <w:t xml:space="preserve">minhuang1@link.cuhk.edu.cn</w:t>
        </w:r>
      </w:hyperlink>
      <w:r>
        <w:t xml:space="preserve">, ORCID 0009-0007-4991-3221</w:t>
      </w:r>
    </w:p>
    <w:p>
      <w:pPr>
        <w:pStyle w:val="BodyText"/>
        <w:spacing w:line="480" w:lineRule="auto"/>
      </w:pPr>
      <w:r>
        <w:rPr>
          <w:b/>
          <w:bCs/>
        </w:rPr>
        <w:t xml:space="preserve">Draft:</w:t>
      </w:r>
      <w:r>
        <w:t xml:space="preserve"> </w:t>
      </w:r>
      <w:r>
        <w:t xml:space="preserve">PLOS ONE submission draft v2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2026-10-09</w:t>
      </w:r>
    </w:p>
    <w:bookmarkStart w:id="10" w:name="abstract"/>
    <w:p>
      <w:pPr>
        <w:pStyle w:val="Heading2"/>
        <w:spacing w:line="480" w:lineRule="auto"/>
      </w:pPr>
      <w:r>
        <w:t xml:space="preserve">Abstract</w:t>
      </w:r>
    </w:p>
    <w:p>
      <w:pPr>
        <w:pStyle w:val="FirstParagraph"/>
        <w:spacing w:line="480" w:lineRule="auto"/>
      </w:pPr>
      <w:r>
        <w:t xml:space="preserve">Conditioning a trading threshold on a detected market regime is a widely used,</w:t>
      </w:r>
      <w:r>
        <w:t xml:space="preserve"> </w:t>
      </w:r>
      <w:r>
        <w:t xml:space="preserve">model-agnostic intervention, yet it frequently fails out of sample and its mechanism</w:t>
      </w:r>
      <w:r>
        <w:t xml:space="preserve"> </w:t>
      </w:r>
      <w:r>
        <w:t xml:space="preserve">is poorly specified. We argue that the objects usually invoked to justify it —</w:t>
      </w:r>
      <w:r>
        <w:t xml:space="preserve"> </w:t>
      </w:r>
      <w:r>
        <w:t xml:space="preserve">probability calibration and statistical regime accuracy — are not the decision</w:t>
      </w:r>
      <w:r>
        <w:t xml:space="preserve"> </w:t>
      </w:r>
      <w:r>
        <w:t xml:space="preserve">mechanism. The relevant object is</w:t>
      </w:r>
      <w:r>
        <w:t xml:space="preserve"> </w:t>
      </w:r>
      <w:r>
        <w:rPr>
          <w:i/>
          <w:iCs/>
        </w:rPr>
        <w:t xml:space="preserve">decision calibration</w:t>
      </w:r>
      <w:r>
        <w:t xml:space="preserve">: a state partition improves</w:t>
      </w:r>
      <w:r>
        <w:t xml:space="preserve"> </w:t>
      </w:r>
      <w:r>
        <w:t xml:space="preserve">decisions only if it changes the optimal action on a positive-probability region whose</w:t>
      </w:r>
      <w:r>
        <w:t xml:space="preserve"> </w:t>
      </w:r>
      <w:r>
        <w:t xml:space="preserve">expected utility exceeds the estimation and risk costs. We formalize this as a</w:t>
      </w:r>
      <w:r>
        <w:t xml:space="preserve"> </w:t>
      </w:r>
      <w:r>
        <w:t xml:space="preserve">decision-regret and value-of-information problem and define Regime-Aware Decision</w:t>
      </w:r>
      <w:r>
        <w:t xml:space="preserve"> </w:t>
      </w:r>
      <w:r>
        <w:t xml:space="preserve">Calibration (RADC), a two-gate estimator that (i) selects a resampling-stable context</w:t>
      </w:r>
      <w:r>
        <w:t xml:space="preserve"> </w:t>
      </w:r>
      <w:r>
        <w:t xml:space="preserve">partition and (ii) activates state-dependent thresholds only when a lower confidence</w:t>
      </w:r>
      <w:r>
        <w:t xml:space="preserve"> </w:t>
      </w:r>
      <w:r>
        <w:t xml:space="preserve">bound on the value of state information exceeds a conformal risk buffer, otherwise</w:t>
      </w:r>
      <w:r>
        <w:t xml:space="preserve"> </w:t>
      </w:r>
      <w:r>
        <w:t xml:space="preserve">collapsing to the best fixed threshold. We prove five results: the utility gain equals</w:t>
      </w:r>
      <w:r>
        <w:t xml:space="preserve"> </w:t>
      </w:r>
      <w:r>
        <w:t xml:space="preserve">the decision-regret reduction minus cost; probability calibration cannot certify</w:t>
      </w:r>
      <w:r>
        <w:t xml:space="preserve"> </w:t>
      </w:r>
      <w:r>
        <w:t xml:space="preserve">decision relevance; a strictly monotone recalibration is decision-inert for</w:t>
      </w:r>
      <w:r>
        <w:t xml:space="preserve"> </w:t>
      </w:r>
      <w:r>
        <w:t xml:space="preserve">re-optimized thresholds; partition stability does not imply decision relevance; and</w:t>
      </w:r>
      <w:r>
        <w:t xml:space="preserve"> </w:t>
      </w:r>
      <w:r>
        <w:t xml:space="preserve">abstention is Bayes-optimal when the value of information is non-positive. On controlled regime data-generating processes the decision-regret reduction tracks</w:t>
      </w:r>
      <w:r>
        <w:t xml:space="preserve"> </w:t>
      </w:r>
      <w:r>
        <w:t xml:space="preserve">the realized gain (r = +0.945) while expected calibration error does not (r = +0.098);</w:t>
      </w:r>
      <w:r>
        <w:t xml:space="preserve"> </w:t>
      </w:r>
      <w:r>
        <w:t xml:space="preserve">the estimator recovers the oracle decision gain (recovery 1.01 on a strong positive</w:t>
      </w:r>
      <w:r>
        <w:t xml:space="preserve"> </w:t>
      </w:r>
      <w:r>
        <w:t xml:space="preserve">control), activates in 0% of decision-irrelevant and weak-detector controls, and loses</w:t>
      </w:r>
      <w:r>
        <w:t xml:space="preserve"> </w:t>
      </w:r>
      <w:r>
        <w:t xml:space="preserve">its gain under state-shuffle placebos. In a 2x2 factorization, decision calibration adds utility identically before</w:t>
      </w:r>
      <w:r>
        <w:t xml:space="preserve"> </w:t>
      </w:r>
      <w:r>
        <w:t xml:space="preserve">and after probability calibration (interaction 0.0000), whereas probability</w:t>
      </w:r>
      <w:r>
        <w:t xml:space="preserve"> </w:t>
      </w:r>
      <w:r>
        <w:t xml:space="preserve">calibration leaves utility unchanged. On a frozen Bitcoin/Tesla bundle the oracle</w:t>
      </w:r>
      <w:r>
        <w:t xml:space="preserve"> </w:t>
      </w:r>
      <w:r>
        <w:t xml:space="preserve">upper bound is negative and the method correctly abstains. The contribution is a</w:t>
      </w:r>
      <w:r>
        <w:t xml:space="preserve"> </w:t>
      </w:r>
      <w:r>
        <w:t xml:space="preserve">principled, testable way to decide whether to be regime-aware at all.</w:t>
      </w:r>
    </w:p>
    <w:p>
      <w:pPr>
        <w:pStyle w:val="BodyText"/>
        <w:spacing w:line="480" w:lineRule="auto"/>
      </w:pPr>
      <w:r>
        <w:rPr>
          <w:b/>
          <w:bCs/>
        </w:rPr>
        <w:t xml:space="preserve">Keywords:</w:t>
      </w:r>
      <w:r>
        <w:t xml:space="preserve"> </w:t>
      </w:r>
      <w:r>
        <w:t xml:space="preserve">regime switching; decision calibration; value of information; threshold</w:t>
      </w:r>
      <w:r>
        <w:t xml:space="preserve"> </w:t>
      </w:r>
      <w:r>
        <w:t xml:space="preserve">optimization; conformal risk control; walk-forward evaluation</w:t>
      </w:r>
    </w:p>
    <w:bookmarkEnd w:id="10"/>
    <w:bookmarkStart w:id="11" w:name="introduction"/>
    <w:p>
      <w:pPr>
        <w:pStyle w:val="Heading2"/>
        <w:spacing w:line="480" w:lineRule="auto"/>
      </w:pPr>
      <w:r>
        <w:t xml:space="preserve">Introduction</w:t>
      </w:r>
    </w:p>
    <w:p>
      <w:pPr>
        <w:pStyle w:val="FirstParagraph"/>
        <w:spacing w:line="480" w:lineRule="auto"/>
      </w:pPr>
      <w:r>
        <w:t xml:space="preserve">Machine-learning trading pipelines typically separate forecasting from decision making.</w:t>
      </w:r>
      <w:r>
        <w:t xml:space="preserve"> </w:t>
      </w:r>
      <w:r>
        <w:t xml:space="preserve">A model estimates the probability that the next return is positive, and a decision rule</w:t>
      </w:r>
      <w:r>
        <w:t xml:space="preserve"> </w:t>
      </w:r>
      <w:r>
        <w:t xml:space="preserve">maps that probability to a position. When a fixed cutoff performs poorly, a natural</w:t>
      </w:r>
      <w:r>
        <w:t xml:space="preserve"> </w:t>
      </w:r>
      <w:r>
        <w:t xml:space="preserve">remedy is to make the cutoff state-dependent: lower the entry threshold in trending</w:t>
      </w:r>
      <w:r>
        <w:t xml:space="preserve"> </w:t>
      </w:r>
      <w:r>
        <w:t xml:space="preserve">markets, raise it in crises, and use an intermediate value otherwise. The intervention</w:t>
      </w:r>
      <w:r>
        <w:t xml:space="preserve"> </w:t>
      </w:r>
      <w:r>
        <w:t xml:space="preserve">is attractive because it is post-hoc, model-agnostic, and requires no retraining.</w:t>
      </w:r>
    </w:p>
    <w:p>
      <w:pPr>
        <w:pStyle w:val="BodyText"/>
        <w:spacing w:line="480" w:lineRule="auto"/>
      </w:pPr>
      <w:r>
        <w:t xml:space="preserve">It nevertheless fails more often than its popularity suggests. In a reproducible</w:t>
      </w:r>
      <w:r>
        <w:t xml:space="preserve"> </w:t>
      </w:r>
      <w:r>
        <w:t xml:space="preserve">reassessment on Bitcoin and Tesla we found that a rule-based regime threshold was</w:t>
      </w:r>
      <w:r>
        <w:t xml:space="preserve"> </w:t>
      </w:r>
      <w:r>
        <w:t xml:space="preserve">decisively worse than a single validation-selected fixed threshold, in validation and</w:t>
      </w:r>
      <w:r>
        <w:t xml:space="preserve"> </w:t>
      </w:r>
      <w:r>
        <w:t xml:space="preserve">on untouched external folds (external mean group net-utility lower bound -0.613 versus</w:t>
      </w:r>
      <w:r>
        <w:t xml:space="preserve"> </w:t>
      </w:r>
      <w:r>
        <w:t xml:space="preserve">-0.094; the rule won 1 of 14 asset-model-fold groups). A common explanation invokes</w:t>
      </w:r>
      <w:r>
        <w:t xml:space="preserve"> </w:t>
      </w:r>
      <w:r>
        <w:t xml:space="preserve">probability calibration, but a regime label can be statistically predictable and still</w:t>
      </w:r>
      <w:r>
        <w:t xml:space="preserve"> </w:t>
      </w:r>
      <w:r>
        <w:t xml:space="preserve">carry no decision value; and, as we prove, monotone recalibration cannot change the</w:t>
      </w:r>
      <w:r>
        <w:t xml:space="preserve"> </w:t>
      </w:r>
      <w:r>
        <w:t xml:space="preserve">decision value of a threshold rule at all.</w:t>
      </w:r>
    </w:p>
    <w:p>
      <w:pPr>
        <w:pStyle w:val="BodyText"/>
        <w:spacing w:line="480" w:lineRule="auto"/>
      </w:pPr>
      <w:r>
        <w:t xml:space="preserve">This paper isolates the missing object. A state partition improves decisions if and</w:t>
      </w:r>
      <w:r>
        <w:t xml:space="preserve"> </w:t>
      </w:r>
      <w:r>
        <w:t xml:space="preserve">only if it changes the</w:t>
      </w:r>
      <w:r>
        <w:t xml:space="preserve"> </w:t>
      </w:r>
      <w:r>
        <w:rPr>
          <w:i/>
          <w:iCs/>
        </w:rPr>
        <w:t xml:space="preserve">optimal action</w:t>
      </w:r>
      <w:r>
        <w:t xml:space="preserve"> </w:t>
      </w:r>
      <w:r>
        <w:t xml:space="preserve">on a region with positive expected utility.</w:t>
      </w:r>
      <w:r>
        <w:t xml:space="preserve"> </w:t>
      </w:r>
      <w:r>
        <w:t xml:space="preserve">The correct quantity is therefore a decision-regret (or value-of-information) object,</w:t>
      </w:r>
      <w:r>
        <w:t xml:space="preserve"> </w:t>
      </w:r>
      <w:r>
        <w:t xml:space="preserve">not a calibration statistic. We then design an estimator that must</w:t>
      </w:r>
      <w:r>
        <w:t xml:space="preserve"> </w:t>
      </w:r>
      <w:r>
        <w:rPr>
          <w:i/>
          <w:iCs/>
        </w:rPr>
        <w:t xml:space="preserve">earn</w:t>
      </w:r>
      <w:r>
        <w:t xml:space="preserve"> </w:t>
      </w:r>
      <w:r>
        <w:t xml:space="preserve">the right to</w:t>
      </w:r>
      <w:r>
        <w:t xml:space="preserve"> </w:t>
      </w:r>
      <w:r>
        <w:t xml:space="preserve">use regimes.</w:t>
      </w:r>
    </w:p>
    <w:p>
      <w:pPr>
        <w:pStyle w:val="BodyText"/>
        <w:spacing w:line="480" w:lineRule="auto"/>
      </w:pPr>
      <w:r>
        <w:rPr>
          <w:b/>
          <w:bCs/>
        </w:rPr>
        <w:t xml:space="preserve">Related work.</w:t>
      </w:r>
      <w:r>
        <w:t xml:space="preserve"> </w:t>
      </w:r>
      <w:r>
        <w:t xml:space="preserve">Regime-switching models formalize time-varying return and volatility</w:t>
      </w:r>
      <w:r>
        <w:t xml:space="preserve"> </w:t>
      </w:r>
      <w:r>
        <w:t xml:space="preserve">dynamics [1,2]. Recent work applies regime awareness at the architecture or policy</w:t>
      </w:r>
      <w:r>
        <w:t xml:space="preserve"> </w:t>
      </w:r>
      <w:r>
        <w:t xml:space="preserve">level: sectoral portfolio gating [3], regime-aware architecture search [4],</w:t>
      </w:r>
      <w:r>
        <w:t xml:space="preserve"> </w:t>
      </w:r>
      <w:r>
        <w:t xml:space="preserve">regime-gated attention [5], and regime-aware reinforcement learning [6]. Threshold</w:t>
      </w:r>
      <w:r>
        <w:t xml:space="preserve"> </w:t>
      </w:r>
      <w:r>
        <w:t xml:space="preserve">optimization has been studied directly, e.g. in high-frequency pairs trading [7] and</w:t>
      </w:r>
      <w:r>
        <w:t xml:space="preserve"> </w:t>
      </w:r>
      <w:r>
        <w:t xml:space="preserve">profit-optimized Bitcoin thresholds [8]. Neural forecasts are often miscalibrated</w:t>
      </w:r>
      <w:r>
        <w:t xml:space="preserve"> </w:t>
      </w:r>
      <w:r>
        <w:t xml:space="preserve">[9,10], motivating partial-calibration and decision-robustness methods [11], inverse</w:t>
      </w:r>
      <w:r>
        <w:t xml:space="preserve"> </w:t>
      </w:r>
      <w:r>
        <w:t xml:space="preserve">conformal risk control [12], inference-time decision calibration [13], and evidence</w:t>
      </w:r>
      <w:r>
        <w:t xml:space="preserve"> </w:t>
      </w:r>
      <w:r>
        <w:t xml:space="preserve">that forecast skill is not decision skill [14]; regime-aware conformal calibration has</w:t>
      </w:r>
      <w:r>
        <w:t xml:space="preserve"> </w:t>
      </w:r>
      <w:r>
        <w:t xml:space="preserve">been applied to economic forecasting [15]. Value of information is classical [16], and</w:t>
      </w:r>
      <w:r>
        <w:t xml:space="preserve"> </w:t>
      </w:r>
      <w:r>
        <w:t xml:space="preserve">conformal prediction provides distribution-free risk control [17]. Deep learning is</w:t>
      </w:r>
      <w:r>
        <w:t xml:space="preserve"> </w:t>
      </w:r>
      <w:r>
        <w:t xml:space="preserve">widely used for financial prediction [18]. Financial backtests are vulnerable to</w:t>
      </w:r>
      <w:r>
        <w:t xml:space="preserve"> </w:t>
      </w:r>
      <w:r>
        <w:t xml:space="preserve">selection and overfitting [19,20], motivating leakage-safe, search-aware evaluation</w:t>
      </w:r>
      <w:r>
        <w:t xml:space="preserve"> </w:t>
      </w:r>
      <w:r>
        <w:t xml:space="preserve">[21,22] and cost-aware walk-forward studies [23]. Related feature-selection work</w:t>
      </w:r>
      <w:r>
        <w:t xml:space="preserve"> </w:t>
      </w:r>
      <w:r>
        <w:t xml:space="preserve">includes distributional Markov-chain correction [24]. We contribute the decision-</w:t>
      </w:r>
      <w:r>
        <w:t xml:space="preserve"> </w:t>
      </w:r>
      <w:r>
        <w:t xml:space="preserve">theoretic object that connects regime learning to threshold decisions, and prove when</w:t>
      </w:r>
      <w:r>
        <w:t xml:space="preserve"> </w:t>
      </w:r>
      <w:r>
        <w:t xml:space="preserve">calibration-based justifications are insufficient.</w:t>
      </w:r>
    </w:p>
    <w:p>
      <w:pPr>
        <w:pStyle w:val="BodyText"/>
        <w:spacing w:line="480" w:lineRule="auto"/>
      </w:pPr>
      <w:r>
        <w:rPr>
          <w:b/>
          <w:bCs/>
        </w:rPr>
        <w:t xml:space="preserve">Contributions.</w:t>
      </w:r>
    </w:p>
    <w:p>
      <w:pPr>
        <w:pStyle w:val="Compact"/>
        <w:numPr>
          <w:ilvl w:val="0"/>
          <w:numId w:val="1002"/>
        </w:numPr>
        <w:spacing w:line="480" w:lineRule="auto"/>
      </w:pPr>
      <w:r>
        <w:t xml:space="preserve">A decision-calibration formulation of regime thresholds: conditional action value</w:t>
      </w:r>
      <w:r>
        <w:t xml:space="preserve"> </w:t>
      </w:r>
      <w:r>
        <w:rPr>
          <w:rStyle w:val="VerbatimChar"/>
        </w:rPr>
        <w:t xml:space="preserve">Delta(p,z)</w:t>
      </w:r>
      <w:r>
        <w:t xml:space="preserve">, decision regret</w:t>
      </w:r>
      <w:r>
        <w:t xml:space="preserve"> </w:t>
      </w:r>
      <w:r>
        <w:rPr>
          <w:rStyle w:val="VerbatimChar"/>
        </w:rPr>
        <w:t xml:space="preserve">R_dec</w:t>
      </w:r>
      <w:r>
        <w:t xml:space="preserve">, and value of information</w:t>
      </w:r>
      <w:r>
        <w:t xml:space="preserve"> </w:t>
      </w:r>
      <w:r>
        <w:rPr>
          <w:rStyle w:val="VerbatimChar"/>
        </w:rPr>
        <w:t xml:space="preserve">VoI</w:t>
      </w:r>
      <w:r>
        <w:t xml:space="preserve">, with the</w:t>
      </w:r>
      <w:r>
        <w:t xml:space="preserve"> </w:t>
      </w:r>
      <w:r>
        <w:t xml:space="preserve">identity</w:t>
      </w:r>
      <w:r>
        <w:t xml:space="preserve"> </w:t>
      </w:r>
      <w:r>
        <w:rPr>
          <w:rStyle w:val="VerbatimChar"/>
        </w:rPr>
        <w:t xml:space="preserve">V_state - V_fixed = R_dec(theta_fixed) - R_dec(theta_state) - cost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line="480" w:lineRule="auto"/>
      </w:pPr>
      <w:r>
        <w:t xml:space="preserve">A negative identification result: probability calibration cannot certify decision</w:t>
      </w:r>
      <w:r>
        <w:t xml:space="preserve"> </w:t>
      </w:r>
      <w:r>
        <w:t xml:space="preserve">relevance, and monotone recalibration is decision-inert for re-optimized thresholds.</w:t>
      </w:r>
    </w:p>
    <w:p>
      <w:pPr>
        <w:pStyle w:val="Compact"/>
        <w:numPr>
          <w:ilvl w:val="0"/>
          <w:numId w:val="1002"/>
        </w:numPr>
        <w:spacing w:line="480" w:lineRule="auto"/>
      </w:pPr>
      <w:r>
        <w:t xml:space="preserve">A state-relevance separation condition, and the result that partition stability does</w:t>
      </w:r>
      <w:r>
        <w:t xml:space="preserve"> </w:t>
      </w:r>
      <w:r>
        <w:t xml:space="preserve">not imply decision relevance.</w:t>
      </w:r>
    </w:p>
    <w:p>
      <w:pPr>
        <w:pStyle w:val="Compact"/>
        <w:numPr>
          <w:ilvl w:val="0"/>
          <w:numId w:val="1002"/>
        </w:numPr>
        <w:spacing w:line="480" w:lineRule="auto"/>
      </w:pPr>
      <w:r>
        <w:t xml:space="preserve">A two-gate estimator (RADC) with a value-of-information activation gate and a</w:t>
      </w:r>
      <w:r>
        <w:t xml:space="preserve"> </w:t>
      </w:r>
      <w:r>
        <w:t xml:space="preserve">conformal risk buffer; collapse to the fixed threshold is Bayes-optimal when</w:t>
      </w:r>
      <w:r>
        <w:t xml:space="preserve"> </w:t>
      </w:r>
      <w:r>
        <w:rPr>
          <w:rStyle w:val="VerbatimChar"/>
        </w:rPr>
        <w:t xml:space="preserve">VoI &lt;= 0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line="480" w:lineRule="auto"/>
      </w:pPr>
      <w:r>
        <w:t xml:space="preserve">A controlled validation with positive and negative controls, a 2x2 calibration</w:t>
      </w:r>
      <w:r>
        <w:t xml:space="preserve"> </w:t>
      </w:r>
      <w:r>
        <w:t xml:space="preserve">factorization, an oracle upper bound, and state-shuffle placebos.</w:t>
      </w:r>
    </w:p>
    <w:bookmarkEnd w:id="11"/>
    <w:bookmarkStart w:id="18" w:name="materials-and-methods"/>
    <w:p>
      <w:pPr>
        <w:pStyle w:val="Heading2"/>
        <w:spacing w:line="480" w:lineRule="auto"/>
      </w:pPr>
      <w:r>
        <w:t xml:space="preserve">Materials and Methods</w:t>
      </w:r>
    </w:p>
    <w:bookmarkStart w:id="12" w:name="data-and-evaluation-protocol"/>
    <w:p>
      <w:pPr>
        <w:pStyle w:val="Heading3"/>
        <w:spacing w:line="480" w:lineRule="auto"/>
      </w:pPr>
      <w:r>
        <w:t xml:space="preserve">Data and evaluation protocol</w:t>
      </w:r>
    </w:p>
    <w:p>
      <w:pPr>
        <w:pStyle w:val="FirstParagraph"/>
        <w:spacing w:line="480" w:lineRule="auto"/>
      </w:pPr>
      <w:r>
        <w:t xml:space="preserve">We use a frozen probability bundle. Bitcoin models are LSTM, Transformer, and XGBoost;</w:t>
      </w:r>
      <w:r>
        <w:t xml:space="preserve"> </w:t>
      </w:r>
      <w:r>
        <w:t xml:space="preserve">Tesla uses an LSTM. Base-model parameters are frozen before the threshold comparison;</w:t>
      </w:r>
      <w:r>
        <w:t xml:space="preserve"> </w:t>
      </w:r>
      <w:r>
        <w:t xml:space="preserve">the method only selects a context partition and thresholds. The evaluation uses a</w:t>
      </w:r>
      <w:r>
        <w:t xml:space="preserve"> </w:t>
      </w:r>
      <w:r>
        <w:t xml:space="preserve">long/flat action, a 10 basis-point transaction cost, and a drawdown penalty of 0.25;</w:t>
      </w:r>
      <w:r>
        <w:t xml:space="preserve"> </w:t>
      </w:r>
      <w:r>
        <w:t xml:space="preserve">the primary metric is a group-level net-utility lower bound (</w:t>
      </w:r>
      <w:r>
        <w:rPr>
          <w:rStyle w:val="VerbatimChar"/>
        </w:rPr>
        <w:t xml:space="preserve">NU_LB</w:t>
      </w:r>
      <w:r>
        <w:t xml:space="preserve">) computed by a</w:t>
      </w:r>
      <w:r>
        <w:t xml:space="preserve"> </w:t>
      </w:r>
      <w:r>
        <w:t xml:space="preserve">moving-block bootstrap (block 10, 2000 replications, 5% quantile). The evaluation unit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asset x model x fold</w:t>
      </w:r>
      <w:r>
        <w:t xml:space="preserve">, and groups are averaged equally. Search, validation, and</w:t>
      </w:r>
      <w:r>
        <w:t xml:space="preserve"> </w:t>
      </w:r>
      <w:r>
        <w:t xml:space="preserve">external splits are strictly separated; the fixed threshold is selected on validation</w:t>
      </w:r>
      <w:r>
        <w:t xml:space="preserve"> </w:t>
      </w:r>
      <w:r>
        <w:t xml:space="preserve">only. In addition to the real bundle we use a set of synthetic regime data-generating</w:t>
      </w:r>
      <w:r>
        <w:t xml:space="preserve"> </w:t>
      </w:r>
      <w:r>
        <w:t xml:space="preserve">processes (DGPs) with a held-out tail. No external assets are used. The protocol is</w:t>
      </w:r>
      <w:r>
        <w:t xml:space="preserve"> </w:t>
      </w:r>
      <w:r>
        <w:rPr>
          <w:rStyle w:val="VerbatimChar"/>
        </w:rPr>
        <w:t xml:space="preserve">configs/evaluation_protocol.json</w:t>
      </w:r>
      <w:r>
        <w:t xml:space="preserve">, the splits are</w:t>
      </w:r>
      <w:r>
        <w:t xml:space="preserve"> </w:t>
      </w:r>
      <w:r>
        <w:rPr>
          <w:rStyle w:val="VerbatimChar"/>
        </w:rPr>
        <w:t xml:space="preserve">configs/data_splits.json</w:t>
      </w:r>
      <w:r>
        <w:t xml:space="preserve">, and the</w:t>
      </w:r>
      <w:r>
        <w:t xml:space="preserve"> </w:t>
      </w:r>
      <w:r>
        <w:t xml:space="preserve">frozen bundle is</w:t>
      </w:r>
      <w:r>
        <w:t xml:space="preserve"> </w:t>
      </w:r>
      <w:r>
        <w:rPr>
          <w:rStyle w:val="VerbatimChar"/>
        </w:rPr>
        <w:t xml:space="preserve">artifacts/bundles/predictions_v1.csv</w:t>
      </w:r>
      <w:r>
        <w:t xml:space="preserve">.</w:t>
      </w:r>
    </w:p>
    <w:bookmarkEnd w:id="12"/>
    <w:bookmarkStart w:id="13" w:name="problem-setup"/>
    <w:p>
      <w:pPr>
        <w:pStyle w:val="Heading3"/>
        <w:spacing w:line="480" w:lineRule="auto"/>
      </w:pPr>
      <w:r>
        <w:t xml:space="preserve">Problem setup</w:t>
      </w:r>
    </w:p>
    <w:p>
      <w:pPr>
        <w:pStyle w:val="FirstParagraph"/>
        <w:spacing w:line="480" w:lineRule="auto"/>
      </w:pPr>
      <w:r>
        <w:t xml:space="preserve">Let</w:t>
      </w:r>
      <w:r>
        <w:t xml:space="preserve"> </w:t>
      </w:r>
      <w:r>
        <w:rPr>
          <w:rStyle w:val="VerbatimChar"/>
        </w:rPr>
        <w:t xml:space="preserve">p_t</w:t>
      </w:r>
      <w:r>
        <w:t xml:space="preserve"> </w:t>
      </w:r>
      <w:r>
        <w:t xml:space="preserve">be a base-model forecast probability,</w:t>
      </w:r>
      <w:r>
        <w:t xml:space="preserve"> </w:t>
      </w:r>
      <w:r>
        <w:rPr>
          <w:rStyle w:val="VerbatimChar"/>
        </w:rPr>
        <w:t xml:space="preserve">x_t</w:t>
      </w:r>
      <w:r>
        <w:t xml:space="preserve"> </w:t>
      </w:r>
      <w:r>
        <w:t xml:space="preserve">an observable context vector,</w:t>
      </w:r>
      <w:r>
        <w:t xml:space="preserve"> </w:t>
      </w:r>
      <w:r>
        <w:rPr>
          <w:rStyle w:val="VerbatimChar"/>
        </w:rPr>
        <w:t xml:space="preserve">z_t = g(x_t)</w:t>
      </w:r>
      <w:r>
        <w:t xml:space="preserve"> </w:t>
      </w:r>
      <w:r>
        <w:t xml:space="preserve">a latent decision state,</w:t>
      </w:r>
      <w:r>
        <w:t xml:space="preserve"> </w:t>
      </w:r>
      <w:r>
        <w:rPr>
          <w:rStyle w:val="VerbatimChar"/>
        </w:rPr>
        <w:t xml:space="preserve">a_t in {0,1}</w:t>
      </w:r>
      <w:r>
        <w:t xml:space="preserve"> </w:t>
      </w:r>
      <w:r>
        <w:t xml:space="preserve">a long/flat action, and</w:t>
      </w:r>
      <w:r>
        <w:t xml:space="preserve"> </w:t>
      </w:r>
      <w:r>
        <w:rPr>
          <w:rStyle w:val="VerbatimChar"/>
        </w:rPr>
        <w:t xml:space="preserve">r_{t+1}</w:t>
      </w:r>
      <w:r>
        <w:t xml:space="preserve"> </w:t>
      </w:r>
      <w:r>
        <w:t xml:space="preserve">the next-period return. Net per-period utility after costs is</w:t>
      </w:r>
      <w:r>
        <w:t xml:space="preserve"> </w:t>
      </w:r>
      <w:r>
        <w:rPr>
          <w:rStyle w:val="VerbatimChar"/>
        </w:rPr>
        <w:t xml:space="preserve">U_t(a_t, r_{t+1})</w:t>
      </w:r>
      <w:r>
        <w:t xml:space="preserve">. A fixed-threshold policy is</w:t>
      </w:r>
      <w:r>
        <w:t xml:space="preserve"> </w:t>
      </w:r>
      <w:r>
        <w:rPr>
          <w:rStyle w:val="VerbatimChar"/>
        </w:rPr>
        <w:t xml:space="preserve">pi_f = 1[p_t &gt;= theta]</w:t>
      </w:r>
      <w:r>
        <w:t xml:space="preserve"> </w:t>
      </w:r>
      <w:r>
        <w:t xml:space="preserve">and a</w:t>
      </w:r>
      <w:r>
        <w:t xml:space="preserve"> </w:t>
      </w:r>
      <w:r>
        <w:t xml:space="preserve">state-dependent policy is</w:t>
      </w:r>
      <w:r>
        <w:t xml:space="preserve"> </w:t>
      </w:r>
      <w:r>
        <w:rPr>
          <w:rStyle w:val="VerbatimChar"/>
        </w:rPr>
        <w:t xml:space="preserve">pi_s = 1[p_t &gt;= theta(z_t)]</w:t>
      </w:r>
      <w:r>
        <w:t xml:space="preserve">.</w:t>
      </w:r>
    </w:p>
    <w:bookmarkEnd w:id="13"/>
    <w:bookmarkStart w:id="14" w:name="decision-regret-and-value-of-information"/>
    <w:p>
      <w:pPr>
        <w:pStyle w:val="Heading3"/>
        <w:spacing w:line="480" w:lineRule="auto"/>
      </w:pPr>
      <w:r>
        <w:t xml:space="preserve">Decision regret and value of information</w:t>
      </w:r>
    </w:p>
    <w:p>
      <w:pPr>
        <w:pStyle w:val="FirstParagraph"/>
        <w:spacing w:line="480" w:lineRule="auto"/>
      </w:pPr>
      <w:r>
        <w:t xml:space="preserve">Define the conditional action value and the Bayes action:</w:t>
      </w:r>
    </w:p>
    <w:p>
      <w:pPr>
        <w:pStyle w:val="SourceCode"/>
        <w:spacing w:line="480" w:lineRule="auto"/>
      </w:pPr>
      <w:r>
        <w:rPr>
          <w:rStyle w:val="VerbatimChar"/>
        </w:rPr>
        <w:t xml:space="preserve">Delta(p, z) = E[U(1, R) | P=p, Z=z] - E[U(0, R) | P=p, Z=z]</w:t>
      </w:r>
      <w:r>
        <w:br/>
      </w:r>
      <w:r>
        <w:rPr>
          <w:rStyle w:val="VerbatimChar"/>
        </w:rPr>
        <w:t xml:space="preserve">a*(p, z)    = 1[Delta(p, z) &gt;= 0].</w:t>
      </w:r>
    </w:p>
    <w:p>
      <w:pPr>
        <w:pStyle w:val="FirstParagraph"/>
        <w:spacing w:line="480" w:lineRule="auto"/>
      </w:pPr>
      <w:r>
        <w:t xml:space="preserve">Decision regret of a threshold rule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is the expected utility lost by taking the</w:t>
      </w:r>
      <w:r>
        <w:t xml:space="preserve"> </w:t>
      </w:r>
      <w:r>
        <w:t xml:space="preserve">wrong action:</w:t>
      </w:r>
    </w:p>
    <w:p>
      <w:pPr>
        <w:pStyle w:val="SourceCode"/>
        <w:spacing w:line="480" w:lineRule="auto"/>
      </w:pPr>
      <w:r>
        <w:rPr>
          <w:rStyle w:val="VerbatimChar"/>
        </w:rPr>
        <w:t xml:space="preserve">R_dec(theta) = E[ max(0, -Delta(P,Z)) * 1[P &gt;= theta(Z)]</w:t>
      </w:r>
      <w:r>
        <w:br/>
      </w:r>
      <w:r>
        <w:rPr>
          <w:rStyle w:val="VerbatimChar"/>
        </w:rPr>
        <w:t xml:space="preserve">                + max(0,  Delta(P,Z)) * 1[P &lt;  theta(Z)] ].</w:t>
      </w:r>
    </w:p>
    <w:p>
      <w:pPr>
        <w:pStyle w:val="FirstParagraph"/>
        <w:spacing w:line="480" w:lineRule="auto"/>
      </w:pPr>
      <w:r>
        <w:t xml:space="preserve">The value of regime information is</w:t>
      </w:r>
    </w:p>
    <w:p>
      <w:pPr>
        <w:pStyle w:val="SourceCode"/>
        <w:spacing w:line="480" w:lineRule="auto"/>
      </w:pPr>
      <w:r>
        <w:rPr>
          <w:rStyle w:val="VerbatimChar"/>
        </w:rPr>
        <w:t xml:space="preserve">VoI(theta) = R_dec(theta_fixed) - R_dec(theta_state) - C(theta_state),</w:t>
      </w:r>
    </w:p>
    <w:p>
      <w:pPr>
        <w:pStyle w:val="FirstParagraph"/>
        <w:spacing w:line="480" w:lineRule="auto"/>
      </w:pPr>
      <w:r>
        <w:t xml:space="preserve">where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collects expected turnover and drawdown cost. Deployment uses</w:t>
      </w:r>
    </w:p>
    <w:p>
      <w:pPr>
        <w:pStyle w:val="SourceCode"/>
        <w:spacing w:line="480" w:lineRule="auto"/>
      </w:pPr>
      <w:r>
        <w:rPr>
          <w:rStyle w:val="VerbatimChar"/>
        </w:rPr>
        <w:t xml:space="preserve">use theta_state  iff  LCB(VoI) &gt; R_alpha,</w:t>
      </w:r>
    </w:p>
    <w:p>
      <w:pPr>
        <w:pStyle w:val="FirstParagraph"/>
        <w:spacing w:line="480" w:lineRule="auto"/>
      </w:pPr>
      <w:r>
        <w:t xml:space="preserve">with</w:t>
      </w:r>
      <w:r>
        <w:t xml:space="preserve"> </w:t>
      </w:r>
      <w:r>
        <w:rPr>
          <w:rStyle w:val="VerbatimChar"/>
        </w:rPr>
        <w:t xml:space="preserve">R_alpha</w:t>
      </w:r>
      <w:r>
        <w:t xml:space="preserve"> </w:t>
      </w:r>
      <w:r>
        <w:t xml:space="preserve">a split-conformal risk buffer; otherwise the method collapses to</w:t>
      </w:r>
      <w:r>
        <w:t xml:space="preserve"> </w:t>
      </w:r>
      <w:r>
        <w:rPr>
          <w:rStyle w:val="VerbatimChar"/>
        </w:rPr>
        <w:t xml:space="preserve">theta_fixed</w:t>
      </w:r>
      <w:r>
        <w:t xml:space="preserve">.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is estimated in probability bins on the search+validation data.</w:t>
      </w:r>
    </w:p>
    <w:bookmarkEnd w:id="14"/>
    <w:bookmarkStart w:id="15" w:name="the-two-gate-estimator-radc"/>
    <w:p>
      <w:pPr>
        <w:pStyle w:val="Heading3"/>
        <w:spacing w:line="480" w:lineRule="auto"/>
      </w:pPr>
      <w:r>
        <w:t xml:space="preserve">The two-gate estimator (RADC)</w:t>
      </w:r>
    </w:p>
    <w:p>
      <w:pPr>
        <w:pStyle w:val="Compact"/>
        <w:numPr>
          <w:ilvl w:val="0"/>
          <w:numId w:val="1003"/>
        </w:numPr>
        <w:spacing w:line="480" w:lineRule="auto"/>
      </w:pPr>
      <w:r>
        <w:rPr>
          <w:b/>
          <w:bCs/>
        </w:rPr>
        <w:t xml:space="preserve">Identification gate.</w:t>
      </w:r>
      <w:r>
        <w:t xml:space="preserve"> </w:t>
      </w:r>
      <w:r>
        <w:t xml:space="preserve">A one-level decision-relevant split</w:t>
      </w:r>
      <w:r>
        <w:t xml:space="preserve"> </w:t>
      </w:r>
      <w:r>
        <w:rPr>
          <w:rStyle w:val="VerbatimChar"/>
        </w:rPr>
        <w:t xml:space="preserve">g(x)</w:t>
      </w:r>
      <w:r>
        <w:t xml:space="preserve"> </w:t>
      </w:r>
      <w:r>
        <w:t xml:space="preserve">is proposed on</w:t>
      </w:r>
      <w:r>
        <w:t xml:space="preserve"> </w:t>
      </w:r>
      <w:r>
        <w:t xml:space="preserve">the search split and retained only if it survives bootstrap stability selection</w:t>
      </w:r>
      <w:r>
        <w:t xml:space="preserve"> </w:t>
      </w:r>
      <w:r>
        <w:t xml:space="preserve">(feature and cutoff selection frequency above a threshold), excluding unstable,</w:t>
      </w:r>
      <w:r>
        <w:t xml:space="preserve"> </w:t>
      </w:r>
      <w:r>
        <w:t xml:space="preserve">noise-driven partitions.</w:t>
      </w:r>
    </w:p>
    <w:p>
      <w:pPr>
        <w:pStyle w:val="Compact"/>
        <w:numPr>
          <w:ilvl w:val="0"/>
          <w:numId w:val="1003"/>
        </w:numPr>
        <w:spacing w:line="480" w:lineRule="auto"/>
      </w:pPr>
      <w:r>
        <w:rPr>
          <w:b/>
          <w:bCs/>
        </w:rPr>
        <w:t xml:space="preserve">Decision gate.</w:t>
      </w:r>
      <w:r>
        <w:t xml:space="preserve"> </w:t>
      </w:r>
      <w:r>
        <w:t xml:space="preserve">On the validation split the incremental utility of the split</w:t>
      </w:r>
      <w:r>
        <w:t xml:space="preserve"> </w:t>
      </w:r>
      <w:r>
        <w:t xml:space="preserve">policy over the fixed threshold is estimated per group; activation requires</w:t>
      </w:r>
      <w:r>
        <w:t xml:space="preserve"> </w:t>
      </w:r>
      <w:r>
        <w:rPr>
          <w:rStyle w:val="VerbatimChar"/>
        </w:rPr>
        <w:t xml:space="preserve">LCB(VoI) &gt; R_alpha</w:t>
      </w:r>
      <w:r>
        <w:t xml:space="preserve"> </w:t>
      </w:r>
      <w:r>
        <w:t xml:space="preserve">and a minimum fraction of positive groups.</w:t>
      </w:r>
    </w:p>
    <w:p>
      <w:pPr>
        <w:pStyle w:val="FirstParagraph"/>
        <w:spacing w:line="480" w:lineRule="auto"/>
      </w:pPr>
      <w:r>
        <w:t xml:space="preserve">Both gates must pass; the decision gate is the operative decision-calibration</w:t>
      </w:r>
      <w:r>
        <w:t xml:space="preserve"> </w:t>
      </w:r>
      <w:r>
        <w:t xml:space="preserve">criterion.</w:t>
      </w:r>
    </w:p>
    <w:p>
      <w:pPr>
        <w:pStyle w:val="BodyText"/>
        <w:spacing w:line="480" w:lineRule="auto"/>
      </w:pPr>
      <w:r>
        <w:rPr>
          <w:b/>
          <w:bCs/>
        </w:rPr>
        <w:t xml:space="preserve">Algorithm 1 (RADC).</w:t>
      </w:r>
    </w:p>
    <w:p>
      <w:pPr>
        <w:pStyle w:val="SourceCode"/>
        <w:spacing w:line="480" w:lineRule="auto"/>
      </w:pPr>
      <w:r>
        <w:rPr>
          <w:rStyle w:val="VerbatimChar"/>
        </w:rPr>
        <w:t xml:space="preserve">Input: search S, validation V, external E; score p; context x; threshold grid Theta</w:t>
      </w:r>
      <w:r>
        <w:br/>
      </w:r>
      <w:r>
        <w:rPr>
          <w:rStyle w:val="VerbatimChar"/>
        </w:rPr>
        <w:t xml:space="preserve">1  estimate Delta(p,z) in probability bins from S</w:t>
      </w:r>
      <w:r>
        <w:br/>
      </w:r>
      <w:r>
        <w:rPr>
          <w:rStyle w:val="VerbatimChar"/>
        </w:rPr>
        <w:t xml:space="preserve">2  fit a one-level decision-relevant split g(x) on S by minimising decision regret</w:t>
      </w:r>
      <w:r>
        <w:br/>
      </w:r>
      <w:r>
        <w:rPr>
          <w:rStyle w:val="VerbatimChar"/>
        </w:rPr>
        <w:t xml:space="preserve">3  resample S; keep g only if feature and cutoff are stable (frequency &gt; tau)</w:t>
      </w:r>
      <w:r>
        <w:br/>
      </w:r>
      <w:r>
        <w:rPr>
          <w:rStyle w:val="VerbatimChar"/>
        </w:rPr>
        <w:t xml:space="preserve">   if no stable g: return fixed policy pi_f</w:t>
      </w:r>
      <w:r>
        <w:br/>
      </w:r>
      <w:r>
        <w:rPr>
          <w:rStyle w:val="VerbatimChar"/>
        </w:rPr>
        <w:t xml:space="preserve">4  select the fixed threshold theta_f on V by the lower-bound net utility</w:t>
      </w:r>
      <w:r>
        <w:br/>
      </w:r>
      <w:r>
        <w:rPr>
          <w:rStyle w:val="VerbatimChar"/>
        </w:rPr>
        <w:t xml:space="preserve">5  per group in V: d_g = utility(g) - utility(theta_f)</w:t>
      </w:r>
      <w:r>
        <w:br/>
      </w:r>
      <w:r>
        <w:rPr>
          <w:rStyle w:val="VerbatimChar"/>
        </w:rPr>
        <w:t xml:space="preserve">6  LCB = lower confidence bound of {d_g}; R_alpha = conformal risk buffer on V</w:t>
      </w:r>
      <w:r>
        <w:br/>
      </w:r>
      <w:r>
        <w:rPr>
          <w:rStyle w:val="VerbatimChar"/>
        </w:rPr>
        <w:t xml:space="preserve">7  if LCB &gt; R_alpha and positive-group fraction &gt;= rho:</w:t>
      </w:r>
      <w:r>
        <w:br/>
      </w:r>
      <w:r>
        <w:rPr>
          <w:rStyle w:val="VerbatimChar"/>
        </w:rPr>
        <w:t xml:space="preserve">       output state policy pi_s = 1[p &gt;= theta(z)]</w:t>
      </w:r>
      <w:r>
        <w:br/>
      </w:r>
      <w:r>
        <w:rPr>
          <w:rStyle w:val="VerbatimChar"/>
        </w:rPr>
        <w:t xml:space="preserve">   else:</w:t>
      </w:r>
      <w:r>
        <w:br/>
      </w:r>
      <w:r>
        <w:rPr>
          <w:rStyle w:val="VerbatimChar"/>
        </w:rPr>
        <w:t xml:space="preserve">       output fixed policy pi_f = 1[p &gt;= theta_f]      # abstention</w:t>
      </w:r>
    </w:p>
    <w:bookmarkEnd w:id="15"/>
    <w:bookmarkStart w:id="16" w:name="theoretical-analysis"/>
    <w:p>
      <w:pPr>
        <w:pStyle w:val="Heading3"/>
        <w:spacing w:line="480" w:lineRule="auto"/>
      </w:pPr>
      <w:r>
        <w:t xml:space="preserve">Theoretical analysis</w:t>
      </w:r>
    </w:p>
    <w:p>
      <w:pPr>
        <w:pStyle w:val="FirstParagraph"/>
        <w:spacing w:line="480" w:lineRule="auto"/>
      </w:pPr>
      <w:r>
        <w:rPr>
          <w:b/>
          <w:bCs/>
        </w:rPr>
        <w:t xml:space="preserve">Proposition 1 (VoI is decision regret, not calibration).</w:t>
      </w:r>
      <w:r>
        <w:t xml:space="preserve"> </w:t>
      </w:r>
      <w:r>
        <w:t xml:space="preserve">For any rule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,</w:t>
      </w:r>
      <w:r>
        <w:t xml:space="preserve"> </w:t>
      </w:r>
      <w:r>
        <w:rPr>
          <w:rStyle w:val="VerbatimChar"/>
        </w:rPr>
        <w:t xml:space="preserve">V(theta) = E[max(Delta,0)] - R_dec(theta) - C(theta)</w:t>
      </w:r>
      <w:r>
        <w:t xml:space="preserve">, hence</w:t>
      </w:r>
      <w:r>
        <w:t xml:space="preserve"> </w:t>
      </w:r>
      <w:r>
        <w:rPr>
          <w:rStyle w:val="VerbatimChar"/>
        </w:rPr>
        <w:t xml:space="preserve">V_state - V_fixed = R_dec(theta_fixed) - R_dec(theta_state) - C(theta_state)</w:t>
      </w:r>
      <w:r>
        <w:t xml:space="preserve">.</w:t>
      </w:r>
    </w:p>
    <w:p>
      <w:pPr>
        <w:pStyle w:val="BodyText"/>
        <w:spacing w:line="480" w:lineRule="auto"/>
      </w:pPr>
      <w:r>
        <w:rPr>
          <w:b/>
          <w:bCs/>
        </w:rPr>
        <w:t xml:space="preserve">Proposition 2 (probability calibration does not certify decision relevance).</w:t>
      </w:r>
      <w:r>
        <w:t xml:space="preserve"> </w:t>
      </w:r>
      <w:r>
        <w:t xml:space="preserve">ECE</w:t>
      </w:r>
      <w:r>
        <w:t xml:space="preserve"> </w:t>
      </w:r>
      <w:r>
        <w:t xml:space="preserve">and reliability diagrams constrain only the marginal</w:t>
      </w:r>
      <w:r>
        <w:t xml:space="preserve"> </w:t>
      </w:r>
      <w:r>
        <w:rPr>
          <w:rStyle w:val="VerbatimChar"/>
        </w:rPr>
        <w:t xml:space="preserve">P(Y=1|P=p)</w:t>
      </w:r>
      <w:r>
        <w:t xml:space="preserve">.</w:t>
      </w:r>
      <w:r>
        <w:t xml:space="preserve"> </w:t>
      </w:r>
      <w:r>
        <w:rPr>
          <w:rStyle w:val="VerbatimChar"/>
        </w:rPr>
        <w:t xml:space="preserve">Delta(p,z)</w:t>
      </w:r>
      <w:r>
        <w:t xml:space="preserve"> </w:t>
      </w:r>
      <w:r>
        <w:t xml:space="preserve">also</w:t>
      </w:r>
      <w:r>
        <w:t xml:space="preserve"> </w:t>
      </w:r>
      <w:r>
        <w:t xml:space="preserve">depends on the state-conditional payoff asymmetry, which is not identified by the</w:t>
      </w:r>
      <w:r>
        <w:t xml:space="preserve"> </w:t>
      </w:r>
      <w:r>
        <w:t xml:space="preserve">calibrated marginal. Two DGPs can share identical ECE and Brier scores while having</w:t>
      </w:r>
      <w:r>
        <w:t xml:space="preserve"> </w:t>
      </w:r>
      <w:r>
        <w:rPr>
          <w:rStyle w:val="VerbatimChar"/>
        </w:rPr>
        <w:t xml:space="preserve">VoI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VoI &gt; 0</w:t>
      </w:r>
      <w:r>
        <w:t xml:space="preserve">, and the gap is unbounded.</w:t>
      </w:r>
    </w:p>
    <w:p>
      <w:pPr>
        <w:pStyle w:val="BodyText"/>
        <w:spacing w:line="480" w:lineRule="auto"/>
      </w:pPr>
      <w:r>
        <w:rPr>
          <w:b/>
          <w:bCs/>
        </w:rPr>
        <w:t xml:space="preserve">Proposition 3 (state-relevance separation).</w:t>
      </w:r>
      <w:r>
        <w:t xml:space="preserve"> </w:t>
      </w:r>
      <w:r>
        <w:t xml:space="preserve">A refinement strictly improves the</w:t>
      </w:r>
      <w:r>
        <w:t xml:space="preserve"> </w:t>
      </w:r>
      <w:r>
        <w:t xml:space="preserve">Bayes value only if there is a positive-probability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which the optimal</w:t>
      </w:r>
      <w:r>
        <w:t xml:space="preserve"> </w:t>
      </w:r>
      <w:r>
        <w:t xml:space="preserve">actions differ across states and</w:t>
      </w:r>
      <w:r>
        <w:t xml:space="preserve"> </w:t>
      </w:r>
      <w:r>
        <w:rPr>
          <w:rStyle w:val="VerbatimChar"/>
        </w:rPr>
        <w:t xml:space="preserve">E[|Delta| 1_S] &gt; C(theta_state)</w:t>
      </w:r>
      <w:r>
        <w:t xml:space="preserve">. Statistical</w:t>
      </w:r>
      <w:r>
        <w:t xml:space="preserve"> </w:t>
      </w:r>
      <w:r>
        <w:t xml:space="preserve">separability of the state-conditional forecast distributions is neither necessary nor</w:t>
      </w:r>
      <w:r>
        <w:t xml:space="preserve"> </w:t>
      </w:r>
      <w:r>
        <w:t xml:space="preserve">sufficient.</w:t>
      </w:r>
    </w:p>
    <w:p>
      <w:pPr>
        <w:pStyle w:val="BodyText"/>
        <w:spacing w:line="480" w:lineRule="auto"/>
      </w:pPr>
      <w:r>
        <w:rPr>
          <w:b/>
          <w:bCs/>
        </w:rPr>
        <w:t xml:space="preserve">Proposition 4 (strictly monotone recalibration is decision-inert).</w:t>
      </w:r>
      <w:r>
        <w:t xml:space="preserve"> </w:t>
      </w:r>
      <w:r>
        <w:t xml:space="preserve">For any</w:t>
      </w:r>
      <w:r>
        <w:t xml:space="preserve"> </w:t>
      </w:r>
      <w:r>
        <w:t xml:space="preserve">strictly increasing</w:t>
      </w:r>
      <w:r>
        <w:t xml:space="preserve"> </w:t>
      </w:r>
      <w:r>
        <w:rPr>
          <w:rStyle w:val="VerbatimChar"/>
        </w:rPr>
        <w:t xml:space="preserve">phi</w:t>
      </w:r>
      <w:r>
        <w:t xml:space="preserve">,</w:t>
      </w:r>
      <w:r>
        <w:t xml:space="preserve"> </w:t>
      </w:r>
      <w:r>
        <w:rPr>
          <w:rStyle w:val="VerbatimChar"/>
        </w:rPr>
        <w:t xml:space="preserve">1[phi(p) &gt;= phi(theta)] &lt;=&gt; 1[p &gt;= theta]</w:t>
      </w:r>
      <w:r>
        <w:t xml:space="preserve">, so the</w:t>
      </w:r>
      <w:r>
        <w:t xml:space="preserve"> </w:t>
      </w:r>
      <w:r>
        <w:t xml:space="preserve">achievable action set is invariant: temperature and Platt scaling cannot change the</w:t>
      </w:r>
      <w:r>
        <w:t xml:space="preserve"> </w:t>
      </w:r>
      <w:r>
        <w:t xml:space="preserve">value of a re-optimized threshold. Isotonic regression is only</w:t>
      </w:r>
      <w:r>
        <w:t xml:space="preserve"> </w:t>
      </w:r>
      <w:r>
        <w:rPr>
          <w:i/>
          <w:iCs/>
        </w:rPr>
        <w:t xml:space="preserve">non-strictly</w:t>
      </w:r>
      <w:r>
        <w:t xml:space="preserve"> </w:t>
      </w:r>
      <w:r>
        <w:t xml:space="preserve">monotone; its flat regions coarsen the cutpoints, and a sensitivity check shows it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change (here, lower) the utility (see Results and S1 Text).</w:t>
      </w:r>
    </w:p>
    <w:p>
      <w:pPr>
        <w:pStyle w:val="BodyText"/>
        <w:spacing w:line="480" w:lineRule="auto"/>
      </w:pPr>
      <w:r>
        <w:rPr>
          <w:b/>
          <w:bCs/>
        </w:rPr>
        <w:t xml:space="preserve">Proposition 5 (stability does not imply decision relevance).</w:t>
      </w:r>
      <w:r>
        <w:t xml:space="preserve"> </w:t>
      </w:r>
      <w:r>
        <w:t xml:space="preserve">Stability concerns the</w:t>
      </w:r>
      <w:r>
        <w:t xml:space="preserve"> </w:t>
      </w:r>
      <w:r>
        <w:t xml:space="preserve">identification of</w:t>
      </w:r>
      <w:r>
        <w:t xml:space="preserve"> </w:t>
      </w:r>
      <w:r>
        <w:rPr>
          <w:rStyle w:val="VerbatimChar"/>
        </w:rPr>
        <w:t xml:space="preserve">g</w:t>
      </w:r>
      <w:r>
        <w:t xml:space="preserve">;</w:t>
      </w:r>
      <w:r>
        <w:t xml:space="preserve"> </w:t>
      </w:r>
      <w:r>
        <w:rPr>
          <w:rStyle w:val="VerbatimChar"/>
        </w:rPr>
        <w:t xml:space="preserve">VoI</w:t>
      </w:r>
      <w:r>
        <w:t xml:space="preserve"> </w:t>
      </w:r>
      <w:r>
        <w:t xml:space="preserve">is a functional of</w:t>
      </w:r>
      <w:r>
        <w:t xml:space="preserve"> </w:t>
      </w:r>
      <w:r>
        <w:rPr>
          <w:rStyle w:val="VerbatimChar"/>
        </w:rPr>
        <w:t xml:space="preserve">Delta(p,z)</w:t>
      </w:r>
      <w:r>
        <w:t xml:space="preserve">. Stable partitions with</w:t>
      </w:r>
      <w:r>
        <w:t xml:space="preserve"> </w:t>
      </w:r>
      <w:r>
        <w:rPr>
          <w:rStyle w:val="VerbatimChar"/>
        </w:rPr>
        <w:t xml:space="preserve">VoI = 0</w:t>
      </w:r>
      <w:r>
        <w:t xml:space="preserve"> </w:t>
      </w:r>
      <w:r>
        <w:t xml:space="preserve">and with</w:t>
      </w:r>
      <w:r>
        <w:t xml:space="preserve"> </w:t>
      </w:r>
      <w:r>
        <w:rPr>
          <w:rStyle w:val="VerbatimChar"/>
        </w:rPr>
        <w:t xml:space="preserve">VoI &gt; 0</w:t>
      </w:r>
      <w:r>
        <w:t xml:space="preserve"> </w:t>
      </w:r>
      <w:r>
        <w:t xml:space="preserve">both exist, so a "learn a stable regime" method can</w:t>
      </w:r>
      <w:r>
        <w:t xml:space="preserve"> </w:t>
      </w:r>
      <w:r>
        <w:t xml:space="preserve">activate on a predictable but economically inert partition.</w:t>
      </w:r>
    </w:p>
    <w:p>
      <w:pPr>
        <w:pStyle w:val="BodyText"/>
        <w:spacing w:line="480" w:lineRule="auto"/>
      </w:pPr>
      <w:r>
        <w:rPr>
          <w:b/>
          <w:bCs/>
        </w:rPr>
        <w:t xml:space="preserve">Corollary (abstention is Bayes-optimal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VoI &lt;= 0</w:t>
      </w:r>
      <w:r>
        <w:rPr>
          <w:b/>
          <w:bCs/>
        </w:rPr>
        <w:t xml:space="preserve">).</w:t>
      </w:r>
      <w:r>
        <w:t xml:space="preserve"> </w:t>
      </w:r>
      <w:r>
        <w:t xml:space="preserve">If the oracle state</w:t>
      </w:r>
      <w:r>
        <w:t xml:space="preserve"> </w:t>
      </w:r>
      <w:r>
        <w:t xml:space="preserve">policy has non-positive value, then</w:t>
      </w:r>
      <w:r>
        <w:t xml:space="preserve"> </w:t>
      </w:r>
      <w:r>
        <w:rPr>
          <w:rStyle w:val="VerbatimChar"/>
        </w:rPr>
        <w:t xml:space="preserve">LCB(VoI) &lt;= 0</w:t>
      </w:r>
      <w:r>
        <w:t xml:space="preserve"> </w:t>
      </w:r>
      <w:r>
        <w:t xml:space="preserve">and the gate correctly collapses to</w:t>
      </w:r>
      <w:r>
        <w:t xml:space="preserve"> </w:t>
      </w:r>
      <w:r>
        <w:t xml:space="preserve">the fixed threshold.</w:t>
      </w:r>
    </w:p>
    <w:p>
      <w:pPr>
        <w:pStyle w:val="BodyText"/>
        <w:spacing w:line="480" w:lineRule="auto"/>
      </w:pPr>
      <w:r>
        <w:t xml:space="preserve">Full proofs are in S1 Text. For a finite policy class of size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bounded utility,</w:t>
      </w:r>
      <w:r>
        <w:t xml:space="preserve"> </w:t>
      </w:r>
      <w:r>
        <w:t xml:space="preserve">a Hoeffding bound with a union bound gives</w:t>
      </w:r>
      <w:r>
        <w:t xml:space="preserve"> </w:t>
      </w:r>
      <w:r>
        <w:rPr>
          <w:rStyle w:val="VerbatimChar"/>
        </w:rPr>
        <w:t xml:space="preserve">|V_hat - V| &lt;= B sqrt(2 log(2M/delta)/n)</w:t>
      </w:r>
      <w:r>
        <w:t xml:space="preserve"> </w:t>
      </w:r>
      <w:r>
        <w:t xml:space="preserve">with probability</w:t>
      </w:r>
      <w:r>
        <w:t xml:space="preserve"> </w:t>
      </w:r>
      <w:r>
        <w:rPr>
          <w:rStyle w:val="VerbatimChar"/>
        </w:rPr>
        <w:t xml:space="preserve">1-delta</w:t>
      </w:r>
      <w:r>
        <w:t xml:space="preserve">; for dependent data we replace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a block-dependent</w:t>
      </w:r>
      <w:r>
        <w:t xml:space="preserve"> </w:t>
      </w:r>
      <w:r>
        <w:t xml:space="preserve">effective sample size estimated by a moving-block bootstrap.</w:t>
      </w:r>
    </w:p>
    <w:bookmarkEnd w:id="16"/>
    <w:bookmarkStart w:id="17" w:name="statistical-analysis"/>
    <w:p>
      <w:pPr>
        <w:pStyle w:val="Heading3"/>
        <w:spacing w:line="480" w:lineRule="auto"/>
      </w:pPr>
      <w:r>
        <w:t xml:space="preserve">Statistical analysis</w:t>
      </w:r>
    </w:p>
    <w:p>
      <w:pPr>
        <w:pStyle w:val="FirstParagraph"/>
        <w:spacing w:line="480" w:lineRule="auto"/>
      </w:pPr>
      <w:r>
        <w:t xml:space="preserve">Software: Python 3.13 with NumPy 2.5.0, pandas 3.0.3, scikit-learn 1.9.0, SciPy</w:t>
      </w:r>
      <w:r>
        <w:t xml:space="preserve"> </w:t>
      </w:r>
      <w:r>
        <w:t xml:space="preserve">1.18.0, and Matplotlib 3.11.0. The primary metric is the group-level net-utility lower</w:t>
      </w:r>
      <w:r>
        <w:t xml:space="preserve"> </w:t>
      </w:r>
      <w:r>
        <w:t xml:space="preserve">bound (</w:t>
      </w:r>
      <w:r>
        <w:rPr>
          <w:rStyle w:val="VerbatimChar"/>
        </w:rPr>
        <w:t xml:space="preserve">NU_LB</w:t>
      </w:r>
      <w:r>
        <w:t xml:space="preserve">), the 5% quantile of a moving-block bootstrap of the annualized mean net</w:t>
      </w:r>
      <w:r>
        <w:t xml:space="preserve"> </w:t>
      </w:r>
      <w:r>
        <w:t xml:space="preserve">utility, with block length 10 and 2000 replications (seed 20260928); groups are</w:t>
      </w:r>
      <w:r>
        <w:t xml:space="preserve"> </w:t>
      </w:r>
      <w:r>
        <w:rPr>
          <w:rStyle w:val="VerbatimChar"/>
        </w:rPr>
        <w:t xml:space="preserve">asset x model x fold</w:t>
      </w:r>
      <w:r>
        <w:t xml:space="preserve"> </w:t>
      </w:r>
      <w:r>
        <w:t xml:space="preserve">and are averaged equally. Thresholds are selected on the</w:t>
      </w:r>
      <w:r>
        <w:t xml:space="preserve"> </w:t>
      </w:r>
      <w:r>
        <w:t xml:space="preserve">validation split only, over the grid 0.30 to 0.80 (51 points). Activation and</w:t>
      </w:r>
      <w:r>
        <w:t xml:space="preserve"> </w:t>
      </w:r>
      <w:r>
        <w:t xml:space="preserve">abstention rates are reported as exact counts with Wilson score 95% confidence</w:t>
      </w:r>
      <w:r>
        <w:t xml:space="preserve"> </w:t>
      </w:r>
      <w:r>
        <w:t xml:space="preserve">intervals. Decision regret and the conditional action value</w:t>
      </w:r>
      <w:r>
        <w:t xml:space="preserve"> </w:t>
      </w:r>
      <w:r>
        <w:rPr>
          <w:rStyle w:val="VerbatimChar"/>
        </w:rPr>
        <w:t xml:space="preserve">Delta(p,z)</w:t>
      </w:r>
      <w:r>
        <w:t xml:space="preserve"> </w:t>
      </w:r>
      <w:r>
        <w:t xml:space="preserve">are estimated</w:t>
      </w:r>
      <w:r>
        <w:t xml:space="preserve"> </w:t>
      </w:r>
      <w:r>
        <w:t xml:space="preserve">in probability bins (10 bins; a 5/10/20-bin sensitivity gives the same correlation,</w:t>
      </w:r>
      <w:r>
        <w:t xml:space="preserve"> </w:t>
      </w:r>
      <w:r>
        <w:t xml:space="preserve">see Results). Sample sizes: Experiment A uses 8 synthetic scenarios x 20 seeds (160</w:t>
      </w:r>
      <w:r>
        <w:t xml:space="preserve"> </w:t>
      </w:r>
      <w:r>
        <w:t xml:space="preserve">rows) plus the frozen Bitcoin/Tesla bundle; Experiment B uses 8 seeds per scenario;</w:t>
      </w:r>
      <w:r>
        <w:t xml:space="preserve"> </w:t>
      </w:r>
      <w:r>
        <w:t xml:space="preserve">Experiment C uses 12 seeds per scenario; Experiment D uses 20 seeds for placebos and 10</w:t>
      </w:r>
      <w:r>
        <w:t xml:space="preserve"> </w:t>
      </w:r>
      <w:r>
        <w:t xml:space="preserve">bootstrap resamples per scenario for split stability. The significance threshold is</w:t>
      </w:r>
      <w:r>
        <w:t xml:space="preserve"> </w:t>
      </w:r>
      <w:r>
        <w:t xml:space="preserve">alpha = 0.05 and all intervals are two-sided; no multiplicity correction is applied</w:t>
      </w:r>
      <w:r>
        <w:t xml:space="preserve"> </w:t>
      </w:r>
      <w:r>
        <w:t xml:space="preserve">because the scenario comparisons are exploratory and the headline claims rest on the</w:t>
      </w:r>
      <w:r>
        <w:t xml:space="preserve"> </w:t>
      </w:r>
      <w:r>
        <w:t xml:space="preserve">controlled positive/negative contrast. All analyses are deterministic given the fixed</w:t>
      </w:r>
      <w:r>
        <w:t xml:space="preserve"> </w:t>
      </w:r>
      <w:r>
        <w:t xml:space="preserve">seeds and reproduce bit-identically. Analysis code is available in the accompanying reproduction package and the public</w:t>
      </w:r>
      <w:r>
        <w:t xml:space="preserve"> </w:t>
      </w:r>
      <w:r>
        <w:t xml:space="preserve">repository (see Data and Code Availability in the submission system).</w:t>
      </w:r>
    </w:p>
    <w:bookmarkEnd w:id="17"/>
    <w:bookmarkEnd w:id="18"/>
    <w:bookmarkStart w:id="24" w:name="results"/>
    <w:p>
      <w:pPr>
        <w:pStyle w:val="Heading2"/>
        <w:spacing w:line="480" w:lineRule="auto"/>
      </w:pPr>
      <w:r>
        <w:t xml:space="preserve">Results</w:t>
      </w:r>
    </w:p>
    <w:bookmarkStart w:id="19" w:name="Xa29c06941ecf9b9765cf1348ca570a18a9ff1c2"/>
    <w:p>
      <w:pPr>
        <w:pStyle w:val="Heading3"/>
        <w:spacing w:line="480" w:lineRule="auto"/>
      </w:pPr>
      <w:r>
        <w:t xml:space="preserve">Experiment A — Decision regret, not calibration, tracks the gain</w:t>
      </w:r>
    </w:p>
    <w:p>
      <w:pPr>
        <w:pStyle w:val="FirstParagraph"/>
        <w:spacing w:line="480" w:lineRule="auto"/>
      </w:pPr>
      <w:r>
        <w:t xml:space="preserve">We estimated</w:t>
      </w:r>
      <w:r>
        <w:t xml:space="preserve"> </w:t>
      </w:r>
      <w:r>
        <w:rPr>
          <w:rStyle w:val="VerbatimChar"/>
        </w:rPr>
        <w:t xml:space="preserve">Delta(p,z)</w:t>
      </w:r>
      <w:r>
        <w:t xml:space="preserve"> </w:t>
      </w:r>
      <w:r>
        <w:t xml:space="preserve">in probability bins and computed decision regret for fixed</w:t>
      </w:r>
      <w:r>
        <w:t xml:space="preserve"> </w:t>
      </w:r>
      <w:r>
        <w:t xml:space="preserve">versus state-dependent thresholds over 20 seeds x 8 DGP scenarios (160 rows), and</w:t>
      </w:r>
      <w:r>
        <w:t xml:space="preserve"> </w:t>
      </w:r>
      <w:r>
        <w:t xml:space="preserve">compared the regret reduction with ECE and Brier scores (Table 1).</w:t>
      </w:r>
    </w:p>
    <w:p>
      <w:pPr>
        <w:pStyle w:val="BodyText"/>
        <w:spacing w:line="480" w:lineRule="auto"/>
      </w:pPr>
      <w:r>
        <w:rPr>
          <w:b/>
          <w:bCs/>
        </w:rPr>
        <w:t xml:space="preserve">Table 1. Decision regret by scenario (mean over 20 seeds).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regret reduction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state 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realized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decision_relevant_state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asymmetric_utility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high_separation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low_separation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low_dispersion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weak_detector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uninformative_regime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no_transition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</w:t>
            </w:r>
          </w:p>
        </w:tc>
      </w:tr>
    </w:tbl>
    <w:p>
      <w:pPr>
        <w:pStyle w:val="BodyText"/>
        <w:spacing w:line="480" w:lineRule="auto"/>
      </w:pPr>
      <w:r>
        <w:t xml:space="preserve">Correlations over the 160 rows: regret reduction and realized gain</w:t>
      </w:r>
      <w:r>
        <w:t xml:space="preserve"> </w:t>
      </w:r>
      <w:r>
        <w:rPr>
          <w:b/>
          <w:bCs/>
        </w:rPr>
        <w:t xml:space="preserve">+0.945</w:t>
      </w:r>
      <w:r>
        <w:t xml:space="preserve">; state</w:t>
      </w:r>
      <w:r>
        <w:t xml:space="preserve"> </w:t>
      </w:r>
      <w:r>
        <w:t xml:space="preserve">contrast and gain +0.935;</w:t>
      </w:r>
      <w:r>
        <w:t xml:space="preserve"> </w:t>
      </w:r>
      <w:r>
        <w:rPr>
          <w:b/>
          <w:bCs/>
        </w:rPr>
        <w:t xml:space="preserve">ECE and gain +0.098</w:t>
      </w:r>
      <w:r>
        <w:t xml:space="preserve">; Brier and gain -0.129; ECE and</w:t>
      </w:r>
      <w:r>
        <w:t xml:space="preserve"> </w:t>
      </w:r>
      <w:r>
        <w:t xml:space="preserve">regret reduction +0.110. The correlation is stable across probability-bin counts (5/10/20</w:t>
      </w:r>
      <w:r>
        <w:t xml:space="preserve"> </w:t>
      </w:r>
      <w:r>
        <w:t xml:space="preserve">bins give +0.967/+0.968/+0.968;</w:t>
      </w:r>
      <w:r>
        <w:t xml:space="preserve"> </w:t>
      </w:r>
      <w:r>
        <w:rPr>
          <w:rStyle w:val="VerbatimChar"/>
        </w:rPr>
        <w:t xml:space="preserve">bin_count_sensitivity_summary.csv</w:t>
      </w:r>
      <w:r>
        <w:t xml:space="preserve">). The decision-regret object tracks the realized gain; the</w:t>
      </w:r>
      <w:r>
        <w:t xml:space="preserve"> </w:t>
      </w:r>
      <w:r>
        <w:t xml:space="preserve">calibration statistics do not (Fig 1).</w:t>
      </w:r>
      <w:r>
        <w:t xml:space="preserve"> </w:t>
      </w:r>
      <w:r>
        <w:rPr>
          <w:rStyle w:val="VerbatimChar"/>
        </w:rPr>
        <w:t xml:space="preserve">high_separation</w:t>
      </w:r>
      <w:r>
        <w:t xml:space="preserve"> </w:t>
      </w:r>
      <w:r>
        <w:t xml:space="preserve">is statistically separated</w:t>
      </w:r>
      <w:r>
        <w:t xml:space="preserve"> </w:t>
      </w:r>
      <w:r>
        <w:t xml:space="preserve">but decision-irrelevant, so both its regret reduction and its gain are ~0.</w:t>
      </w:r>
    </w:p>
    <w:p>
      <w:pPr>
        <w:pStyle w:val="BodyText"/>
        <w:spacing w:line="480" w:lineRule="auto"/>
      </w:pPr>
      <w:r>
        <w:rPr>
          <w:b/>
          <w:bCs/>
        </w:rPr>
        <w:t xml:space="preserve">Fig 1. Decision-regret mechanism.</w:t>
      </w:r>
      <w:r>
        <w:t xml:space="preserve"> </w:t>
      </w:r>
      <w:r>
        <w:t xml:space="preserve">(A) Conditional action value</w:t>
      </w:r>
      <w:r>
        <w:t xml:space="preserve"> </w:t>
      </w:r>
      <w:r>
        <w:rPr>
          <w:rStyle w:val="VerbatimChar"/>
        </w:rPr>
        <w:t xml:space="preserve">Delta(p,z)</w:t>
      </w:r>
      <w:r>
        <w:t xml:space="preserve"> </w:t>
      </w:r>
      <w:r>
        <w:t xml:space="preserve">for a</w:t>
      </w:r>
      <w:r>
        <w:t xml:space="preserve"> </w:t>
      </w:r>
      <w:r>
        <w:t xml:space="preserve">decision-relevant data-generating process (the two state curves cross zero at different</w:t>
      </w:r>
      <w:r>
        <w:t xml:space="preserve"> </w:t>
      </w:r>
      <w:r>
        <w:t xml:space="preserve">probabilities) and for a state-invariant process (curves coincide). (B) Decision regret</w:t>
      </w:r>
      <w:r>
        <w:t xml:space="preserve"> </w:t>
      </w:r>
      <w:r>
        <w:t xml:space="preserve">of a single fixed threshold; the gap between the fixed-threshold minimum and the</w:t>
      </w:r>
      <w:r>
        <w:t xml:space="preserve"> </w:t>
      </w:r>
      <w:r>
        <w:t xml:space="preserve">state-aware minimum is the value of information.</w:t>
      </w:r>
    </w:p>
    <w:bookmarkEnd w:id="19"/>
    <w:bookmarkStart w:id="20" w:name="X7190eb95017e31b351dd37c3585d0204068352f"/>
    <w:p>
      <w:pPr>
        <w:pStyle w:val="Heading3"/>
        <w:spacing w:line="480" w:lineRule="auto"/>
      </w:pPr>
      <w:r>
        <w:t xml:space="preserve">Experiment B — Probability calibration and decision calibration are separate levers</w:t>
      </w:r>
    </w:p>
    <w:p>
      <w:pPr>
        <w:pStyle w:val="FirstParagraph"/>
        <w:spacing w:line="480" w:lineRule="auto"/>
      </w:pPr>
      <w:r>
        <w:t xml:space="preserve">We ran a 2x2 design (raw versus temperature-scaled probabilities x fixed versus RADC</w:t>
      </w:r>
      <w:r>
        <w:t xml:space="preserve"> </w:t>
      </w:r>
      <w:r>
        <w:t xml:space="preserve">thresholds). Because the calibrator is monotone, we mapped the threshold grid through</w:t>
      </w:r>
      <w:r>
        <w:t xml:space="preserve"> </w:t>
      </w:r>
      <w:r>
        <w:t xml:space="preserve">the same monotone map so the calibrated cell evaluates the identical decision set</w:t>
      </w:r>
      <w:r>
        <w:t xml:space="preserve"> </w:t>
      </w:r>
      <w:r>
        <w:t xml:space="preserve">(Proposition 4). Factorization of external</w:t>
      </w:r>
      <w:r>
        <w:t xml:space="preserve"> </w:t>
      </w:r>
      <w:r>
        <w:rPr>
          <w:rStyle w:val="VerbatimChar"/>
        </w:rPr>
        <w:t xml:space="preserve">NU_LB</w:t>
      </w:r>
      <w:r>
        <w:t xml:space="preserve"> </w:t>
      </w:r>
      <w:r>
        <w:t xml:space="preserve">is given in Table 2.</w:t>
      </w:r>
    </w:p>
    <w:p>
      <w:pPr>
        <w:pStyle w:val="BodyText"/>
        <w:spacing w:line="480" w:lineRule="auto"/>
      </w:pPr>
      <w:r>
        <w:rPr>
          <w:b/>
          <w:bCs/>
        </w:rPr>
        <w:t xml:space="preserve">Table 2. Factorization of external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NU_LB</w:t>
      </w:r>
      <w:r>
        <w:rPr>
          <w:b/>
          <w:bCs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Synthetic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calibration (within fixed)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calibration (within raw)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calibration (within calibrated)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ECE, raw to calibrated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0.0343 to 0.0354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0.0742 to 0.0172</w:t>
            </w:r>
          </w:p>
        </w:tc>
      </w:tr>
    </w:tbl>
    <w:p>
      <w:pPr>
        <w:pStyle w:val="BodyText"/>
        <w:spacing w:line="480" w:lineRule="auto"/>
      </w:pPr>
      <w:r>
        <w:t xml:space="preserve">On real Bitcoin/Tesla, temperature scaling reduced ECE from 0.074 to 0.017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change in external utility. The two levers are additive and orthogonal:</w:t>
      </w:r>
      <w:r>
        <w:t xml:space="preserve"> </w:t>
      </w:r>
      <w:r>
        <w:t xml:space="preserve">probability calibration is decision-inert, decision calibration is not. Calibration</w:t>
      </w:r>
      <w:r>
        <w:t xml:space="preserve"> </w:t>
      </w:r>
      <w:r>
        <w:t xml:space="preserve">appears to matter only through a fixed absolute anchor such as 0.5: at the 0.5 anchor</w:t>
      </w:r>
      <w:r>
        <w:t xml:space="preserve"> </w:t>
      </w:r>
      <w:r>
        <w:t xml:space="preserve">both raw and calibrated</w:t>
      </w:r>
      <w:r>
        <w:t xml:space="preserve"> </w:t>
      </w:r>
      <w:r>
        <w:rPr>
          <w:rStyle w:val="VerbatimChar"/>
        </w:rPr>
        <w:t xml:space="preserve">NU_LB</w:t>
      </w:r>
      <w:r>
        <w:t xml:space="preserve"> </w:t>
      </w:r>
      <w:r>
        <w:t xml:space="preserve">equal -0.4014, versus -0.0935 at the re-optimized</w:t>
      </w:r>
      <w:r>
        <w:t xml:space="preserve"> </w:t>
      </w:r>
      <w:r>
        <w:t xml:space="preserve">threshold. That gap is an anchoring artifact, not a calibration effect.</w:t>
      </w:r>
    </w:p>
    <w:p>
      <w:pPr>
        <w:pStyle w:val="BodyText"/>
        <w:spacing w:line="480" w:lineRule="auto"/>
      </w:pPr>
      <w:r>
        <w:rPr>
          <w:b/>
          <w:bCs/>
        </w:rPr>
        <w:t xml:space="preserve">Table 3. Sensitivity to the calibrator (effect on external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NU_LB</w:t>
      </w:r>
      <w:r>
        <w:rPr>
          <w:b/>
          <w:bCs/>
        </w:rP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invariance in Proposition 4 requires</w:t>
      </w:r>
      <w:r>
        <w:t xml:space="preserve"> </w:t>
      </w:r>
      <w:r>
        <w:rPr>
          <w:i/>
          <w:iCs/>
        </w:rPr>
        <w:t xml:space="preserve">strict</w:t>
      </w:r>
      <w:r>
        <w:t xml:space="preserve"> </w:t>
      </w:r>
      <w:r>
        <w:t xml:space="preserve">monotonicity.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Calibrator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Synthetic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(strict)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Platt (strict)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isotonic (non-strict)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-0.06792</w:t>
            </w:r>
          </w:p>
        </w:tc>
      </w:tr>
    </w:tbl>
    <w:p>
      <w:pPr>
        <w:pStyle w:val="BodyText"/>
        <w:spacing w:line="480" w:lineRule="auto"/>
      </w:pPr>
      <w:r>
        <w:t xml:space="preserve">Isotonic regression has flat regions, so its mapped cutpoints are coarsened and it can</w:t>
      </w:r>
      <w:r>
        <w:t xml:space="preserve"> </w:t>
      </w:r>
      <w:r>
        <w:t xml:space="preserve">change (and here, lower) the utility. The decision-inertness result is therefore a</w:t>
      </w:r>
      <w:r>
        <w:t xml:space="preserve"> </w:t>
      </w:r>
      <w:r>
        <w:t xml:space="preserve">property of strict monotonicity, not of "calibration" in general.</w:t>
      </w:r>
    </w:p>
    <w:bookmarkEnd w:id="20"/>
    <w:bookmarkStart w:id="21" w:name="X2bdfce8702f73c42712021e458bd6681adeb416"/>
    <w:p>
      <w:pPr>
        <w:pStyle w:val="Heading3"/>
        <w:spacing w:line="480" w:lineRule="auto"/>
      </w:pPr>
      <w:r>
        <w:t xml:space="preserve">Experiment C — The gate recovers the oracle gain and abstains when value is negative</w:t>
      </w:r>
    </w:p>
    <w:p>
      <w:pPr>
        <w:pStyle w:val="FirstParagraph"/>
        <w:spacing w:line="480" w:lineRule="auto"/>
      </w:pPr>
      <w:r>
        <w:t xml:space="preserve">We computed a deployable oracle (per-true-state thresholds selected on the search</w:t>
      </w:r>
      <w:r>
        <w:t xml:space="preserve"> </w:t>
      </w:r>
      <w:r>
        <w:t xml:space="preserve">split), an optimistic in-sample ceiling, and the RADC realized gain, over 12 seeds per</w:t>
      </w:r>
      <w:r>
        <w:t xml:space="preserve"> </w:t>
      </w:r>
      <w:r>
        <w:t xml:space="preserve">scenario (Table 4).</w:t>
      </w:r>
    </w:p>
    <w:p>
      <w:pPr>
        <w:pStyle w:val="BodyText"/>
        <w:spacing w:line="480" w:lineRule="auto"/>
      </w:pPr>
      <w:r>
        <w:rPr>
          <w:b/>
          <w:bCs/>
        </w:rPr>
        <w:t xml:space="preserve">Table 4. Oracle upper bound and RADC recovery.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oracle LB 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RADC 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decision_relevant_state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asymmetric_utility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high_separation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low_separation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low_dispersion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weak_detector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uninformative_regime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no_transition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odyText"/>
        <w:spacing w:line="480" w:lineRule="auto"/>
      </w:pPr>
      <w:r>
        <w:t xml:space="preserve">Correlation between oracle lower-bound gain and RADC gain is</w:t>
      </w:r>
      <w:r>
        <w:t xml:space="preserve"> </w:t>
      </w:r>
      <w:r>
        <w:rPr>
          <w:b/>
          <w:bCs/>
        </w:rPr>
        <w:t xml:space="preserve">+0.987</w:t>
      </w:r>
      <w:r>
        <w:t xml:space="preserve">. On the strong</w:t>
      </w:r>
      <w:r>
        <w:t xml:space="preserve"> </w:t>
      </w:r>
      <w:r>
        <w:t xml:space="preserve">positive control the estimator recovers essentially the entire oracle gain (Fig 2).</w:t>
      </w:r>
    </w:p>
    <w:p>
      <w:pPr>
        <w:pStyle w:val="BodyText"/>
        <w:spacing w:line="480" w:lineRule="auto"/>
      </w:pPr>
      <w:r>
        <w:rPr>
          <w:b/>
          <w:bCs/>
        </w:rPr>
        <w:t xml:space="preserve">Fig 2. Oracle upper bound and recovery.</w:t>
      </w:r>
      <w:r>
        <w:t xml:space="preserve"> </w:t>
      </w:r>
      <w:r>
        <w:t xml:space="preserve">(A) Realized RADC gain versus the oracle</w:t>
      </w:r>
      <w:r>
        <w:t xml:space="preserve"> </w:t>
      </w:r>
      <w:r>
        <w:t xml:space="preserve">lower-bound gain, with the y = x line; points on the line are full recovery.</w:t>
      </w:r>
      <w:r>
        <w:t xml:space="preserve"> </w:t>
      </w:r>
      <w:r>
        <w:t xml:space="preserve">(B) Oracle lower-bound gain versus captured gain by scenario.</w:t>
      </w:r>
    </w:p>
    <w:p>
      <w:pPr>
        <w:pStyle w:val="BodyText"/>
        <w:spacing w:line="480" w:lineRule="auto"/>
      </w:pPr>
      <w:r>
        <w:rPr>
          <w:b/>
          <w:bCs/>
        </w:rPr>
        <w:t xml:space="preserve">Table 5. Activation rates with exact counts and Wilson 95% intervals.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Activated / 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Wilson 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decision_relevant_state (strong positive)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[83.9%, 100%]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controls (pooled)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59.3%</w:t>
            </w:r>
          </w:p>
        </w:tc>
        <w:tc>
          <w:tcPr/>
          <w:p>
            <w:pPr>
              <w:pStyle w:val="Compact"/>
            </w:pPr>
            <w:r>
              <w:t xml:space="preserve">[40.7%, 75.5%]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asymmetric_utility (moderate)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  <w:tc>
          <w:tcPr/>
          <w:p>
            <w:pPr>
              <w:pStyle w:val="Compact"/>
            </w:pPr>
            <w:r>
              <w:t xml:space="preserve">[13.8%, 60.9%]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controls (pooled)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[0%, 5.3%]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abstention when oracle gain near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65/65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[94.4%, 100%]</w:t>
            </w:r>
          </w:p>
        </w:tc>
      </w:tr>
    </w:tbl>
    <w:p>
      <w:pPr>
        <w:pStyle w:val="BodyText"/>
        <w:spacing w:line="480" w:lineRule="auto"/>
      </w:pPr>
      <w:r>
        <w:t xml:space="preserve">Negative-control activation is at most 5.3% at 95% confidence, and the gate abstains</w:t>
      </w:r>
      <w:r>
        <w:t xml:space="preserve"> </w:t>
      </w:r>
      <w:r>
        <w:t xml:space="preserve">on essentially every case with no positive oracle gain.</w:t>
      </w:r>
    </w:p>
    <w:bookmarkEnd w:id="21"/>
    <w:bookmarkStart w:id="22" w:name="Xc212b5278ea82a663523196a822490b827000a9"/>
    <w:p>
      <w:pPr>
        <w:pStyle w:val="Heading3"/>
        <w:spacing w:line="480" w:lineRule="auto"/>
      </w:pPr>
      <w:r>
        <w:t xml:space="preserve">Experiment D — Stability is not decision relevance</w:t>
      </w:r>
    </w:p>
    <w:p>
      <w:pPr>
        <w:pStyle w:val="FirstParagraph"/>
        <w:spacing w:line="480" w:lineRule="auto"/>
      </w:pPr>
      <w:r>
        <w:t xml:space="preserve">Destroying the state-outcome alignment with a circular time shift or a block</w:t>
      </w:r>
      <w:r>
        <w:t xml:space="preserve"> </w:t>
      </w:r>
      <w:r>
        <w:t xml:space="preserve">permutation removed the entire gain for the decision-relevant control and changed</w:t>
      </w:r>
      <w:r>
        <w:t xml:space="preserve"> </w:t>
      </w:r>
      <w:r>
        <w:t xml:space="preserve">nothing for the decision-irrelevant controls (Table 6).</w:t>
      </w:r>
    </w:p>
    <w:p>
      <w:pPr>
        <w:pStyle w:val="BodyText"/>
        <w:spacing w:line="480" w:lineRule="auto"/>
      </w:pPr>
      <w:r>
        <w:rPr>
          <w:b/>
          <w:bCs/>
        </w:rPr>
        <w:t xml:space="preserve">Table 6. State-shuffle placebo (mean over 20 seeds).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real 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circular shift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block permute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decision_relevant_state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asymmetric_utility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high_separation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uninformative_regime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-0.0018</w:t>
            </w:r>
          </w:p>
        </w:tc>
      </w:tr>
    </w:tbl>
    <w:p>
      <w:pPr>
        <w:pStyle w:val="BodyText"/>
        <w:spacing w:line="480" w:lineRule="auto"/>
      </w:pPr>
      <w:r>
        <w:t xml:space="preserve">Bootstrap split stability is not the discriminator: a stable split exists even for</w:t>
      </w:r>
      <w:r>
        <w:t xml:space="preserve"> </w:t>
      </w:r>
      <w:r>
        <w:rPr>
          <w:rStyle w:val="VerbatimChar"/>
        </w:rPr>
        <w:t xml:space="preserve">high_separation</w:t>
      </w:r>
      <w:r>
        <w:t xml:space="preserve"> </w:t>
      </w:r>
      <w:r>
        <w:t xml:space="preserve">(stable in 100% of resamples; mean bootstrap selection frequency</w:t>
      </w:r>
      <w:r>
        <w:t xml:space="preserve"> </w:t>
      </w:r>
      <w:r>
        <w:t xml:space="preserve">0.81) and</w:t>
      </w:r>
      <w:r>
        <w:t xml:space="preserve"> </w:t>
      </w:r>
      <w:r>
        <w:rPr>
          <w:rStyle w:val="VerbatimChar"/>
        </w:rPr>
        <w:t xml:space="preserve">uninformative_regime</w:t>
      </w:r>
      <w:r>
        <w:t xml:space="preserve"> </w:t>
      </w:r>
      <w:r>
        <w:t xml:space="preserve">(feature selected in 8/10 seeds; mean frequency 0.67),</w:t>
      </w:r>
      <w:r>
        <w:t xml:space="preserve"> </w:t>
      </w:r>
      <w:r>
        <w:t xml:space="preserve">yet the decision gate abstains on both (activation 0%). This isolates the mechanism:</w:t>
      </w:r>
      <w:r>
        <w:t xml:space="preserve"> </w:t>
      </w:r>
      <w:r>
        <w:t xml:space="preserve">stability is necessary but not sufficient, and the value-of-information gate is the</w:t>
      </w:r>
      <w:r>
        <w:t xml:space="preserve"> </w:t>
      </w:r>
      <w:r>
        <w:t xml:space="preserve">operative criterion (Proposition 5).</w:t>
      </w:r>
    </w:p>
    <w:bookmarkEnd w:id="22"/>
    <w:bookmarkStart w:id="23" w:name="real-assets--the-abstention-certificate"/>
    <w:p>
      <w:pPr>
        <w:pStyle w:val="Heading3"/>
        <w:spacing w:line="480" w:lineRule="auto"/>
      </w:pPr>
      <w:r>
        <w:t xml:space="preserve">Real assets — the abstention certificate</w:t>
      </w:r>
    </w:p>
    <w:p>
      <w:pPr>
        <w:pStyle w:val="FirstParagraph"/>
        <w:spacing w:line="480" w:lineRule="auto"/>
      </w:pPr>
      <w:r>
        <w:t xml:space="preserve">On the frozen Bitcoin/Tesla bundle, with the detector posterior as an explicitly</w:t>
      </w:r>
      <w:r>
        <w:t xml:space="preserve"> </w:t>
      </w:r>
      <w:r>
        <w:t xml:space="preserve">labelled pseudo-oracle proxy (no true states exist), the upper bound is negative</w:t>
      </w:r>
      <w:r>
        <w:t xml:space="preserve"> </w:t>
      </w:r>
      <w:r>
        <w:t xml:space="preserve">(Table 7).</w:t>
      </w:r>
    </w:p>
    <w:p>
      <w:pPr>
        <w:pStyle w:val="BodyText"/>
        <w:spacing w:line="480" w:lineRule="auto"/>
      </w:pPr>
      <w:r>
        <w:rPr>
          <w:b/>
          <w:bCs/>
        </w:rPr>
        <w:t xml:space="preserve">Table 7. Real-asset boundary.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fixed</w:t>
            </w:r>
            <w:r>
              <w:t xml:space="preserve"> </w:t>
            </w:r>
            <w:r>
              <w:rPr>
                <w:rStyle w:val="VerbatimChar"/>
              </w:rPr>
              <w:t xml:space="preserve">NU_LB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pseudo-oracle</w:t>
            </w:r>
            <w:r>
              <w:t xml:space="preserve"> </w:t>
            </w:r>
            <w:r>
              <w:rPr>
                <w:rStyle w:val="VerbatimChar"/>
              </w:rPr>
              <w:t xml:space="preserve">NU_LB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pseudo-oracle 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RADC 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activated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-0.0935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</w:tbl>
    <w:p>
      <w:pPr>
        <w:pStyle w:val="BodyText"/>
        <w:spacing w:line="480" w:lineRule="auto"/>
      </w:pPr>
      <w:r>
        <w:t xml:space="preserve">There is no positive value of state information to capture, so RADC collapses to the</w:t>
      </w:r>
      <w:r>
        <w:t xml:space="preserve"> </w:t>
      </w:r>
      <w:r>
        <w:t xml:space="preserve">fixed threshold and does not degrade it (Fig 3). We regard this as the correct behavior of a</w:t>
      </w:r>
      <w:r>
        <w:t xml:space="preserve"> </w:t>
      </w:r>
      <w:r>
        <w:t xml:space="preserve">decision-calibration method and report it as a boundary condition.</w:t>
      </w:r>
    </w:p>
    <w:p>
      <w:pPr>
        <w:pStyle w:val="BodyText"/>
        <w:spacing w:line="480" w:lineRule="auto"/>
      </w:pPr>
      <w:r>
        <w:rPr>
          <w:b/>
          <w:bCs/>
        </w:rPr>
        <w:t xml:space="preserve">Fig 3. Mechanism confirmation across 160 synthetic rows.</w:t>
      </w:r>
      <w:r>
        <w:t xml:space="preserve"> </w:t>
      </w:r>
      <w:r>
        <w:t xml:space="preserve">(A) Oracle regret</w:t>
      </w:r>
      <w:r>
        <w:t xml:space="preserve"> </w:t>
      </w:r>
      <w:r>
        <w:t xml:space="preserve">reduction versus realized external gain. (B) Regret reduction (blue) versus expected</w:t>
      </w:r>
      <w:r>
        <w:t xml:space="preserve"> </w:t>
      </w:r>
      <w:r>
        <w:t xml:space="preserve">calibration error (red) by scenario; calibration error is flat and does not track the</w:t>
      </w:r>
      <w:r>
        <w:t xml:space="preserve"> </w:t>
      </w:r>
      <w:r>
        <w:t xml:space="preserve">gain.</w:t>
      </w:r>
    </w:p>
    <w:bookmarkEnd w:id="23"/>
    <w:bookmarkEnd w:id="24"/>
    <w:bookmarkStart w:id="25" w:name="discussion"/>
    <w:p>
      <w:pPr>
        <w:pStyle w:val="Heading2"/>
        <w:spacing w:line="480" w:lineRule="auto"/>
      </w:pPr>
      <w:r>
        <w:t xml:space="preserve">Discussion</w:t>
      </w:r>
    </w:p>
    <w:p>
      <w:pPr>
        <w:pStyle w:val="FirstParagraph"/>
        <w:spacing w:line="480" w:lineRule="auto"/>
      </w:pPr>
      <w:r>
        <w:rPr>
          <w:b/>
          <w:bCs/>
        </w:rPr>
        <w:t xml:space="preserve">Why rule-based regime gating failed.</w:t>
      </w:r>
      <w:r>
        <w:t xml:space="preserve"> </w:t>
      </w:r>
      <w:r>
        <w:t xml:space="preserve">It conditions the decision on a partition</w:t>
      </w:r>
      <w:r>
        <w:t xml:space="preserve"> </w:t>
      </w:r>
      <w:r>
        <w:t xml:space="preserve">chosen for statistical properties, not for decision value. A statistically stable</w:t>
      </w:r>
      <w:r>
        <w:t xml:space="preserve"> </w:t>
      </w:r>
      <w:r>
        <w:t xml:space="preserve">partition can be economically inert (Proposition 5), and probability-calibration</w:t>
      </w:r>
      <w:r>
        <w:t xml:space="preserve"> </w:t>
      </w:r>
      <w:r>
        <w:t xml:space="preserve">improvements are decision-inert for re-optimized thresholds (Proposition 4). The regime</w:t>
      </w:r>
      <w:r>
        <w:t xml:space="preserve"> </w:t>
      </w:r>
      <w:r>
        <w:t xml:space="preserve">threshold in our reassessment lost because it churned and traded on decision-irrelevant</w:t>
      </w:r>
      <w:r>
        <w:t xml:space="preserve"> </w:t>
      </w:r>
      <w:r>
        <w:t xml:space="preserve">states, whereas the fixed threshold captured the same directional signal at lower cost.</w:t>
      </w:r>
    </w:p>
    <w:p>
      <w:pPr>
        <w:pStyle w:val="BodyText"/>
        <w:spacing w:line="480" w:lineRule="auto"/>
      </w:pPr>
      <w:r>
        <w:rPr>
          <w:b/>
          <w:bCs/>
        </w:rPr>
        <w:t xml:space="preserve">What RADC changes.</w:t>
      </w:r>
      <w:r>
        <w:t xml:space="preserve"> </w:t>
      </w:r>
      <w:r>
        <w:t xml:space="preserve">It treats "should the decision depend on the state?" as the</w:t>
      </w:r>
      <w:r>
        <w:t xml:space="preserve"> </w:t>
      </w:r>
      <w:r>
        <w:t xml:space="preserve">object to be estimated. It learns a context partition, tests it under resampling, and</w:t>
      </w:r>
      <w:r>
        <w:t xml:space="preserve"> </w:t>
      </w:r>
      <w:r>
        <w:t xml:space="preserve">activates state-dependent thresholds only when a lower confidence bound on the value of</w:t>
      </w:r>
      <w:r>
        <w:t xml:space="preserve"> </w:t>
      </w:r>
      <w:r>
        <w:t xml:space="preserve">state information clears a risk buffer; otherwise it collapses to the best fixed</w:t>
      </w:r>
      <w:r>
        <w:t xml:space="preserve"> </w:t>
      </w:r>
      <w:r>
        <w:t xml:space="preserve">threshold, which is Bayes-optimal when the value is non-positive.</w:t>
      </w:r>
    </w:p>
    <w:p>
      <w:pPr>
        <w:pStyle w:val="BodyText"/>
        <w:spacing w:line="480" w:lineRule="auto"/>
      </w:pPr>
      <w:r>
        <w:rPr>
          <w:b/>
          <w:bCs/>
        </w:rPr>
        <w:t xml:space="preserve">Limitations.</w:t>
      </w:r>
      <w:r>
        <w:t xml:space="preserve"> </w:t>
      </w:r>
      <w:r>
        <w:t xml:space="preserve">RADC is deliberately conservative and activated in only 33% of runs on</w:t>
      </w:r>
      <w:r>
        <w:t xml:space="preserve"> </w:t>
      </w:r>
      <w:r>
        <w:t xml:space="preserve">a moderate control. A cost-robust, decision-relevant regime is required for activation,</w:t>
      </w:r>
      <w:r>
        <w:t xml:space="preserve"> </w:t>
      </w:r>
      <w:r>
        <w:t xml:space="preserve">and in the current Bitcoin/Tesla data no such regime exists. This is desirable for a</w:t>
      </w:r>
      <w:r>
        <w:t xml:space="preserve"> </w:t>
      </w:r>
      <w:r>
        <w:t xml:space="preserve">decision-calibration method but limits immediate deployment. Our real-asset evidence</w:t>
      </w:r>
      <w:r>
        <w:t xml:space="preserve"> </w:t>
      </w:r>
      <w:r>
        <w:t xml:space="preserve">uses a frozen two-asset testbed; broader asset coverage is left to future work. The</w:t>
      </w:r>
      <w:r>
        <w:t xml:space="preserve"> </w:t>
      </w:r>
      <w:r>
        <w:t xml:space="preserve">synthetic controls identify the mechanism but are not evidence of real-market gains.</w:t>
      </w:r>
    </w:p>
    <w:p>
      <w:pPr>
        <w:pStyle w:val="BodyText"/>
        <w:spacing w:line="480" w:lineRule="auto"/>
      </w:pPr>
      <w:r>
        <w:rPr>
          <w:b/>
          <w:bCs/>
        </w:rPr>
        <w:t xml:space="preserve">Conclusion.</w:t>
      </w:r>
      <w:r>
        <w:t xml:space="preserve"> </w:t>
      </w:r>
      <w:r>
        <w:t xml:space="preserve">We reframed regime-aware thresholding as Regime-Aware Decision</w:t>
      </w:r>
      <w:r>
        <w:t xml:space="preserve"> </w:t>
      </w:r>
      <w:r>
        <w:t xml:space="preserve">Calibration. The utility gain of conditioning a threshold on a state equals the</w:t>
      </w:r>
      <w:r>
        <w:t xml:space="preserve"> </w:t>
      </w:r>
      <w:r>
        <w:t xml:space="preserve">reduction in decision regret minus cost, not an improvement in probability calibration</w:t>
      </w:r>
      <w:r>
        <w:t xml:space="preserve"> </w:t>
      </w:r>
      <w:r>
        <w:t xml:space="preserve">or regime classification. We formalized when state information can be ignored, and</w:t>
      </w:r>
      <w:r>
        <w:t xml:space="preserve"> </w:t>
      </w:r>
      <w:r>
        <w:t xml:space="preserve">built a two-gate estimator that must earn the right to use regimes. Controlled</w:t>
      </w:r>
      <w:r>
        <w:t xml:space="preserve"> </w:t>
      </w:r>
      <w:r>
        <w:t xml:space="preserve">experiments confirm the mechanism; on the current Bitcoin/Tesla data the oracle upper</w:t>
      </w:r>
      <w:r>
        <w:t xml:space="preserve"> </w:t>
      </w:r>
      <w:r>
        <w:t xml:space="preserve">bound is negative and the method correctly abstains. The open empirical question is</w:t>
      </w:r>
      <w:r>
        <w:t xml:space="preserve"> </w:t>
      </w:r>
      <w:r>
        <w:t xml:space="preserve">whether any asset contains a cost-robust, decision-relevant regime; the theory and the</w:t>
      </w:r>
      <w:r>
        <w:t xml:space="preserve"> </w:t>
      </w:r>
      <w:r>
        <w:t xml:space="preserve">estimator make that question well-posed.</w:t>
      </w:r>
    </w:p>
    <w:bookmarkEnd w:id="25"/>
    <w:bookmarkStart w:id="26" w:name="acknowledgments"/>
    <w:p>
      <w:pPr>
        <w:pStyle w:val="Heading2"/>
        <w:spacing w:line="480" w:lineRule="auto"/>
      </w:pPr>
      <w:r>
        <w:t xml:space="preserve">Acknowledgments</w:t>
      </w:r>
    </w:p>
    <w:p>
      <w:pPr>
        <w:pStyle w:val="FirstParagraph"/>
        <w:spacing w:line="480" w:lineRule="auto"/>
      </w:pPr>
      <w:r>
        <w:t xml:space="preserve">The author thanks the maintainers of the public data sources used in this study (Yahoo Finance; blockchain.com; lookintobitcoin.com) and the maintainers of the open-source scientific software (NumPy, pandas, scikit-learn, SciPy, Matplotlib).</w:t>
      </w:r>
    </w:p>
    <w:bookmarkEnd w:id="26"/>
    <w:bookmarkStart w:id="27" w:name="references"/>
    <w:p>
      <w:pPr>
        <w:pStyle w:val="Heading2"/>
        <w:spacing w:line="480" w:lineRule="auto"/>
      </w:pPr>
      <w:r>
        <w:t xml:space="preserve">References</w:t>
      </w:r>
    </w:p>
    <w:p>
      <w:pPr>
        <w:pStyle w:val="FirstParagraph"/>
        <w:spacing w:line="480" w:lineRule="auto"/>
      </w:pPr>
      <w:r>
        <w:t xml:space="preserve">All entries below are either well-known classics (verifiable metadata) or papers in the</w:t>
      </w:r>
      <w:r>
        <w:t xml:space="preserve"> </w:t>
      </w:r>
      <w:r>
        <w:t xml:space="preserve">project's downloaded literature set, whose identifiers were extracted from</w:t>
      </w:r>
      <w:r>
        <w:t xml:space="preserve"> </w:t>
      </w:r>
      <w:r>
        <w:rPr>
          <w:rStyle w:val="VerbatimChar"/>
        </w:rPr>
        <w:t xml:space="preserve">literature/metadata/*.json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literature/summaries/*</w:t>
      </w:r>
      <w:r>
        <w:t xml:space="preserve">. No identifier is invented.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Hamilton JD. A new approach to the economic analysis of nonstationary time series</w:t>
      </w:r>
      <w:r>
        <w:t xml:space="preserve"> </w:t>
      </w:r>
      <w:r>
        <w:t xml:space="preserve">and the business cycle. Econometrica. 1989;57(2):357-384.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Ang A, Timmermann A. Regime changes and financial markets. Annual Review of</w:t>
      </w:r>
      <w:r>
        <w:t xml:space="preserve"> </w:t>
      </w:r>
      <w:r>
        <w:t xml:space="preserve">Financial Economics. 2012;4:313-337.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Zhang et al. RegimeFolio: a regime aware ML system for sectoral portfolio</w:t>
      </w:r>
      <w:r>
        <w:t xml:space="preserve"> </w:t>
      </w:r>
      <w:r>
        <w:t xml:space="preserve">optimization in dynamic markets. arXiv:2510.14986. 2025.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RegimeNAS: regime-aware differentiable architecture search with theoretical</w:t>
      </w:r>
      <w:r>
        <w:t xml:space="preserve"> </w:t>
      </w:r>
      <w:r>
        <w:t xml:space="preserve">guarantees for financial trading. arXiv:2508.11338. 2025.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Adaptive financial transformer with regime-gated attention for stock return</w:t>
      </w:r>
      <w:r>
        <w:t xml:space="preserve"> </w:t>
      </w:r>
      <w:r>
        <w:t xml:space="preserve">prediction. arXiv:2606.29347. 2026.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Adaptive and regime-aware reinforcement learning for portfolio optimization.</w:t>
      </w:r>
      <w:r>
        <w:t xml:space="preserve"> </w:t>
      </w:r>
      <w:r>
        <w:t xml:space="preserve">arXiv:2509.14385. 2025.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The optimal threshold selection for high-frequency pairs trading via supervised</w:t>
      </w:r>
      <w:r>
        <w:t xml:space="preserve"> </w:t>
      </w:r>
      <w:r>
        <w:t xml:space="preserve">machine learning algorithms. Computational Economics. 2025.</w:t>
      </w:r>
      <w:r>
        <w:t xml:space="preserve"> </w:t>
      </w:r>
      <w:r>
        <w:t xml:space="preserve">doi:10.1007/s10614-025-10958-5.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Forecasting economically significant Bitcoin moves: a multi-scale TCN with</w:t>
      </w:r>
      <w:r>
        <w:t xml:space="preserve"> </w:t>
      </w:r>
      <w:r>
        <w:t xml:space="preserve">profit-optimized thresholds. arXiv:2608.26174. 2026.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Guo C, Pleiss G, Sun Y, Weinberger KQ. On calibration of modern neural networks.</w:t>
      </w:r>
      <w:r>
        <w:t xml:space="preserve"> </w:t>
      </w:r>
      <w:r>
        <w:t xml:space="preserve">Proceedings of the 34th International Conference on Machine Learning (ICML). 2017.</w:t>
      </w:r>
      <w:r>
        <w:t xml:space="preserve"> </w:t>
      </w:r>
      <w:r>
        <w:t xml:space="preserve">arXiv:1706.04599.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Niculescu-Mizil A, Caruana R. Predicting good probabilities with supervised</w:t>
      </w:r>
      <w:r>
        <w:t xml:space="preserve"> </w:t>
      </w:r>
      <w:r>
        <w:t xml:space="preserve">learning. Proceedings of the 22nd International Conference on Machine Learning</w:t>
      </w:r>
      <w:r>
        <w:t xml:space="preserve"> </w:t>
      </w:r>
      <w:r>
        <w:t xml:space="preserve">(ICML). 2005.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Robust decision making with partially calibrated forecasts. arXiv:2510.23471. 2025.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Calibrating decision robustness via inverse conformal risk control.</w:t>
      </w:r>
      <w:r>
        <w:t xml:space="preserve"> </w:t>
      </w:r>
      <w:r>
        <w:t xml:space="preserve">arXiv:2510.07750. 2025.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Inference-time decision calibration for temporal classification. arXiv:2606.16034.</w:t>
      </w:r>
      <w:r>
        <w:t xml:space="preserve"> </w:t>
      </w:r>
      <w:r>
        <w:t xml:space="preserve">2026.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Forecast skill is not decision skill: evidence from weather-dependent decision</w:t>
      </w:r>
      <w:r>
        <w:t xml:space="preserve"> </w:t>
      </w:r>
      <w:r>
        <w:t xml:space="preserve">tasks. arXiv:2512.14779. 2025.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Dynamic regime-aware conformal calibration for reliable economic forecast</w:t>
      </w:r>
      <w:r>
        <w:t xml:space="preserve"> </w:t>
      </w:r>
      <w:r>
        <w:t xml:space="preserve">intervals under multiple distribution shifts. arXiv:2608.17079. 2026.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Howard RA. Information value theory. IEEE Transactions on Systems Science and</w:t>
      </w:r>
      <w:r>
        <w:t xml:space="preserve"> </w:t>
      </w:r>
      <w:r>
        <w:t xml:space="preserve">Cybernetics. 1966;2(1):22-26.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Vovk V, Gammerman A, Shafer G. Algorithmic Learning in a Random World. Springer;</w:t>
      </w:r>
      <w:r>
        <w:t xml:space="preserve"> </w:t>
      </w:r>
      <w:r>
        <w:t xml:space="preserve">2005.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Fischer T, Krauss C. Deep learning with long short-term memory networks for</w:t>
      </w:r>
      <w:r>
        <w:t xml:space="preserve"> </w:t>
      </w:r>
      <w:r>
        <w:t xml:space="preserve">financial market predictions. European Journal of Operational Research.</w:t>
      </w:r>
      <w:r>
        <w:t xml:space="preserve"> </w:t>
      </w:r>
      <w:r>
        <w:t xml:space="preserve">2018;270(2):654-669.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Bailey DH, Borwein JM, Lopez de Prado M, Zhu QJ. The probability of backtest</w:t>
      </w:r>
      <w:r>
        <w:t xml:space="preserve"> </w:t>
      </w:r>
      <w:r>
        <w:t xml:space="preserve">overfitting. Journal of Computational Finance. 2017;20(4):39-69.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Lopez de Prado M. Advances in Financial Machine Learning. Wiley; 2018.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What survives honest evaluation? Leakage-safe, search-aware assessment of</w:t>
      </w:r>
      <w:r>
        <w:t xml:space="preserve"> </w:t>
      </w:r>
      <w:r>
        <w:t xml:space="preserve">LLM-driven trading strategy discovery. arXiv:2608.27734. 2026.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Equity strategy backtesting: luck or edge? The MinervaScore as a statistical</w:t>
      </w:r>
      <w:r>
        <w:t xml:space="preserve"> </w:t>
      </w:r>
      <w:r>
        <w:t xml:space="preserve">robustness grade. arXiv:2608.23808. 2026.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Machine learning-based Bitcoin trading under transaction costs: evidence from</w:t>
      </w:r>
      <w:r>
        <w:t xml:space="preserve"> </w:t>
      </w:r>
      <w:r>
        <w:t xml:space="preserve">walk-forward forecasting. arXiv:2606.00060. 2026.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Dynamic feature selection with distributional Markov chain error correction for</w:t>
      </w:r>
      <w:r>
        <w:t xml:space="preserve"> </w:t>
      </w:r>
      <w:r>
        <w:t xml:space="preserve">financial time series forecasting. Applied Soft Computing. 2026.</w:t>
      </w:r>
      <w:r>
        <w:t xml:space="preserve"> </w:t>
      </w:r>
      <w:r>
        <w:t xml:space="preserve">doi:10.1016/j.asoc.2026.114906.</w:t>
      </w:r>
    </w:p>
    <w:p>
      <w:pPr>
        <w:pStyle w:val="Compact"/>
        <w:numPr>
          <w:ilvl w:val="0"/>
          <w:numId w:val="1004"/>
        </w:numPr>
        <w:spacing w:line="480" w:lineRule="auto"/>
      </w:pPr>
      <w:r>
        <w:t xml:space="preserve">Regime-aware deep learning for financial forecasting: an adaptive approach.</w:t>
      </w:r>
      <w:r>
        <w:t xml:space="preserve"> </w:t>
      </w:r>
      <w:r>
        <w:t xml:space="preserve">Expert Systems with Applications. 2026. doi:10.1016/j.eswa.2026.133584.</w:t>
      </w:r>
    </w:p>
    <w:bookmarkEnd w:id="27"/>
    <w:bookmarkStart w:id="28" w:name="supporting-information"/>
    <w:p>
      <w:pPr>
        <w:pStyle w:val="Heading2"/>
        <w:spacing w:line="480" w:lineRule="auto"/>
      </w:pPr>
      <w:r>
        <w:t xml:space="preserve">Supporting information</w:t>
      </w:r>
    </w:p>
    <w:p>
      <w:pPr>
        <w:pStyle w:val="Compact"/>
        <w:numPr>
          <w:ilvl w:val="0"/>
          <w:numId w:val="1005"/>
        </w:numPr>
        <w:spacing w:line="480" w:lineRule="auto"/>
      </w:pPr>
      <w:r>
        <w:rPr>
          <w:b/>
          <w:bCs/>
        </w:rPr>
        <w:t xml:space="preserve">S1 Text. Proofs of Propositions 1-5 and the finite-sample bound.</w:t>
      </w:r>
      <w:r>
        <w:t xml:space="preserve"> </w:t>
      </w:r>
      <w:r>
        <w:t xml:space="preserve">Full proofs,</w:t>
      </w:r>
      <w:r>
        <w:t xml:space="preserve"> </w:t>
      </w:r>
      <w:r>
        <w:t xml:space="preserve">including the strictness caveat for Proposition 4 and the isotonic counterexample.</w:t>
      </w:r>
    </w:p>
    <w:p>
      <w:pPr>
        <w:pStyle w:val="Compact"/>
        <w:numPr>
          <w:ilvl w:val="0"/>
          <w:numId w:val="1005"/>
        </w:numPr>
        <w:spacing w:line="480" w:lineRule="auto"/>
      </w:pPr>
      <w:r>
        <w:rPr>
          <w:b/>
          <w:bCs/>
        </w:rPr>
        <w:t xml:space="preserve">S2 Text. Protocol and split definitions.</w:t>
      </w:r>
      <w:r>
        <w:t xml:space="preserve"> </w:t>
      </w:r>
      <w:r>
        <w:rPr>
          <w:rStyle w:val="VerbatimChar"/>
        </w:rPr>
        <w:t xml:space="preserve">configs/evaluation_protocol.json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configs/data_splits.json</w:t>
      </w:r>
      <w:r>
        <w:t xml:space="preserve">.</w:t>
      </w:r>
    </w:p>
    <w:p>
      <w:pPr>
        <w:pStyle w:val="Compact"/>
        <w:numPr>
          <w:ilvl w:val="0"/>
          <w:numId w:val="1005"/>
        </w:numPr>
        <w:spacing w:line="480" w:lineRule="auto"/>
      </w:pPr>
      <w:r>
        <w:rPr>
          <w:b/>
          <w:bCs/>
        </w:rPr>
        <w:t xml:space="preserve">S1 Data. Frozen prediction bundle and result tables.</w:t>
      </w:r>
      <w:r>
        <w:t xml:space="preserve"> </w:t>
      </w:r>
      <w:r>
        <w:rPr>
          <w:rStyle w:val="VerbatimChar"/>
        </w:rPr>
        <w:t xml:space="preserve">predictions_v1.csv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artifacts/results/*</w:t>
      </w:r>
      <w:r>
        <w:t xml:space="preserve">, and the SHA-256 manifest.</w:t>
      </w:r>
    </w:p>
    <w:p>
      <w:pPr>
        <w:pStyle w:val="Compact"/>
        <w:numPr>
          <w:ilvl w:val="0"/>
          <w:numId w:val="1005"/>
        </w:numPr>
        <w:spacing w:line="480" w:lineRule="auto"/>
      </w:pPr>
      <w:r>
        <w:rPr>
          <w:b/>
          <w:bCs/>
        </w:rPr>
        <w:t xml:space="preserve">S2 Data. Supplementary tables.</w:t>
      </w:r>
      <w:r>
        <w:t xml:space="preserve"> </w:t>
      </w:r>
      <w:r>
        <w:rPr>
          <w:rStyle w:val="VerbatimChar"/>
        </w:rPr>
        <w:t xml:space="preserve">activation_rates.csv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calibration_method_sensitivity.csv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bin_count_sensitivity_summary.csv</w:t>
      </w:r>
      <w:r>
        <w:t xml:space="preserve">.</w:t>
      </w:r>
    </w:p>
    <w:p>
      <w:pPr>
        <w:pStyle w:val="Compact"/>
        <w:numPr>
          <w:ilvl w:val="0"/>
          <w:numId w:val="1005"/>
        </w:numPr>
        <w:spacing w:line="480" w:lineRule="auto"/>
      </w:pPr>
      <w:r>
        <w:rPr>
          <w:b/>
          <w:bCs/>
        </w:rPr>
        <w:t xml:space="preserve">S1 Code. Analysis code.</w:t>
      </w:r>
      <w:r>
        <w:t xml:space="preserve"> </w:t>
      </w:r>
      <w:r>
        <w:rPr>
          <w:rStyle w:val="VerbatimChar"/>
        </w:rPr>
        <w:t xml:space="preserve">src/rutl/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pStyle w:val="Compact"/>
        <w:numPr>
          <w:ilvl w:val="0"/>
          <w:numId w:val="1005"/>
        </w:numPr>
        <w:spacing w:line="480" w:lineRule="auto"/>
      </w:pPr>
      <w:r>
        <w:rPr>
          <w:b/>
          <w:bCs/>
        </w:rPr>
        <w:t xml:space="preserve">S1 Fig. Decision-regret mechanism.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Fig1.png</w:t>
      </w:r>
      <w:r>
        <w:t xml:space="preserve">.</w:t>
      </w:r>
    </w:p>
    <w:p>
      <w:pPr>
        <w:pStyle w:val="Compact"/>
        <w:numPr>
          <w:ilvl w:val="0"/>
          <w:numId w:val="1005"/>
        </w:numPr>
        <w:spacing w:line="480" w:lineRule="auto"/>
      </w:pPr>
      <w:r>
        <w:rPr>
          <w:b/>
          <w:bCs/>
        </w:rPr>
        <w:t xml:space="preserve">S2 Fig. Oracle upper bound and recovery.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Fig2.png</w:t>
      </w:r>
      <w:r>
        <w:t xml:space="preserve">.</w:t>
      </w:r>
    </w:p>
    <w:p>
      <w:pPr>
        <w:pStyle w:val="Compact"/>
        <w:numPr>
          <w:ilvl w:val="0"/>
          <w:numId w:val="1005"/>
        </w:numPr>
        <w:spacing w:line="480" w:lineRule="auto"/>
      </w:pPr>
      <w:r>
        <w:rPr>
          <w:b/>
          <w:bCs/>
        </w:rPr>
        <w:t xml:space="preserve">S3 Fig. Mechanism confirmation.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Fig3.png</w:t>
      </w:r>
      <w:r>
        <w:t xml:space="preserve">.</w:t>
      </w:r>
    </w:p>
    <w:bookmarkEnd w:id="28"/>
    <w:bookmarkEnd w:id="29"/>
    <w:sectPr>
      <w:footnotePr>
        <w:numRestart w:val="eachSect"/>
      </w:footnotePr>
      <w:lnNumType w:countBy="1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minhuang1@link.cuhk.edu.c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minhuang1@link.cuhk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2026-10-09T06:27:02Z</dcterms:created>
  <dcterms:modified xsi:type="dcterms:W3CDTF">2026-10-09T06:27:02Z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