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upporting-information-plos-one"/>
    <w:p>
      <w:pPr>
        <w:pStyle w:val="Heading1"/>
        <w:spacing w:line="480" w:lineRule="auto"/>
      </w:pPr>
      <w:r>
        <w:t xml:space="preserve">Supporting Information (PLOS ONE)</w:t>
      </w:r>
    </w:p>
    <w:p>
      <w:pPr>
        <w:pStyle w:val="FirstParagraph"/>
        <w:spacing w:line="480" w:lineRule="auto"/>
      </w:pPr>
      <w:r>
        <w:t xml:space="preserve">List the items exactly as they should appear after the main text.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b/>
          <w:bCs/>
        </w:rPr>
        <w:t xml:space="preserve">S1 Text. Proofs of Propositions 1-5 and the finite-sample bound.</w:t>
      </w:r>
      <w:r>
        <w:t xml:space="preserve"> </w:t>
      </w:r>
      <w:r>
        <w:t xml:space="preserve">Contains the</w:t>
      </w:r>
      <w:r>
        <w:t xml:space="preserve"> </w:t>
      </w:r>
      <w:r>
        <w:t xml:space="preserve">full proofs, including Proposition 4's strictness caveat and the isotonic</w:t>
      </w:r>
      <w:r>
        <w:t xml:space="preserve"> </w:t>
      </w:r>
      <w:r>
        <w:t xml:space="preserve">counterexample (</w:t>
      </w:r>
      <w:r>
        <w:rPr>
          <w:rStyle w:val="VerbatimChar"/>
        </w:rPr>
        <w:t xml:space="preserve">docs/theory_formal.md</w:t>
      </w:r>
      <w:r>
        <w:t xml:space="preserve">).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b/>
          <w:bCs/>
        </w:rPr>
        <w:t xml:space="preserve">S1 Data. Frozen prediction bundle and result tables.</w:t>
      </w:r>
      <w:r>
        <w:t xml:space="preserve"> </w:t>
      </w:r>
      <w:r>
        <w:rPr>
          <w:rStyle w:val="VerbatimChar"/>
        </w:rPr>
        <w:t xml:space="preserve">predictions_v1.csv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artifacts/results/*.csv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artifacts/bundles/manifest_applied_v1.json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b/>
          <w:bCs/>
        </w:rPr>
        <w:t xml:space="preserve">S1 Code. Analysis code.</w:t>
      </w:r>
      <w:r>
        <w:t xml:space="preserve"> </w:t>
      </w:r>
      <w:r>
        <w:rPr>
          <w:rStyle w:val="VerbatimChar"/>
        </w:rPr>
        <w:t xml:space="preserve">src/rutl/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b/>
          <w:bCs/>
        </w:rPr>
        <w:t xml:space="preserve">S1 Fig. Decision-regret mechanism.</w:t>
      </w:r>
      <w:r>
        <w:t xml:space="preserve"> </w:t>
      </w:r>
      <w:r>
        <w:t xml:space="preserve">Panel A: conditional action value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 </w:t>
      </w:r>
      <w:r>
        <w:t xml:space="preserve">for a decision-relevant versus a state-invariant DGP. Panel B: decision-regret curves</w:t>
      </w:r>
      <w:r>
        <w:t xml:space="preserve"> </w:t>
      </w:r>
      <w:r>
        <w:t xml:space="preserve">with the value-of-information gap. File:</w:t>
      </w:r>
      <w:r>
        <w:t xml:space="preserve"> </w:t>
      </w:r>
      <w:r>
        <w:rPr>
          <w:rStyle w:val="VerbatimChar"/>
        </w:rPr>
        <w:t xml:space="preserve">artifacts/reports/figures/decision_regret_mechanism.png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b/>
          <w:bCs/>
        </w:rPr>
        <w:t xml:space="preserve">S2 Fig. Mechanism confirmation.</w:t>
      </w:r>
      <w:r>
        <w:t xml:space="preserve"> </w:t>
      </w:r>
      <w:r>
        <w:t xml:space="preserve">Regret reduction versus realized gain</w:t>
      </w:r>
      <w:r>
        <w:t xml:space="preserve"> </w:t>
      </w:r>
      <w:r>
        <w:t xml:space="preserve">(r = +0.94) and regret reduction versus ECE (r = +0.10). File:</w:t>
      </w:r>
      <w:r>
        <w:t xml:space="preserve"> </w:t>
      </w:r>
      <w:r>
        <w:rPr>
          <w:rStyle w:val="VerbatimChar"/>
        </w:rPr>
        <w:t xml:space="preserve">artifacts/reports/figures/decision_regret_confirmation.png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b/>
          <w:bCs/>
        </w:rPr>
        <w:t xml:space="preserve">S3 Fig. Oracle upper bound.</w:t>
      </w:r>
      <w:r>
        <w:t xml:space="preserve"> </w:t>
      </w:r>
      <w:r>
        <w:t xml:space="preserve">Recovery of the oracle lower-bound gain and the</w:t>
      </w:r>
      <w:r>
        <w:t xml:space="preserve"> </w:t>
      </w:r>
      <w:r>
        <w:t xml:space="preserve">oracle ceiling versus captured gain. File:</w:t>
      </w:r>
      <w:r>
        <w:t xml:space="preserve"> </w:t>
      </w:r>
      <w:r>
        <w:rPr>
          <w:rStyle w:val="VerbatimChar"/>
        </w:rPr>
        <w:t xml:space="preserve">artifacts/reports/figures/oracle_upper_bound.png</w:t>
      </w:r>
      <w:r>
        <w:t xml:space="preserve">.</w:t>
      </w:r>
    </w:p>
    <w:bookmarkStart w:id="9" w:name="figure-captions-main-text"/>
    <w:p>
      <w:pPr>
        <w:pStyle w:val="Heading2"/>
        <w:spacing w:line="480" w:lineRule="auto"/>
      </w:pPr>
      <w:r>
        <w:t xml:space="preserve">Figure captions (main text)</w:t>
      </w:r>
    </w:p>
    <w:p>
      <w:pPr>
        <w:pStyle w:val="FirstParagraph"/>
        <w:spacing w:line="480" w:lineRule="auto"/>
      </w:pPr>
      <w:r>
        <w:rPr>
          <w:b/>
          <w:bCs/>
        </w:rPr>
        <w:t xml:space="preserve">Fig 1.</w:t>
      </w:r>
      <w:r>
        <w:t xml:space="preserve"> </w:t>
      </w:r>
      <w:r>
        <w:t xml:space="preserve">Decision-regret mechanism. (A) Conditional action value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 </w:t>
      </w:r>
      <w:r>
        <w:t xml:space="preserve">for the</w:t>
      </w:r>
      <w:r>
        <w:t xml:space="preserve"> </w:t>
      </w:r>
      <w:r>
        <w:t xml:space="preserve">decision-relevant DGP (two states cross zero at different probabilities) and for a</w:t>
      </w:r>
      <w:r>
        <w:t xml:space="preserve"> </w:t>
      </w:r>
      <w:r>
        <w:t xml:space="preserve">state-invariant DGP (curves coincide). (B) Decision regret of a single fixed threshold;</w:t>
      </w:r>
      <w:r>
        <w:t xml:space="preserve"> </w:t>
      </w:r>
      <w:r>
        <w:t xml:space="preserve">the gap between the fixed-threshold minimum and the state-aware minimum is the value of</w:t>
      </w:r>
      <w:r>
        <w:t xml:space="preserve"> </w:t>
      </w:r>
      <w:r>
        <w:t xml:space="preserve">information.</w:t>
      </w:r>
    </w:p>
    <w:p>
      <w:pPr>
        <w:pStyle w:val="BodyText"/>
        <w:spacing w:line="480" w:lineRule="auto"/>
      </w:pPr>
      <w:r>
        <w:rPr>
          <w:b/>
          <w:bCs/>
        </w:rPr>
        <w:t xml:space="preserve">Fig 2.</w:t>
      </w:r>
      <w:r>
        <w:t xml:space="preserve"> </w:t>
      </w:r>
      <w:r>
        <w:t xml:space="preserve">Mechanism confirmation across 160 synthetic rows. (A) Oracle regret</w:t>
      </w:r>
      <w:r>
        <w:t xml:space="preserve"> </w:t>
      </w:r>
      <w:r>
        <w:t xml:space="preserve">reduction versus realized external gain (r = +0.94). (B) Regret reduction (blue) versus</w:t>
      </w:r>
      <w:r>
        <w:t xml:space="preserve"> </w:t>
      </w:r>
      <w:r>
        <w:t xml:space="preserve">ECE (red) by scenario; ECE is flat and does not track the gain.</w:t>
      </w:r>
    </w:p>
    <w:p>
      <w:pPr>
        <w:pStyle w:val="BodyText"/>
        <w:spacing w:line="480" w:lineRule="auto"/>
      </w:pPr>
      <w:r>
        <w:rPr>
          <w:b/>
          <w:bCs/>
        </w:rPr>
        <w:t xml:space="preserve">Fig 3.</w:t>
      </w:r>
      <w:r>
        <w:t xml:space="preserve"> </w:t>
      </w:r>
      <w:r>
        <w:t xml:space="preserve">Oracle upper bound. (A) RADC realized gain versus the oracle lower-bound gain</w:t>
      </w:r>
      <w:r>
        <w:t xml:space="preserve"> </w:t>
      </w:r>
      <w:r>
        <w:t xml:space="preserve">with the y = x line (r = +0.99). (B) Oracle ceiling versus captured gain by scenario.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2026-10-09T06:27:02Z</dcterms:created>
  <dcterms:modified xsi:type="dcterms:W3CDTF">2026-10-09T06:27:02Z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