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The Story Import Chronicle</w:t>
      </w:r>
    </w:p>
    <w:p>
      <w:pPr>
        <w:pStyle w:val="Heading2"/>
      </w:pPr>
      <w:r>
        <w:t xml:space="preserve">Opening Gambit</w:t>
      </w:r>
    </w:p>
    <w:p>
      <w:r>
        <w:t xml:space="preserve">The city held its breath as the first real bytes hit the disk, and every assertion in the suite finally had something true to check.</w:t>
      </w:r>
    </w:p>
    <w:p>
      <w:r>
        <w:t xml:space="preserve">A second paragraph of prose kept the scene from feeling lonely.</w:t>
      </w:r>
    </w:p>
    <w:p>
      <w:pPr>
        <w:pStyle w:val="Heading1"/>
      </w:pPr>
      <w:r>
        <w:t xml:space="preserve">The Long Road</w:t>
      </w:r>
    </w:p>
    <w:p>
      <w:pPr>
        <w:pStyle w:val="Heading2"/>
      </w:pPr>
      <w:r>
        <w:t xml:space="preserve">Turning Point</w:t>
      </w:r>
    </w:p>
    <w:p>
      <w:r>
        <w:t xml:space="preserve">Chapter two arrived with a fresh heading and fresh prose, proving the splitter could tell one chapter from the next.</w:t>
      </w:r>
    </w:p>
    <w:sectPr/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