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rPr>
          <w:trHeight w:val="12800" w:hRule="exact"/>
        </w:trPr>
        <w:tc>
          <w:tcPr>
            <w:tcW w:type="dxa" w:w="9540"/>
            <w:shd w:fill="1A1D23" w:val="clear"/>
            <w:tcMar>
              <w:top w:type="dxa" w:w="200"/>
              <w:left w:type="dxa" w:w="500"/>
              <w:bottom w:type="dxa" w:w="200"/>
              <w:right w:type="dxa" w:w="500"/>
            </w:tcMar>
            <w:vAlign w:val="center"/>
          </w:tcPr>
          <w:p>
            <w:pPr>
              <w:spacing w:after="900"/>
            </w:pPr>
          </w:p>
          <w:p>
            <w:pPr>
              <w:spacing w:after="120"/>
              <w:jc w:val="center"/>
            </w:pPr>
            <w:r>
              <w:rPr>
                <w:rFonts w:ascii="Calibri" w:cs="Calibri" w:eastAsia="Calibri" w:hAnsi="Calibri"/>
                <w:b/>
                <w:bCs/>
                <w:color w:val="C9A227"/>
                <w:spacing w:val="20"/>
                <w:sz w:val="22"/>
                <w:szCs w:val="22"/>
              </w:rPr>
              <w:t xml:space="preserve">TERRANEXT GLOBAL VENTURES</w:t>
            </w:r>
          </w:p>
          <w:p>
            <w:pPr>
              <w:spacing w:after="60"/>
              <w:jc w:val="center"/>
            </w:pPr>
            <w:r>
              <w:rPr>
                <w:rFonts w:ascii="Calibri" w:cs="Calibri" w:eastAsia="Calibri" w:hAnsi="Calibri"/>
                <w:b/>
                <w:bCs/>
                <w:color w:val="FFFFFF"/>
                <w:sz w:val="62"/>
                <w:szCs w:val="62"/>
              </w:rPr>
              <w:t xml:space="preserve">AI Intelligence Platform</w:t>
            </w:r>
          </w:p>
          <w:p>
            <w:pPr>
              <w:spacing w:after="700"/>
              <w:jc w:val="center"/>
            </w:pPr>
            <w:r>
              <w:rPr>
                <w:rFonts w:ascii="Calibri" w:cs="Calibri" w:eastAsia="Calibri" w:hAnsi="Calibri"/>
                <w:b/>
                <w:bCs/>
                <w:color w:val="D8B64C"/>
                <w:sz w:val="34"/>
                <w:szCs w:val="34"/>
              </w:rPr>
              <w:t xml:space="preserve">Installation &amp; Deployment Guide</w:t>
            </w:r>
          </w:p>
          <w:p>
            <w:pPr>
              <w:pBdr>
                <w:top w:val="single" w:color="C9A227" w:sz="4" w:space="8"/>
              </w:pBdr>
              <w:spacing w:after="40"/>
              <w:jc w:val="center"/>
            </w:pPr>
            <w:r>
              <w:rPr>
                <w:color w:val="FFFFFF"/>
                <w:sz w:val="20"/>
                <w:szCs w:val="20"/>
              </w:rPr>
              <w:t xml:space="preserve">Document 8 of 8  ·  Version 1.0</w:t>
            </w:r>
          </w:p>
          <w:p>
            <w:pPr>
              <w:spacing w:after="700"/>
              <w:jc w:val="center"/>
            </w:pPr>
            <w:r>
              <w:rPr>
                <w:color w:val="B9BCC2"/>
                <w:sz w:val="20"/>
                <w:szCs w:val="20"/>
              </w:rPr>
              <w:t xml:space="preserve">August 2, 2026</w:t>
            </w:r>
          </w:p>
          <w:p>
            <w:pPr>
              <w:jc w:val="center"/>
            </w:pPr>
            <w:r>
              <w:rPr>
                <w:i/>
                <w:iCs/>
                <w:color w:val="8A8E97"/>
                <w:sz w:val="18"/>
                <w:szCs w:val="18"/>
              </w:rPr>
              <w:t xml:space="preserve">CONFIDENTIAL — Prepared exclusively for TerraNext Global Ventures</w:t>
            </w:r>
          </w:p>
        </w:tc>
      </w:tr>
    </w:tbl>
    <w:p>
      <w:r>
        <w:br w:type="page"/>
      </w:r>
    </w:p>
    <w:p>
      <w:pPr>
        <w:pStyle w:val="Heading1"/>
        <w:spacing w:after="160" w:before="420"/>
      </w:pPr>
      <w:bookmarkStart w:name="bm_document-control_9" w:id="1"/>
      <w:r>
        <w:t xml:space="preserve">Document Control</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6F4EE" w:val="clear"/>
            <w:tcMar>
              <w:top w:type="dxa" w:w="100"/>
              <w:left w:type="dxa" w:w="150"/>
              <w:bottom w:type="dxa" w:w="100"/>
              <w:right w:type="dxa" w:w="150"/>
            </w:tcMar>
          </w:tcPr>
          <w:p>
            <w:r>
              <w:rPr>
                <w:b/>
                <w:bCs/>
                <w:sz w:val="20"/>
                <w:szCs w:val="20"/>
              </w:rPr>
              <w:t xml:space="preserve">Document Title</w:t>
            </w:r>
          </w:p>
        </w:tc>
        <w:tc>
          <w:tcPr>
            <w:tcW w:type="dxa" w:w="6940"/>
            <w:tcMar>
              <w:top w:type="dxa" w:w="100"/>
              <w:left w:type="dxa" w:w="150"/>
              <w:bottom w:type="dxa" w:w="100"/>
              <w:right w:type="dxa" w:w="150"/>
            </w:tcMar>
          </w:tcPr>
          <w:p>
            <w:r>
              <w:rPr>
                <w:sz w:val="20"/>
                <w:szCs w:val="20"/>
              </w:rPr>
              <w:t xml:space="preserve">AI Intelligence Platform — Installation &amp; Deployment Guide</w:t>
            </w:r>
          </w:p>
        </w:tc>
      </w:tr>
      <w:tr>
        <w:tc>
          <w:tcPr>
            <w:tcW w:type="dxa" w:w="2600"/>
            <w:shd w:fill="F6F4EE" w:val="clear"/>
            <w:tcMar>
              <w:top w:type="dxa" w:w="100"/>
              <w:left w:type="dxa" w:w="150"/>
              <w:bottom w:type="dxa" w:w="100"/>
              <w:right w:type="dxa" w:w="150"/>
            </w:tcMar>
          </w:tcPr>
          <w:p>
            <w:r>
              <w:rPr>
                <w:b/>
                <w:bCs/>
                <w:sz w:val="20"/>
                <w:szCs w:val="20"/>
              </w:rPr>
              <w:t xml:space="preserve">System</w:t>
            </w:r>
          </w:p>
        </w:tc>
        <w:tc>
          <w:tcPr>
            <w:tcW w:type="dxa" w:w="6940"/>
            <w:tcMar>
              <w:top w:type="dxa" w:w="100"/>
              <w:left w:type="dxa" w:w="150"/>
              <w:bottom w:type="dxa" w:w="100"/>
              <w:right w:type="dxa" w:w="150"/>
            </w:tcMar>
          </w:tcPr>
          <w:p>
            <w:r>
              <w:rPr>
                <w:sz w:val="20"/>
                <w:szCs w:val="20"/>
              </w:rPr>
              <w:t xml:space="preserve">TerraNext Business OS</w:t>
            </w:r>
          </w:p>
        </w:tc>
      </w:tr>
      <w:tr>
        <w:tc>
          <w:tcPr>
            <w:tcW w:type="dxa" w:w="2600"/>
            <w:shd w:fill="F6F4EE" w:val="clear"/>
            <w:tcMar>
              <w:top w:type="dxa" w:w="100"/>
              <w:left w:type="dxa" w:w="150"/>
              <w:bottom w:type="dxa" w:w="100"/>
              <w:right w:type="dxa" w:w="150"/>
            </w:tcMar>
          </w:tcPr>
          <w:p>
            <w:r>
              <w:rPr>
                <w:b/>
                <w:bCs/>
                <w:sz w:val="20"/>
                <w:szCs w:val="20"/>
              </w:rPr>
              <w:t xml:space="preserve">Classification</w:t>
            </w:r>
          </w:p>
        </w:tc>
        <w:tc>
          <w:tcPr>
            <w:tcW w:type="dxa" w:w="6940"/>
            <w:tcMar>
              <w:top w:type="dxa" w:w="100"/>
              <w:left w:type="dxa" w:w="150"/>
              <w:bottom w:type="dxa" w:w="100"/>
              <w:right w:type="dxa" w:w="150"/>
            </w:tcMar>
          </w:tcPr>
          <w:p>
            <w:r>
              <w:rPr>
                <w:sz w:val="20"/>
                <w:szCs w:val="20"/>
              </w:rPr>
              <w:t xml:space="preserve">Confidential — Client Delivery</w:t>
            </w:r>
          </w:p>
        </w:tc>
      </w:tr>
      <w:tr>
        <w:tc>
          <w:tcPr>
            <w:tcW w:type="dxa" w:w="2600"/>
            <w:shd w:fill="F6F4EE" w:val="clear"/>
            <w:tcMar>
              <w:top w:type="dxa" w:w="100"/>
              <w:left w:type="dxa" w:w="150"/>
              <w:bottom w:type="dxa" w:w="100"/>
              <w:right w:type="dxa" w:w="150"/>
            </w:tcMar>
          </w:tcPr>
          <w:p>
            <w:r>
              <w:rPr>
                <w:b/>
                <w:bCs/>
                <w:sz w:val="20"/>
                <w:szCs w:val="20"/>
              </w:rPr>
              <w:t xml:space="preserve">Prepared For</w:t>
            </w:r>
          </w:p>
        </w:tc>
        <w:tc>
          <w:tcPr>
            <w:tcW w:type="dxa" w:w="6940"/>
            <w:tcMar>
              <w:top w:type="dxa" w:w="100"/>
              <w:left w:type="dxa" w:w="150"/>
              <w:bottom w:type="dxa" w:w="100"/>
              <w:right w:type="dxa" w:w="150"/>
            </w:tcMar>
          </w:tcPr>
          <w:p>
            <w:r>
              <w:rPr>
                <w:sz w:val="20"/>
                <w:szCs w:val="20"/>
              </w:rPr>
              <w:t xml:space="preserve">TerraNext Global Ventures</w:t>
            </w:r>
          </w:p>
        </w:tc>
      </w:tr>
      <w:tr>
        <w:tc>
          <w:tcPr>
            <w:tcW w:type="dxa" w:w="2600"/>
            <w:shd w:fill="F6F4EE" w:val="clear"/>
            <w:tcMar>
              <w:top w:type="dxa" w:w="100"/>
              <w:left w:type="dxa" w:w="150"/>
              <w:bottom w:type="dxa" w:w="100"/>
              <w:right w:type="dxa" w:w="150"/>
            </w:tcMar>
          </w:tcPr>
          <w:p>
            <w:r>
              <w:rPr>
                <w:b/>
                <w:bCs/>
                <w:sz w:val="20"/>
                <w:szCs w:val="20"/>
              </w:rPr>
              <w:t xml:space="preserve">Prepared By</w:t>
            </w:r>
          </w:p>
        </w:tc>
        <w:tc>
          <w:tcPr>
            <w:tcW w:type="dxa" w:w="6940"/>
            <w:tcMar>
              <w:top w:type="dxa" w:w="100"/>
              <w:left w:type="dxa" w:w="150"/>
              <w:bottom w:type="dxa" w:w="100"/>
              <w:right w:type="dxa" w:w="150"/>
            </w:tcMar>
          </w:tcPr>
          <w:p>
            <w:r>
              <w:rPr>
                <w:sz w:val="20"/>
                <w:szCs w:val="20"/>
              </w:rPr>
              <w:t xml:space="preserve">Engineering Documentation Team</w:t>
            </w:r>
          </w:p>
        </w:tc>
      </w:tr>
      <w:tr>
        <w:tc>
          <w:tcPr>
            <w:tcW w:type="dxa" w:w="2600"/>
            <w:shd w:fill="F6F4EE" w:val="clear"/>
            <w:tcMar>
              <w:top w:type="dxa" w:w="100"/>
              <w:left w:type="dxa" w:w="150"/>
              <w:bottom w:type="dxa" w:w="100"/>
              <w:right w:type="dxa" w:w="150"/>
            </w:tcMar>
          </w:tcPr>
          <w:p>
            <w:r>
              <w:rPr>
                <w:b/>
                <w:bCs/>
                <w:sz w:val="20"/>
                <w:szCs w:val="20"/>
              </w:rPr>
              <w:t xml:space="preserve">Status</w:t>
            </w:r>
          </w:p>
        </w:tc>
        <w:tc>
          <w:tcPr>
            <w:tcW w:type="dxa" w:w="6940"/>
            <w:tcMar>
              <w:top w:type="dxa" w:w="100"/>
              <w:left w:type="dxa" w:w="150"/>
              <w:bottom w:type="dxa" w:w="100"/>
              <w:right w:type="dxa" w:w="150"/>
            </w:tcMar>
          </w:tcPr>
          <w:p>
            <w:r>
              <w:rPr>
                <w:sz w:val="20"/>
                <w:szCs w:val="20"/>
              </w:rPr>
              <w:t xml:space="preserve">Final</w:t>
            </w:r>
          </w:p>
        </w:tc>
      </w:tr>
      <w:tr>
        <w:tc>
          <w:tcPr>
            <w:tcW w:type="dxa" w:w="2600"/>
            <w:shd w:fill="F6F4EE" w:val="clear"/>
            <w:tcMar>
              <w:top w:type="dxa" w:w="100"/>
              <w:left w:type="dxa" w:w="150"/>
              <w:bottom w:type="dxa" w:w="100"/>
              <w:right w:type="dxa" w:w="150"/>
            </w:tcMar>
          </w:tcPr>
          <w:p>
            <w:r>
              <w:rPr>
                <w:b/>
                <w:bCs/>
                <w:sz w:val="20"/>
                <w:szCs w:val="20"/>
              </w:rPr>
              <w:t xml:space="preserve">Related Documents</w:t>
            </w:r>
          </w:p>
        </w:tc>
        <w:tc>
          <w:tcPr>
            <w:tcW w:type="dxa" w:w="6940"/>
            <w:tcMar>
              <w:top w:type="dxa" w:w="100"/>
              <w:left w:type="dxa" w:w="150"/>
              <w:bottom w:type="dxa" w:w="100"/>
              <w:right w:type="dxa" w:w="150"/>
            </w:tcMar>
          </w:tcPr>
          <w:p>
            <w:r>
              <w:rPr>
                <w:sz w:val="20"/>
                <w:szCs w:val="20"/>
              </w:rPr>
              <w:t xml:space="preserve">Technical Architecture Guide; Developer Guide; Operations Manual</w:t>
            </w:r>
          </w:p>
        </w:tc>
      </w:tr>
    </w:tbl>
    <w:p>
      <w:pPr>
        <w:spacing w:before="300"/>
      </w:pPr>
    </w:p>
    <w:p>
      <w:pPr>
        <w:pStyle w:val="Heading1"/>
        <w:spacing w:after="160" w:before="420"/>
      </w:pPr>
      <w:bookmarkStart w:name="bm_version-history_10" w:id="1"/>
      <w:r>
        <w:t xml:space="preserve">Version History</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940"/>
      </w:tblGrid>
      <w:tr>
        <w:trPr>
          <w:tblHeader/>
        </w:trPr>
        <w:tc>
          <w:tcPr>
            <w:tcW w:type="dxa" w:w="1200"/>
            <w:shd w:fill="1A1D23" w:val="clear"/>
            <w:tcMar>
              <w:top w:type="dxa" w:w="100"/>
              <w:left w:type="dxa" w:w="120"/>
              <w:bottom w:type="dxa" w:w="100"/>
              <w:right w:type="dxa" w:w="120"/>
            </w:tcMar>
          </w:tcPr>
          <w:p>
            <w:r>
              <w:rPr>
                <w:b/>
                <w:bCs/>
                <w:color w:val="FFFFFF"/>
                <w:sz w:val="19"/>
                <w:szCs w:val="19"/>
              </w:rPr>
              <w:t xml:space="preserve">Version</w:t>
            </w:r>
          </w:p>
        </w:tc>
        <w:tc>
          <w:tcPr>
            <w:tcW w:type="dxa" w:w="1600"/>
            <w:shd w:fill="1A1D23" w:val="clear"/>
            <w:tcMar>
              <w:top w:type="dxa" w:w="100"/>
              <w:left w:type="dxa" w:w="120"/>
              <w:bottom w:type="dxa" w:w="100"/>
              <w:right w:type="dxa" w:w="120"/>
            </w:tcMar>
          </w:tcPr>
          <w:p>
            <w:r>
              <w:rPr>
                <w:b/>
                <w:bCs/>
                <w:color w:val="FFFFFF"/>
                <w:sz w:val="19"/>
                <w:szCs w:val="19"/>
              </w:rPr>
              <w:t xml:space="preserve">Date</w:t>
            </w:r>
          </w:p>
        </w:tc>
        <w:tc>
          <w:tcPr>
            <w:tcW w:type="dxa" w:w="2800"/>
            <w:shd w:fill="1A1D23" w:val="clear"/>
            <w:tcMar>
              <w:top w:type="dxa" w:w="100"/>
              <w:left w:type="dxa" w:w="120"/>
              <w:bottom w:type="dxa" w:w="100"/>
              <w:right w:type="dxa" w:w="120"/>
            </w:tcMar>
          </w:tcPr>
          <w:p>
            <w:r>
              <w:rPr>
                <w:b/>
                <w:bCs/>
                <w:color w:val="FFFFFF"/>
                <w:sz w:val="19"/>
                <w:szCs w:val="19"/>
              </w:rPr>
              <w:t xml:space="preserve">Author</w:t>
            </w:r>
          </w:p>
        </w:tc>
        <w:tc>
          <w:tcPr>
            <w:tcW w:type="dxa" w:w="3940"/>
            <w:shd w:fill="1A1D23" w:val="clear"/>
            <w:tcMar>
              <w:top w:type="dxa" w:w="100"/>
              <w:left w:type="dxa" w:w="120"/>
              <w:bottom w:type="dxa" w:w="100"/>
              <w:right w:type="dxa" w:w="120"/>
            </w:tcMar>
          </w:tcPr>
          <w:p>
            <w:r>
              <w:rPr>
                <w:b/>
                <w:bCs/>
                <w:color w:val="FFFFFF"/>
                <w:sz w:val="19"/>
                <w:szCs w:val="19"/>
              </w:rPr>
              <w:t xml:space="preserve">Description of Changes</w:t>
            </w:r>
          </w:p>
        </w:tc>
      </w:tr>
      <w:tr>
        <w:tc>
          <w:tcPr>
            <w:tcW w:type="dxa" w:w="1200"/>
            <w:shd w:fill="FFFFFF" w:val="clear"/>
            <w:tcMar>
              <w:top w:type="dxa" w:w="100"/>
              <w:left w:type="dxa" w:w="120"/>
              <w:bottom w:type="dxa" w:w="100"/>
              <w:right w:type="dxa" w:w="120"/>
            </w:tcMar>
          </w:tcPr>
          <w:p>
            <w:r>
              <w:rPr>
                <w:sz w:val="19"/>
                <w:szCs w:val="19"/>
              </w:rPr>
              <w:t xml:space="preserve">1.0</w:t>
            </w:r>
          </w:p>
        </w:tc>
        <w:tc>
          <w:tcPr>
            <w:tcW w:type="dxa" w:w="1600"/>
            <w:shd w:fill="FFFFFF" w:val="clear"/>
            <w:tcMar>
              <w:top w:type="dxa" w:w="100"/>
              <w:left w:type="dxa" w:w="120"/>
              <w:bottom w:type="dxa" w:w="100"/>
              <w:right w:type="dxa" w:w="120"/>
            </w:tcMar>
          </w:tcPr>
          <w:p>
            <w:r>
              <w:rPr>
                <w:sz w:val="19"/>
                <w:szCs w:val="19"/>
              </w:rPr>
              <w:t xml:space="preserve">2026-08-02</w:t>
            </w:r>
          </w:p>
        </w:tc>
        <w:tc>
          <w:tcPr>
            <w:tcW w:type="dxa" w:w="2800"/>
            <w:shd w:fill="FFFFFF" w:val="clear"/>
            <w:tcMar>
              <w:top w:type="dxa" w:w="100"/>
              <w:left w:type="dxa" w:w="120"/>
              <w:bottom w:type="dxa" w:w="100"/>
              <w:right w:type="dxa" w:w="120"/>
            </w:tcMar>
          </w:tcPr>
          <w:p>
            <w:r>
              <w:rPr>
                <w:sz w:val="19"/>
                <w:szCs w:val="19"/>
              </w:rPr>
              <w:t xml:space="preserve">Engineering Documentation Team</w:t>
            </w:r>
          </w:p>
        </w:tc>
        <w:tc>
          <w:tcPr>
            <w:tcW w:type="dxa" w:w="3940"/>
            <w:shd w:fill="FFFFFF" w:val="clear"/>
            <w:tcMar>
              <w:top w:type="dxa" w:w="100"/>
              <w:left w:type="dxa" w:w="120"/>
              <w:bottom w:type="dxa" w:w="100"/>
              <w:right w:type="dxa" w:w="120"/>
            </w:tcMar>
          </w:tcPr>
          <w:p>
            <w:r>
              <w:rPr>
                <w:sz w:val="19"/>
                <w:szCs w:val="19"/>
              </w:rPr>
              <w:t xml:space="preserve">Initial release — converted from the Markdown source of truth for client handover.</w:t>
            </w:r>
          </w:p>
        </w:tc>
      </w:tr>
    </w:tbl>
    <w:p>
      <w:pPr>
        <w:spacing w:before="300"/>
      </w:pPr>
      <w:r>
        <w:br w:type="page"/>
      </w:r>
    </w:p>
    <w:p>
      <w:pPr>
        <w:pStyle w:val="Heading1"/>
        <w:spacing w:after="160" w:before="420"/>
      </w:pPr>
      <w:bookmarkStart w:name="bm_table-of-contents_11" w:id="1"/>
      <w:r>
        <w:t xml:space="preserve">Table of Contents</w:t>
      </w:r>
      <w:bookmarkEnd w:id="1"/>
    </w:p>
    <w:p>
      <w:pPr>
        <w:spacing w:after="200"/>
      </w:pPr>
      <w:r>
        <w:rPr>
          <w:i/>
          <w:iCs/>
          <w:color w:val="4A4F58"/>
          <w:sz w:val="18"/>
          <w:szCs w:val="18"/>
        </w:rPr>
        <w:t xml:space="preserve">Right-click this table and choose "Update Field" → "Update entire table" to populate page numbers after opening this document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2F4F7" w:sz="2"/>
              <w:left w:val="single" w:color="2F6FED" w:sz="24"/>
              <w:bottom w:val="single" w:color="F2F4F7" w:sz="2"/>
              <w:right w:val="single" w:color="F2F4F7" w:sz="2"/>
            </w:tcBorders>
            <w:shd w:fill="F2F4F7" w:val="clear"/>
            <w:tcMar>
              <w:top w:type="dxa" w:w="140"/>
              <w:left w:type="dxa" w:w="220"/>
              <w:bottom w:type="dxa" w:w="140"/>
              <w:right w:type="dxa" w:w="220"/>
            </w:tcMar>
          </w:tcPr>
          <w:p>
            <w:pPr>
              <w:spacing w:after="60"/>
            </w:pPr>
            <w:r>
              <w:rPr>
                <w:b/>
                <w:bCs/>
                <w:color w:val="2F6FED"/>
                <w:sz w:val="19"/>
                <w:szCs w:val="19"/>
              </w:rPr>
              <w:t xml:space="preserve">ℹ  NOTE</w:t>
            </w:r>
          </w:p>
          <w:p>
            <w:r>
              <w:rPr>
                <w:sz w:val="20"/>
                <w:szCs w:val="20"/>
              </w:rPr>
              <w:t xml:space="preserve">This guide assumes the TerraNext Business OS CRM itself is already deployed, following the platform's general deployment runbook (Doc 24). The steps below cover only what is specific to enabling and deploying the AI Intelligence Platform module — they are not a substitute for that runbook.</w:t>
            </w:r>
          </w:p>
        </w:tc>
      </w:tr>
    </w:tbl>
    <w:p>
      <w:pPr>
        <w:spacing w:after="160"/>
      </w:pPr>
    </w:p>
    <w:p>
      <w:pPr>
        <w:pBdr>
          <w:bottom w:val="single" w:color="C9A227" w:sz="6" w:space="1"/>
        </w:pBdr>
        <w:spacing w:after="200" w:before="200"/>
      </w:pPr>
    </w:p>
    <w:p>
      <w:pPr>
        <w:pStyle w:val="Heading1"/>
        <w:spacing w:after="160" w:before="420"/>
      </w:pPr>
      <w:bookmarkStart w:name="bm_1-prerequisites_0" w:id="1"/>
      <w:r>
        <w:t xml:space="preserve">1. Prerequisites</w:t>
      </w:r>
      <w:bookmarkEnd w:id="1"/>
    </w:p>
    <w:p>
      <w:pPr>
        <w:pStyle w:val="ListParagraph"/>
        <w:numPr>
          <w:ilvl w:val="0"/>
          <w:numId w:val="2"/>
        </w:numPr>
        <w:spacing w:after="90" w:line="268"/>
      </w:pPr>
      <w:r>
        <w:t xml:space="preserve">Firebase CLI authenticated against the correct project (</w:t>
      </w:r>
      <w:r>
        <w:rPr>
          <w:rFonts w:ascii="Consolas" w:cs="Consolas" w:eastAsia="Consolas" w:hAnsi="Consolas"/>
          <w:shd w:fill="F1EFE6" w:val="clear"/>
        </w:rPr>
        <w:t xml:space="preserve">firebase login</w:t>
      </w:r>
      <w:r>
        <w:t xml:space="preserve">, </w:t>
      </w:r>
      <w:r>
        <w:rPr>
          <w:rFonts w:ascii="Consolas" w:cs="Consolas" w:eastAsia="Consolas" w:hAnsi="Consolas"/>
          <w:shd w:fill="F1EFE6" w:val="clear"/>
        </w:rPr>
        <w:t xml:space="preserve">firebase use &lt;project-id&gt;</w:t>
      </w:r>
      <w:r>
        <w:t xml:space="preserve">), per the general deployment runbook.</w:t>
      </w:r>
    </w:p>
    <w:p>
      <w:pPr>
        <w:pStyle w:val="ListParagraph"/>
        <w:numPr>
          <w:ilvl w:val="0"/>
          <w:numId w:val="2"/>
        </w:numPr>
        <w:spacing w:after="90" w:line="268"/>
      </w:pPr>
      <w:r>
        <w:t xml:space="preserve">If enabling real AI processing (recommended for production; see §3), an account and API key with:</w:t>
      </w:r>
    </w:p>
    <w:p>
      <w:pPr>
        <w:pStyle w:val="ListParagraph"/>
        <w:numPr>
          <w:ilvl w:val="0"/>
          <w:numId w:val="2"/>
        </w:numPr>
        <w:spacing w:after="90" w:line="268"/>
      </w:pPr>
      <w:r>
        <w:rPr>
          <w:b/>
          <w:bCs/>
        </w:rPr>
        <w:t xml:space="preserve">OpenAI</w:t>
      </w:r>
      <w:r>
        <w:t xml:space="preserve">, and/or</w:t>
      </w:r>
    </w:p>
    <w:p>
      <w:pPr>
        <w:pStyle w:val="ListParagraph"/>
        <w:numPr>
          <w:ilvl w:val="0"/>
          <w:numId w:val="2"/>
        </w:numPr>
        <w:spacing w:after="90" w:line="268"/>
      </w:pPr>
      <w:r>
        <w:rPr>
          <w:b/>
          <w:bCs/>
        </w:rPr>
        <w:t xml:space="preserve">Google AI Studio / Gemini</w:t>
      </w:r>
    </w:p>
    <w:p>
      <w:pPr>
        <w:spacing w:after="160" w:line="276"/>
      </w:pPr>
      <w:r>
        <w:t xml:space="preserve">Either or both, depending on which provider(s) you intend to use for speech-to-text and/or summarization (they are configured independently — see §3).</w:t>
      </w:r>
    </w:p>
    <w:p>
      <w:pPr>
        <w:pBdr>
          <w:bottom w:val="single" w:color="C9A227" w:sz="6" w:space="1"/>
        </w:pBdr>
        <w:spacing w:after="200" w:before="200"/>
      </w:pPr>
    </w:p>
    <w:p>
      <w:pPr>
        <w:pStyle w:val="Heading1"/>
        <w:spacing w:after="160" w:before="420"/>
      </w:pPr>
      <w:bookmarkStart w:name="bm_2-what-gets-deployed_1" w:id="1"/>
      <w:r>
        <w:t xml:space="preserve">2. What Gets Deployed</w:t>
      </w:r>
      <w:bookmarkEnd w:id="1"/>
    </w:p>
    <w:p>
      <w:pPr>
        <w:spacing w:after="160" w:line="276"/>
      </w:pPr>
      <w:r>
        <w:t xml:space="preserve">The AI Intelligence Platform ships as part of the CRM's existing Firebase deployment — there is no separate application, project, or hosting target for it.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shd w:fill="1A1D23" w:val="clear"/>
            <w:tcMar>
              <w:top w:type="dxa" w:w="90"/>
              <w:left w:type="dxa" w:w="110"/>
              <w:bottom w:type="dxa" w:w="90"/>
              <w:right w:type="dxa" w:w="110"/>
            </w:tcMar>
          </w:tcPr>
          <w:p>
            <w:r>
              <w:rPr>
                <w:b/>
                <w:bCs/>
                <w:color w:val="FFFFFF"/>
                <w:sz w:val="18"/>
                <w:szCs w:val="18"/>
              </w:rPr>
              <w:t xml:space="preserve">Component</w:t>
            </w:r>
          </w:p>
        </w:tc>
        <w:tc>
          <w:tcPr>
            <w:tcW w:type="dxa" w:w="3180"/>
            <w:shd w:fill="1A1D23" w:val="clear"/>
            <w:tcMar>
              <w:top w:type="dxa" w:w="90"/>
              <w:left w:type="dxa" w:w="110"/>
              <w:bottom w:type="dxa" w:w="90"/>
              <w:right w:type="dxa" w:w="110"/>
            </w:tcMar>
          </w:tcPr>
          <w:p>
            <w:r>
              <w:rPr>
                <w:b/>
                <w:bCs/>
                <w:color w:val="FFFFFF"/>
                <w:sz w:val="18"/>
                <w:szCs w:val="18"/>
              </w:rPr>
              <w:t xml:space="preserve">Deploys via</w:t>
            </w:r>
          </w:p>
        </w:tc>
        <w:tc>
          <w:tcPr>
            <w:tcW w:type="dxa" w:w="3180"/>
            <w:shd w:fill="1A1D23" w:val="clear"/>
            <w:tcMar>
              <w:top w:type="dxa" w:w="90"/>
              <w:left w:type="dxa" w:w="110"/>
              <w:bottom w:type="dxa" w:w="90"/>
              <w:right w:type="dxa" w:w="110"/>
            </w:tcMar>
          </w:tcPr>
          <w:p>
            <w:r>
              <w:rPr>
                <w:b/>
                <w:bCs/>
                <w:color w:val="FFFFFF"/>
                <w:sz w:val="18"/>
                <w:szCs w:val="18"/>
              </w:rPr>
              <w:t xml:space="preserve">Notes</w:t>
            </w:r>
          </w:p>
        </w:tc>
      </w:tr>
      <w:tr>
        <w:tc>
          <w:tcPr>
            <w:tcW w:type="dxa" w:w="3180"/>
            <w:shd w:fill="FFFFFF" w:val="clear"/>
            <w:tcMar>
              <w:top w:type="dxa" w:w="90"/>
              <w:left w:type="dxa" w:w="110"/>
              <w:bottom w:type="dxa" w:w="90"/>
              <w:right w:type="dxa" w:w="110"/>
            </w:tcMar>
          </w:tcPr>
          <w:p>
            <w:pPr>
              <w:spacing w:line="260"/>
            </w:pPr>
            <w:r>
              <w:rPr>
                <w:sz w:val="18"/>
                <w:szCs w:val="18"/>
              </w:rPr>
              <w:t xml:space="preserve">Firestore security rules for the module's 6 collections (</w:t>
            </w:r>
            <w:r>
              <w:rPr>
                <w:rFonts w:ascii="Consolas" w:cs="Consolas" w:eastAsia="Consolas" w:hAnsi="Consolas"/>
                <w:sz w:val="18"/>
                <w:szCs w:val="18"/>
                <w:shd w:fill="F1EFE6" w:val="clear"/>
              </w:rPr>
              <w:t xml:space="preserve">aiSessions</w:t>
            </w:r>
            <w:r>
              <w:rPr>
                <w:sz w:val="18"/>
                <w:szCs w:val="18"/>
              </w:rPr>
              <w:t xml:space="preserve">, </w:t>
            </w:r>
            <w:r>
              <w:rPr>
                <w:rFonts w:ascii="Consolas" w:cs="Consolas" w:eastAsia="Consolas" w:hAnsi="Consolas"/>
                <w:sz w:val="18"/>
                <w:szCs w:val="18"/>
                <w:shd w:fill="F1EFE6" w:val="clear"/>
              </w:rPr>
              <w:t xml:space="preserve">aiProcessingJobs</w:t>
            </w:r>
            <w:r>
              <w:rPr>
                <w:sz w:val="18"/>
                <w:szCs w:val="18"/>
              </w:rPr>
              <w:t xml:space="preserve">, </w:t>
            </w:r>
            <w:r>
              <w:rPr>
                <w:rFonts w:ascii="Consolas" w:cs="Consolas" w:eastAsia="Consolas" w:hAnsi="Consolas"/>
                <w:sz w:val="18"/>
                <w:szCs w:val="18"/>
                <w:shd w:fill="F1EFE6" w:val="clear"/>
              </w:rPr>
              <w:t xml:space="preserve">aiTranscripts</w:t>
            </w:r>
            <w:r>
              <w:rPr>
                <w:sz w:val="18"/>
                <w:szCs w:val="18"/>
              </w:rPr>
              <w:t xml:space="preserve">, </w:t>
            </w:r>
            <w:r>
              <w:rPr>
                <w:rFonts w:ascii="Consolas" w:cs="Consolas" w:eastAsia="Consolas" w:hAnsi="Consolas"/>
                <w:sz w:val="18"/>
                <w:szCs w:val="18"/>
                <w:shd w:fill="F1EFE6" w:val="clear"/>
              </w:rPr>
              <w:t xml:space="preserve">aiSummaries</w:t>
            </w:r>
            <w:r>
              <w:rPr>
                <w:sz w:val="18"/>
                <w:szCs w:val="18"/>
              </w:rPr>
              <w:t xml:space="preserve">, </w:t>
            </w:r>
            <w:r>
              <w:rPr>
                <w:rFonts w:ascii="Consolas" w:cs="Consolas" w:eastAsia="Consolas" w:hAnsi="Consolas"/>
                <w:sz w:val="18"/>
                <w:szCs w:val="18"/>
                <w:shd w:fill="F1EFE6" w:val="clear"/>
              </w:rPr>
              <w:t xml:space="preserve">aiAnalytics</w:t>
            </w:r>
            <w:r>
              <w:rPr>
                <w:sz w:val="18"/>
                <w:szCs w:val="18"/>
              </w:rPr>
              <w:t xml:space="preserve">, </w:t>
            </w:r>
            <w:r>
              <w:rPr>
                <w:rFonts w:ascii="Consolas" w:cs="Consolas" w:eastAsia="Consolas" w:hAnsi="Consolas"/>
                <w:sz w:val="18"/>
                <w:szCs w:val="18"/>
                <w:shd w:fill="F1EFE6" w:val="clear"/>
              </w:rPr>
              <w:t xml:space="preserve">aiIntelligenceSettings</w:t>
            </w:r>
            <w:r>
              <w:rPr>
                <w:sz w:val="18"/>
                <w:szCs w:val="18"/>
              </w:rPr>
              <w:t xml:space="preserve">)</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firebase deploy --only firestore:rules</w:t>
            </w:r>
          </w:p>
        </w:tc>
        <w:tc>
          <w:tcPr>
            <w:tcW w:type="dxa" w:w="3180"/>
            <w:shd w:fill="FFFFFF" w:val="clear"/>
            <w:tcMar>
              <w:top w:type="dxa" w:w="90"/>
              <w:left w:type="dxa" w:w="110"/>
              <w:bottom w:type="dxa" w:w="90"/>
              <w:right w:type="dxa" w:w="110"/>
            </w:tcMar>
          </w:tcPr>
          <w:p>
            <w:pPr>
              <w:spacing w:line="260"/>
            </w:pPr>
            <w:r>
              <w:rPr>
                <w:sz w:val="18"/>
                <w:szCs w:val="18"/>
              </w:rPr>
              <w:t xml:space="preserve">Already part of the project's single </w:t>
            </w:r>
            <w:r>
              <w:rPr>
                <w:rFonts w:ascii="Consolas" w:cs="Consolas" w:eastAsia="Consolas" w:hAnsi="Consolas"/>
                <w:sz w:val="18"/>
                <w:szCs w:val="18"/>
                <w:shd w:fill="F1EFE6" w:val="clear"/>
              </w:rPr>
              <w:t xml:space="preserve">firestore.rules</w:t>
            </w:r>
            <w:r>
              <w:rPr>
                <w:sz w:val="18"/>
                <w:szCs w:val="18"/>
              </w:rPr>
              <w:t xml:space="preserve"> file — no separate rules file for this module</w:t>
            </w:r>
          </w:p>
        </w:tc>
      </w:tr>
      <w:tr>
        <w:tc>
          <w:tcPr>
            <w:tcW w:type="dxa" w:w="3180"/>
            <w:shd w:fill="F6F4EE" w:val="clear"/>
            <w:tcMar>
              <w:top w:type="dxa" w:w="90"/>
              <w:left w:type="dxa" w:w="110"/>
              <w:bottom w:type="dxa" w:w="90"/>
              <w:right w:type="dxa" w:w="110"/>
            </w:tcMar>
          </w:tcPr>
          <w:p>
            <w:pPr>
              <w:spacing w:line="260"/>
            </w:pPr>
            <w:r>
              <w:rPr>
                <w:sz w:val="18"/>
                <w:szCs w:val="18"/>
              </w:rPr>
              <w:t xml:space="preserve">The one Cloud Function, </w:t>
            </w:r>
            <w:r>
              <w:rPr>
                <w:rFonts w:ascii="Consolas" w:cs="Consolas" w:eastAsia="Consolas" w:hAnsi="Consolas"/>
                <w:sz w:val="18"/>
                <w:szCs w:val="18"/>
                <w:shd w:fill="F1EFE6" w:val="clear"/>
              </w:rPr>
              <w:t xml:space="preserve">processAiSessionJob</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firebase deploy --only functions</w:t>
            </w:r>
            <w:r>
              <w:rPr>
                <w:sz w:val="18"/>
                <w:szCs w:val="18"/>
              </w:rPr>
              <w:t xml:space="preserve"> (or scoped to </w:t>
            </w:r>
            <w:r>
              <w:rPr>
                <w:rFonts w:ascii="Consolas" w:cs="Consolas" w:eastAsia="Consolas" w:hAnsi="Consolas"/>
                <w:sz w:val="18"/>
                <w:szCs w:val="18"/>
                <w:shd w:fill="F1EFE6" w:val="clear"/>
              </w:rPr>
              <w:t xml:space="preserve">functions:processAiSessionJob</w:t>
            </w:r>
            <w:r>
              <w:rPr>
                <w:sz w:val="18"/>
                <w:szCs w:val="18"/>
              </w:rPr>
              <w:t xml:space="preserve">)</w:t>
            </w:r>
          </w:p>
        </w:tc>
        <w:tc>
          <w:tcPr>
            <w:tcW w:type="dxa" w:w="3180"/>
            <w:shd w:fill="F6F4EE" w:val="clear"/>
            <w:tcMar>
              <w:top w:type="dxa" w:w="90"/>
              <w:left w:type="dxa" w:w="110"/>
              <w:bottom w:type="dxa" w:w="90"/>
              <w:right w:type="dxa" w:w="110"/>
            </w:tcMar>
          </w:tcPr>
          <w:p>
            <w:pPr>
              <w:spacing w:line="260"/>
            </w:pPr>
            <w:r>
              <w:rPr>
                <w:sz w:val="18"/>
                <w:szCs w:val="18"/>
              </w:rPr>
              <w:t xml:space="preserve">Firestore trigger (</w:t>
            </w:r>
            <w:r>
              <w:rPr>
                <w:rFonts w:ascii="Consolas" w:cs="Consolas" w:eastAsia="Consolas" w:hAnsi="Consolas"/>
                <w:sz w:val="18"/>
                <w:szCs w:val="18"/>
                <w:shd w:fill="F1EFE6" w:val="clear"/>
              </w:rPr>
              <w:t xml:space="preserve">onDocumentWritten</w:t>
            </w:r>
            <w:r>
              <w:rPr>
                <w:sz w:val="18"/>
                <w:szCs w:val="18"/>
              </w:rPr>
              <w:t xml:space="preserve"> on </w:t>
            </w:r>
            <w:r>
              <w:rPr>
                <w:rFonts w:ascii="Consolas" w:cs="Consolas" w:eastAsia="Consolas" w:hAnsi="Consolas"/>
                <w:sz w:val="18"/>
                <w:szCs w:val="18"/>
                <w:shd w:fill="F1EFE6" w:val="clear"/>
              </w:rPr>
              <w:t xml:space="preserve">aiProcessingJobs/{jobId}</w:t>
            </w:r>
            <w:r>
              <w:rPr>
                <w:sz w:val="18"/>
                <w:szCs w:val="18"/>
              </w:rPr>
              <w:t xml:space="preserve">); region </w:t>
            </w:r>
            <w:r>
              <w:rPr>
                <w:rFonts w:ascii="Consolas" w:cs="Consolas" w:eastAsia="Consolas" w:hAnsi="Consolas"/>
                <w:sz w:val="18"/>
                <w:szCs w:val="18"/>
                <w:shd w:fill="F1EFE6" w:val="clear"/>
              </w:rPr>
              <w:t xml:space="preserve">asia-south1</w:t>
            </w:r>
            <w:r>
              <w:rPr>
                <w:sz w:val="18"/>
                <w:szCs w:val="18"/>
              </w:rPr>
              <w:t xml:space="preserve">; </w:t>
            </w:r>
            <w:r>
              <w:rPr>
                <w:rFonts w:ascii="Consolas" w:cs="Consolas" w:eastAsia="Consolas" w:hAnsi="Consolas"/>
                <w:sz w:val="18"/>
                <w:szCs w:val="18"/>
                <w:shd w:fill="F1EFE6" w:val="clear"/>
              </w:rPr>
              <w:t xml:space="preserve">memory: 1GiB</w:t>
            </w:r>
            <w:r>
              <w:rPr>
                <w:sz w:val="18"/>
                <w:szCs w:val="18"/>
              </w:rPr>
              <w:t xml:space="preserve">; </w:t>
            </w:r>
            <w:r>
              <w:rPr>
                <w:rFonts w:ascii="Consolas" w:cs="Consolas" w:eastAsia="Consolas" w:hAnsi="Consolas"/>
                <w:sz w:val="18"/>
                <w:szCs w:val="18"/>
                <w:shd w:fill="F1EFE6" w:val="clear"/>
              </w:rPr>
              <w:t xml:space="preserve">timeoutSeconds: 540</w:t>
            </w:r>
          </w:p>
        </w:tc>
      </w:tr>
      <w:tr>
        <w:tc>
          <w:tcPr>
            <w:tcW w:type="dxa" w:w="3180"/>
            <w:shd w:fill="FFFFFF" w:val="clear"/>
            <w:tcMar>
              <w:top w:type="dxa" w:w="90"/>
              <w:left w:type="dxa" w:w="110"/>
              <w:bottom w:type="dxa" w:w="90"/>
              <w:right w:type="dxa" w:w="110"/>
            </w:tcMar>
          </w:tcPr>
          <w:p>
            <w:pPr>
              <w:spacing w:line="260"/>
            </w:pPr>
            <w:r>
              <w:rPr>
                <w:sz w:val="18"/>
                <w:szCs w:val="18"/>
              </w:rPr>
              <w:t xml:space="preserve">Storage access</w:t>
            </w:r>
          </w:p>
        </w:tc>
        <w:tc>
          <w:tcPr>
            <w:tcW w:type="dxa" w:w="3180"/>
            <w:shd w:fill="FFFFFF" w:val="clear"/>
            <w:tcMar>
              <w:top w:type="dxa" w:w="90"/>
              <w:left w:type="dxa" w:w="110"/>
              <w:bottom w:type="dxa" w:w="90"/>
              <w:right w:type="dxa" w:w="110"/>
            </w:tcMar>
          </w:tcPr>
          <w:p>
            <w:pPr>
              <w:spacing w:line="260"/>
            </w:pPr>
            <w:r>
              <w:rPr>
                <w:sz w:val="18"/>
                <w:szCs w:val="18"/>
              </w:rPr>
              <w:t xml:space="preserve">No dedicated rules — the project's single blanket-deny </w:t>
            </w:r>
            <w:r>
              <w:rPr>
                <w:rFonts w:ascii="Consolas" w:cs="Consolas" w:eastAsia="Consolas" w:hAnsi="Consolas"/>
                <w:sz w:val="18"/>
                <w:szCs w:val="18"/>
                <w:shd w:fill="F1EFE6" w:val="clear"/>
              </w:rPr>
              <w:t xml:space="preserve">storage.rules</w:t>
            </w:r>
            <w:r>
              <w:rPr>
                <w:sz w:val="18"/>
                <w:szCs w:val="18"/>
              </w:rPr>
              <w:t xml:space="preserve"> already covers this module's audio chunk paths via server-issued signed URLs</w:t>
            </w:r>
          </w:p>
        </w:tc>
        <w:tc>
          <w:tcPr>
            <w:tcW w:type="dxa" w:w="3180"/>
            <w:shd w:fill="FFFFFF" w:val="clear"/>
            <w:tcMar>
              <w:top w:type="dxa" w:w="90"/>
              <w:left w:type="dxa" w:w="110"/>
              <w:bottom w:type="dxa" w:w="90"/>
              <w:right w:type="dxa" w:w="110"/>
            </w:tcMar>
          </w:tcPr>
          <w:p>
            <w:pPr>
              <w:spacing w:line="260"/>
            </w:pPr>
            <w:r>
              <w:rPr>
                <w:sz w:val="18"/>
                <w:szCs w:val="18"/>
              </w:rPr>
              <w:t xml:space="preserve">Nothing to deploy specifically for this module</w:t>
            </w:r>
          </w:p>
        </w:tc>
      </w:tr>
      <w:tr>
        <w:tc>
          <w:tcPr>
            <w:tcW w:type="dxa" w:w="3180"/>
            <w:shd w:fill="F6F4EE" w:val="clear"/>
            <w:tcMar>
              <w:top w:type="dxa" w:w="90"/>
              <w:left w:type="dxa" w:w="110"/>
              <w:bottom w:type="dxa" w:w="90"/>
              <w:right w:type="dxa" w:w="110"/>
            </w:tcMar>
          </w:tcPr>
          <w:p>
            <w:pPr>
              <w:spacing w:line="260"/>
            </w:pPr>
            <w:r>
              <w:rPr>
                <w:sz w:val="18"/>
                <w:szCs w:val="18"/>
              </w:rPr>
              <w:t xml:space="preserve">Next.js pages, server actions, and UI</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firebase deploy --only apphosting</w:t>
            </w:r>
            <w:r>
              <w:rPr>
                <w:sz w:val="18"/>
                <w:szCs w:val="18"/>
              </w:rPr>
              <w:t xml:space="preserve"> (or your platform's app deploy step)</w:t>
            </w:r>
          </w:p>
        </w:tc>
        <w:tc>
          <w:tcPr>
            <w:tcW w:type="dxa" w:w="3180"/>
            <w:shd w:fill="F6F4EE" w:val="clear"/>
            <w:tcMar>
              <w:top w:type="dxa" w:w="90"/>
              <w:left w:type="dxa" w:w="110"/>
              <w:bottom w:type="dxa" w:w="90"/>
              <w:right w:type="dxa" w:w="110"/>
            </w:tcMar>
          </w:tcPr>
          <w:p>
            <w:pPr>
              <w:spacing w:line="260"/>
            </w:pPr>
            <w:r>
              <w:rPr>
                <w:sz w:val="18"/>
                <w:szCs w:val="18"/>
              </w:rPr>
              <w:t xml:space="preserve">Ships as part of the main application build — no separate build/deploy step</w:t>
            </w:r>
          </w:p>
        </w:tc>
      </w:tr>
    </w:tbl>
    <w:p>
      <w:pPr>
        <w:spacing w:after="160" w:line="276"/>
      </w:pPr>
      <w:r>
        <w:rPr>
          <w:b/>
          <w:bCs/>
        </w:rPr>
        <w:t xml:space="preserve">There is no dedicated "install" step beyond a normal CRM deployment</w:t>
      </w:r>
      <w:r>
        <w:t xml:space="preserve"> — the module activates as soon as its code is present in a deployment. What determines whether it produces real AI output or placeholder output is the environment configuration in §3.</w:t>
      </w:r>
    </w:p>
    <w:p>
      <w:pPr>
        <w:pBdr>
          <w:bottom w:val="single" w:color="C9A227" w:sz="6" w:space="1"/>
        </w:pBdr>
        <w:spacing w:after="200" w:before="200"/>
      </w:pPr>
    </w:p>
    <w:p>
      <w:pPr>
        <w:pStyle w:val="Heading1"/>
        <w:spacing w:after="160" w:before="420"/>
      </w:pPr>
      <w:bookmarkStart w:name="bm_3-environment-variables-secrets_2" w:id="1"/>
      <w:r>
        <w:t xml:space="preserve">3. Environment Variables &amp; Secrets</w:t>
      </w:r>
      <w:bookmarkEnd w:id="1"/>
    </w:p>
    <w:p>
      <w:pPr>
        <w:spacing w:after="160" w:line="276"/>
      </w:pPr>
      <w:r>
        <w:t xml:space="preserve">The module reads its AI provider configuration through Firebase Functions v2 parameters (</w:t>
      </w:r>
      <w:r>
        <w:rPr>
          <w:rFonts w:ascii="Consolas" w:cs="Consolas" w:eastAsia="Consolas" w:hAnsi="Consolas"/>
          <w:shd w:fill="F1EFE6" w:val="clear"/>
        </w:rPr>
        <w:t xml:space="preserve">firebase-functions/params</w:t>
      </w:r>
      <w:r>
        <w:t xml:space="preserve">) — regular configuration values via </w:t>
      </w:r>
      <w:r>
        <w:rPr>
          <w:rFonts w:ascii="Consolas" w:cs="Consolas" w:eastAsia="Consolas" w:hAnsi="Consolas"/>
          <w:shd w:fill="F1EFE6" w:val="clear"/>
        </w:rPr>
        <w:t xml:space="preserve">defineString</w:t>
      </w:r>
      <w:r>
        <w:t xml:space="preserve">, and sensitive values via </w:t>
      </w:r>
      <w:r>
        <w:rPr>
          <w:rFonts w:ascii="Consolas" w:cs="Consolas" w:eastAsia="Consolas" w:hAnsi="Consolas"/>
          <w:shd w:fill="F1EFE6" w:val="clear"/>
        </w:rPr>
        <w:t xml:space="preserve">defineSecret</w:t>
      </w:r>
      <w:r>
        <w:t xml:space="preserve"> (Secret Manager–backed). These are resolved at Cloud Function runtime, not at the Next.js application layer, and are never entered into any CRM screen.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shd w:fill="1A1D23" w:val="clear"/>
            <w:tcMar>
              <w:top w:type="dxa" w:w="90"/>
              <w:left w:type="dxa" w:w="110"/>
              <w:bottom w:type="dxa" w:w="90"/>
              <w:right w:type="dxa" w:w="110"/>
            </w:tcMar>
          </w:tcPr>
          <w:p>
            <w:r>
              <w:rPr>
                <w:b/>
                <w:bCs/>
                <w:color w:val="FFFFFF"/>
                <w:sz w:val="18"/>
                <w:szCs w:val="18"/>
              </w:rPr>
              <w:t xml:space="preserve">Variable</w:t>
            </w:r>
          </w:p>
        </w:tc>
        <w:tc>
          <w:tcPr>
            <w:tcW w:type="dxa" w:w="2385"/>
            <w:shd w:fill="1A1D23" w:val="clear"/>
            <w:tcMar>
              <w:top w:type="dxa" w:w="90"/>
              <w:left w:type="dxa" w:w="110"/>
              <w:bottom w:type="dxa" w:w="90"/>
              <w:right w:type="dxa" w:w="110"/>
            </w:tcMar>
          </w:tcPr>
          <w:p>
            <w:r>
              <w:rPr>
                <w:b/>
                <w:bCs/>
                <w:color w:val="FFFFFF"/>
                <w:sz w:val="18"/>
                <w:szCs w:val="18"/>
              </w:rPr>
              <w:t xml:space="preserve">Kind</w:t>
            </w:r>
          </w:p>
        </w:tc>
        <w:tc>
          <w:tcPr>
            <w:tcW w:type="dxa" w:w="2385"/>
            <w:shd w:fill="1A1D23" w:val="clear"/>
            <w:tcMar>
              <w:top w:type="dxa" w:w="90"/>
              <w:left w:type="dxa" w:w="110"/>
              <w:bottom w:type="dxa" w:w="90"/>
              <w:right w:type="dxa" w:w="110"/>
            </w:tcMar>
          </w:tcPr>
          <w:p>
            <w:r>
              <w:rPr>
                <w:b/>
                <w:bCs/>
                <w:color w:val="FFFFFF"/>
                <w:sz w:val="18"/>
                <w:szCs w:val="18"/>
              </w:rPr>
              <w:t xml:space="preserve">Default if unset</w:t>
            </w:r>
          </w:p>
        </w:tc>
        <w:tc>
          <w:tcPr>
            <w:tcW w:type="dxa" w:w="2385"/>
            <w:shd w:fill="1A1D23" w:val="clear"/>
            <w:tcMar>
              <w:top w:type="dxa" w:w="90"/>
              <w:left w:type="dxa" w:w="110"/>
              <w:bottom w:type="dxa" w:w="90"/>
              <w:right w:type="dxa" w:w="110"/>
            </w:tcMar>
          </w:tcPr>
          <w:p>
            <w:r>
              <w:rPr>
                <w:b/>
                <w:bCs/>
                <w:color w:val="FFFFFF"/>
                <w:sz w:val="18"/>
                <w:szCs w:val="18"/>
              </w:rPr>
              <w:t xml:space="preserve">Purpose</w:t>
            </w:r>
          </w:p>
        </w:tc>
      </w:tr>
      <w:tr>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AI_SPEECH_PROVIDER</w:t>
            </w:r>
          </w:p>
        </w:tc>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defineString</w:t>
            </w:r>
          </w:p>
        </w:tc>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mock</w:t>
            </w:r>
          </w:p>
        </w:tc>
        <w:tc>
          <w:tcPr>
            <w:tcW w:type="dxa" w:w="2385"/>
            <w:shd w:fill="FFFFFF" w:val="clear"/>
            <w:tcMar>
              <w:top w:type="dxa" w:w="90"/>
              <w:left w:type="dxa" w:w="110"/>
              <w:bottom w:type="dxa" w:w="90"/>
              <w:right w:type="dxa" w:w="110"/>
            </w:tcMar>
          </w:tcPr>
          <w:p>
            <w:pPr>
              <w:spacing w:line="260"/>
            </w:pPr>
            <w:r>
              <w:rPr>
                <w:sz w:val="18"/>
                <w:szCs w:val="18"/>
              </w:rPr>
              <w:t xml:space="preserve">Selects the transcription provider: </w:t>
            </w:r>
            <w:r>
              <w:rPr>
                <w:rFonts w:ascii="Consolas" w:cs="Consolas" w:eastAsia="Consolas" w:hAnsi="Consolas"/>
                <w:sz w:val="18"/>
                <w:szCs w:val="18"/>
                <w:shd w:fill="F1EFE6" w:val="clear"/>
              </w:rPr>
              <w:t xml:space="preserve">mock</w:t>
            </w:r>
            <w:r>
              <w:rPr>
                <w:sz w:val="18"/>
                <w:szCs w:val="18"/>
              </w:rPr>
              <w:t xml:space="preserve">, </w:t>
            </w:r>
            <w:r>
              <w:rPr>
                <w:rFonts w:ascii="Consolas" w:cs="Consolas" w:eastAsia="Consolas" w:hAnsi="Consolas"/>
                <w:sz w:val="18"/>
                <w:szCs w:val="18"/>
                <w:shd w:fill="F1EFE6" w:val="clear"/>
              </w:rPr>
              <w:t xml:space="preserve">gemini</w:t>
            </w:r>
            <w:r>
              <w:rPr>
                <w:sz w:val="18"/>
                <w:szCs w:val="18"/>
              </w:rPr>
              <w:t xml:space="preserve">, or </w:t>
            </w:r>
            <w:r>
              <w:rPr>
                <w:rFonts w:ascii="Consolas" w:cs="Consolas" w:eastAsia="Consolas" w:hAnsi="Consolas"/>
                <w:sz w:val="18"/>
                <w:szCs w:val="18"/>
                <w:shd w:fill="F1EFE6" w:val="clear"/>
              </w:rPr>
              <w:t xml:space="preserve">openai</w:t>
            </w:r>
          </w:p>
        </w:tc>
      </w:tr>
      <w:tr>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AI_SUMMARY_PROVIDER</w:t>
            </w:r>
          </w:p>
        </w:tc>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defineString</w:t>
            </w:r>
          </w:p>
        </w:tc>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mock</w:t>
            </w:r>
          </w:p>
        </w:tc>
        <w:tc>
          <w:tcPr>
            <w:tcW w:type="dxa" w:w="2385"/>
            <w:shd w:fill="F6F4EE" w:val="clear"/>
            <w:tcMar>
              <w:top w:type="dxa" w:w="90"/>
              <w:left w:type="dxa" w:w="110"/>
              <w:bottom w:type="dxa" w:w="90"/>
              <w:right w:type="dxa" w:w="110"/>
            </w:tcMar>
          </w:tcPr>
          <w:p>
            <w:pPr>
              <w:spacing w:line="260"/>
            </w:pPr>
            <w:r>
              <w:rPr>
                <w:sz w:val="18"/>
                <w:szCs w:val="18"/>
              </w:rPr>
              <w:t xml:space="preserve">Selects the summarization provider: </w:t>
            </w:r>
            <w:r>
              <w:rPr>
                <w:rFonts w:ascii="Consolas" w:cs="Consolas" w:eastAsia="Consolas" w:hAnsi="Consolas"/>
                <w:sz w:val="18"/>
                <w:szCs w:val="18"/>
                <w:shd w:fill="F1EFE6" w:val="clear"/>
              </w:rPr>
              <w:t xml:space="preserve">mock</w:t>
            </w:r>
            <w:r>
              <w:rPr>
                <w:sz w:val="18"/>
                <w:szCs w:val="18"/>
              </w:rPr>
              <w:t xml:space="preserve">, </w:t>
            </w:r>
            <w:r>
              <w:rPr>
                <w:rFonts w:ascii="Consolas" w:cs="Consolas" w:eastAsia="Consolas" w:hAnsi="Consolas"/>
                <w:sz w:val="18"/>
                <w:szCs w:val="18"/>
                <w:shd w:fill="F1EFE6" w:val="clear"/>
              </w:rPr>
              <w:t xml:space="preserve">gemini</w:t>
            </w:r>
            <w:r>
              <w:rPr>
                <w:sz w:val="18"/>
                <w:szCs w:val="18"/>
              </w:rPr>
              <w:t xml:space="preserve">, or </w:t>
            </w:r>
            <w:r>
              <w:rPr>
                <w:rFonts w:ascii="Consolas" w:cs="Consolas" w:eastAsia="Consolas" w:hAnsi="Consolas"/>
                <w:sz w:val="18"/>
                <w:szCs w:val="18"/>
                <w:shd w:fill="F1EFE6" w:val="clear"/>
              </w:rPr>
              <w:t xml:space="preserve">openai</w:t>
            </w:r>
          </w:p>
        </w:tc>
      </w:tr>
      <w:tr>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GEMINI_MODEL</w:t>
            </w:r>
          </w:p>
        </w:tc>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defineString</w:t>
            </w:r>
          </w:p>
        </w:tc>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gemini-2.5-flash</w:t>
            </w:r>
          </w:p>
        </w:tc>
        <w:tc>
          <w:tcPr>
            <w:tcW w:type="dxa" w:w="2385"/>
            <w:shd w:fill="FFFFFF" w:val="clear"/>
            <w:tcMar>
              <w:top w:type="dxa" w:w="90"/>
              <w:left w:type="dxa" w:w="110"/>
              <w:bottom w:type="dxa" w:w="90"/>
              <w:right w:type="dxa" w:w="110"/>
            </w:tcMar>
          </w:tcPr>
          <w:p>
            <w:pPr>
              <w:spacing w:line="260"/>
            </w:pPr>
            <w:r>
              <w:rPr>
                <w:sz w:val="18"/>
                <w:szCs w:val="18"/>
              </w:rPr>
              <w:t xml:space="preserve">Gemini model id, used for both transcription and summarization when Gemini is selected</w:t>
            </w:r>
          </w:p>
        </w:tc>
      </w:tr>
      <w:tr>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OPENAI_CHAT_MODEL</w:t>
            </w:r>
          </w:p>
        </w:tc>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defineString</w:t>
            </w:r>
          </w:p>
        </w:tc>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gpt-4o-mini</w:t>
            </w:r>
          </w:p>
        </w:tc>
        <w:tc>
          <w:tcPr>
            <w:tcW w:type="dxa" w:w="2385"/>
            <w:shd w:fill="F6F4EE" w:val="clear"/>
            <w:tcMar>
              <w:top w:type="dxa" w:w="90"/>
              <w:left w:type="dxa" w:w="110"/>
              <w:bottom w:type="dxa" w:w="90"/>
              <w:right w:type="dxa" w:w="110"/>
            </w:tcMar>
          </w:tcPr>
          <w:p>
            <w:pPr>
              <w:spacing w:line="260"/>
            </w:pPr>
            <w:r>
              <w:rPr>
                <w:sz w:val="18"/>
                <w:szCs w:val="18"/>
              </w:rPr>
              <w:t xml:space="preserve">OpenAI chat model id, used for speaker classification and summarization when OpenAI is selected (transcription itself always uses OpenAI's Whisper model, which is fixed and not configurable)</w:t>
            </w:r>
          </w:p>
        </w:tc>
      </w:tr>
      <w:tr>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GEMINI_API_KEY</w:t>
            </w:r>
          </w:p>
        </w:tc>
        <w:tc>
          <w:tcPr>
            <w:tcW w:type="dxa" w:w="2385"/>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defineSecret</w:t>
            </w:r>
          </w:p>
        </w:tc>
        <w:tc>
          <w:tcPr>
            <w:tcW w:type="dxa" w:w="2385"/>
            <w:shd w:fill="FFFFFF" w:val="clear"/>
            <w:tcMar>
              <w:top w:type="dxa" w:w="90"/>
              <w:left w:type="dxa" w:w="110"/>
              <w:bottom w:type="dxa" w:w="90"/>
              <w:right w:type="dxa" w:w="110"/>
            </w:tcMar>
          </w:tcPr>
          <w:p>
            <w:pPr>
              <w:spacing w:line="260"/>
            </w:pPr>
            <w:r>
              <w:rPr>
                <w:sz w:val="18"/>
                <w:szCs w:val="18"/>
              </w:rPr>
              <w:t xml:space="preserve">none</w:t>
            </w:r>
          </w:p>
        </w:tc>
        <w:tc>
          <w:tcPr>
            <w:tcW w:type="dxa" w:w="2385"/>
            <w:shd w:fill="FFFFFF" w:val="clear"/>
            <w:tcMar>
              <w:top w:type="dxa" w:w="90"/>
              <w:left w:type="dxa" w:w="110"/>
              <w:bottom w:type="dxa" w:w="90"/>
              <w:right w:type="dxa" w:w="110"/>
            </w:tcMar>
          </w:tcPr>
          <w:p>
            <w:pPr>
              <w:spacing w:line="260"/>
            </w:pPr>
            <w:r>
              <w:rPr>
                <w:sz w:val="18"/>
                <w:szCs w:val="18"/>
              </w:rPr>
              <w:t xml:space="preserve">Required if either provider is set to </w:t>
            </w:r>
            <w:r>
              <w:rPr>
                <w:rFonts w:ascii="Consolas" w:cs="Consolas" w:eastAsia="Consolas" w:hAnsi="Consolas"/>
                <w:sz w:val="18"/>
                <w:szCs w:val="18"/>
                <w:shd w:fill="F1EFE6" w:val="clear"/>
              </w:rPr>
              <w:t xml:space="preserve">gemini</w:t>
            </w:r>
          </w:p>
        </w:tc>
      </w:tr>
      <w:tr>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OPENAI_API_KEY</w:t>
            </w:r>
          </w:p>
        </w:tc>
        <w:tc>
          <w:tcPr>
            <w:tcW w:type="dxa" w:w="2385"/>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defineSecret</w:t>
            </w:r>
          </w:p>
        </w:tc>
        <w:tc>
          <w:tcPr>
            <w:tcW w:type="dxa" w:w="2385"/>
            <w:shd w:fill="F6F4EE" w:val="clear"/>
            <w:tcMar>
              <w:top w:type="dxa" w:w="90"/>
              <w:left w:type="dxa" w:w="110"/>
              <w:bottom w:type="dxa" w:w="90"/>
              <w:right w:type="dxa" w:w="110"/>
            </w:tcMar>
          </w:tcPr>
          <w:p>
            <w:pPr>
              <w:spacing w:line="260"/>
            </w:pPr>
            <w:r>
              <w:rPr>
                <w:sz w:val="18"/>
                <w:szCs w:val="18"/>
              </w:rPr>
              <w:t xml:space="preserve">none</w:t>
            </w:r>
          </w:p>
        </w:tc>
        <w:tc>
          <w:tcPr>
            <w:tcW w:type="dxa" w:w="2385"/>
            <w:shd w:fill="F6F4EE" w:val="clear"/>
            <w:tcMar>
              <w:top w:type="dxa" w:w="90"/>
              <w:left w:type="dxa" w:w="110"/>
              <w:bottom w:type="dxa" w:w="90"/>
              <w:right w:type="dxa" w:w="110"/>
            </w:tcMar>
          </w:tcPr>
          <w:p>
            <w:pPr>
              <w:spacing w:line="260"/>
            </w:pPr>
            <w:r>
              <w:rPr>
                <w:sz w:val="18"/>
                <w:szCs w:val="18"/>
              </w:rPr>
              <w:t xml:space="preserve">Required if either provider is set to </w:t>
            </w:r>
            <w:r>
              <w:rPr>
                <w:rFonts w:ascii="Consolas" w:cs="Consolas" w:eastAsia="Consolas" w:hAnsi="Consolas"/>
                <w:sz w:val="18"/>
                <w:szCs w:val="18"/>
                <w:shd w:fill="F1EFE6" w:val="clear"/>
              </w:rPr>
              <w:t xml:space="preserve">openai</w:t>
            </w:r>
          </w:p>
        </w:tc>
      </w:tr>
    </w:tbl>
    <w:p>
      <w:pPr>
        <w:pStyle w:val="Heading2"/>
        <w:spacing w:after="160" w:before="300"/>
      </w:pPr>
      <w:bookmarkStart w:name="bm_3-1-setting-the-string-parameters_3" w:id="1"/>
      <w:r>
        <w:t xml:space="preserve">3.1 Setting the string parameters</w:t>
      </w:r>
      <w:bookmarkEnd w:id="1"/>
    </w:p>
    <w:p>
      <w:pPr>
        <w:spacing w:after="160" w:line="276"/>
      </w:pPr>
      <w:r>
        <w:t xml:space="preserve">Following the same convention already used elsewhere in this project's Functions deployment (e.g. </w:t>
      </w:r>
      <w:r>
        <w:rPr>
          <w:rFonts w:ascii="Consolas" w:cs="Consolas" w:eastAsia="Consolas" w:hAnsi="Consolas"/>
          <w:shd w:fill="F1EFE6" w:val="clear"/>
        </w:rPr>
        <w:t xml:space="preserve">FIRESTORE_EXPORT_BUCKET</w:t>
      </w:r>
      <w:r>
        <w:t xml:space="preserve">), </w:t>
      </w:r>
      <w:r>
        <w:rPr>
          <w:rFonts w:ascii="Consolas" w:cs="Consolas" w:eastAsia="Consolas" w:hAnsi="Consolas"/>
          <w:shd w:fill="F1EFE6" w:val="clear"/>
        </w:rPr>
        <w:t xml:space="preserve">defineString</w:t>
      </w:r>
      <w:r>
        <w:t xml:space="preserve"> parameters are supplied via an environment file in the </w:t>
      </w:r>
      <w:r>
        <w:rPr>
          <w:rFonts w:ascii="Consolas" w:cs="Consolas" w:eastAsia="Consolas" w:hAnsi="Consolas"/>
          <w:shd w:fill="F1EFE6" w:val="clear"/>
        </w:rPr>
        <w:t xml:space="preserve">functions/</w:t>
      </w:r>
      <w:r>
        <w:t xml:space="preserve"> directory — either a shared </w:t>
      </w:r>
      <w:r>
        <w:rPr>
          <w:rFonts w:ascii="Consolas" w:cs="Consolas" w:eastAsia="Consolas" w:hAnsi="Consolas"/>
          <w:shd w:fill="F1EFE6" w:val="clear"/>
        </w:rPr>
        <w:t xml:space="preserve">functions/.env</w:t>
      </w:r>
      <w:r>
        <w:t xml:space="preserve"> or a project-specific </w:t>
      </w:r>
      <w:r>
        <w:rPr>
          <w:rFonts w:ascii="Consolas" w:cs="Consolas" w:eastAsia="Consolas" w:hAnsi="Consolas"/>
          <w:shd w:fill="F1EFE6" w:val="clear"/>
        </w:rPr>
        <w:t xml:space="preserve">functions/.env.&lt;project-id&gt;</w:t>
      </w:r>
      <w:r>
        <w:t xml:space="preserve"> file, which Firebase Functions v2 loads automatically at deploy time. Add the desired values there, for example: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3C4" w:sz="2"/>
              <w:left w:val="single" w:color="D8D3C4" w:sz="2"/>
              <w:bottom w:val="single" w:color="D8D3C4" w:sz="2"/>
              <w:right w:val="single" w:color="D8D3C4" w:sz="2"/>
            </w:tcBorders>
            <w:shd w:fill="F6F4EE" w:val="clear"/>
            <w:tcMar>
              <w:top w:type="dxa" w:w="140"/>
              <w:left w:type="dxa" w:w="220"/>
              <w:bottom w:type="dxa" w:w="140"/>
              <w:right w:type="dxa" w:w="220"/>
            </w:tcMar>
          </w:tcPr>
          <w:p>
            <w:pPr>
              <w:spacing w:after="0" w:line="240"/>
            </w:pPr>
            <w:r>
              <w:rPr>
                <w:rFonts w:ascii="Consolas" w:cs="Consolas" w:eastAsia="Consolas" w:hAnsi="Consolas"/>
                <w:color w:val="1F2328"/>
                <w:sz w:val="18"/>
                <w:szCs w:val="18"/>
              </w:rPr>
              <w:t xml:space="preserve">AI_SPEECH_PROVIDER=openai</w:t>
            </w:r>
          </w:p>
          <w:p>
            <w:pPr>
              <w:spacing w:after="0" w:line="240"/>
            </w:pPr>
            <w:r>
              <w:rPr>
                <w:rFonts w:ascii="Consolas" w:cs="Consolas" w:eastAsia="Consolas" w:hAnsi="Consolas"/>
                <w:color w:val="1F2328"/>
                <w:sz w:val="18"/>
                <w:szCs w:val="18"/>
              </w:rPr>
              <w:t xml:space="preserve">AI_SUMMARY_PROVIDER=openai</w:t>
            </w:r>
          </w:p>
          <w:p>
            <w:pPr>
              <w:spacing w:after="0" w:line="240"/>
            </w:pPr>
            <w:r>
              <w:rPr>
                <w:rFonts w:ascii="Consolas" w:cs="Consolas" w:eastAsia="Consolas" w:hAnsi="Consolas"/>
                <w:color w:val="1F2328"/>
                <w:sz w:val="18"/>
                <w:szCs w:val="18"/>
              </w:rPr>
              <w:t xml:space="preserve">OPENAI_CHAT_MODEL=gpt-4o-mini</w:t>
            </w:r>
          </w:p>
        </w:tc>
      </w:tr>
    </w:tbl>
    <w:p>
      <w:pPr>
        <w:spacing w:after="160"/>
      </w:pPr>
    </w:p>
    <w:p>
      <w:pPr>
        <w:spacing w:after="160" w:line="276"/>
      </w:pPr>
      <w:r>
        <w:t xml:space="preserve">Leave a variable unset to keep its default (</w:t>
      </w:r>
      <w:r>
        <w:rPr>
          <w:rFonts w:ascii="Consolas" w:cs="Consolas" w:eastAsia="Consolas" w:hAnsi="Consolas"/>
          <w:shd w:fill="F1EFE6" w:val="clear"/>
        </w:rPr>
        <w:t xml:space="preserve">mock</w:t>
      </w:r>
      <w:r>
        <w:t xml:space="preserve"> for the provider selectors).</w:t>
      </w:r>
    </w:p>
    <w:p>
      <w:pPr>
        <w:pStyle w:val="Heading2"/>
        <w:spacing w:after="160" w:before="300"/>
      </w:pPr>
      <w:bookmarkStart w:name="bm_3-2-setting-the-secrets_4" w:id="1"/>
      <w:r>
        <w:t xml:space="preserve">3.2 Setting the secrets</w:t>
      </w:r>
      <w:bookmarkEnd w:id="1"/>
    </w:p>
    <w:p>
      <w:pPr>
        <w:spacing w:after="160" w:line="276"/>
      </w:pPr>
      <w:r>
        <w:t xml:space="preserve">Secrets are never placed in an </w:t>
      </w:r>
      <w:r>
        <w:rPr>
          <w:rFonts w:ascii="Consolas" w:cs="Consolas" w:eastAsia="Consolas" w:hAnsi="Consolas"/>
          <w:shd w:fill="F1EFE6" w:val="clear"/>
        </w:rPr>
        <w:t xml:space="preserve">.env</w:t>
      </w:r>
      <w:r>
        <w:t xml:space="preserve"> file or committed to the repository. Set each one with the Firebase CLI:</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3C4" w:sz="2"/>
              <w:left w:val="single" w:color="D8D3C4" w:sz="2"/>
              <w:bottom w:val="single" w:color="D8D3C4" w:sz="2"/>
              <w:right w:val="single" w:color="D8D3C4" w:sz="2"/>
            </w:tcBorders>
            <w:shd w:fill="F6F4EE" w:val="clear"/>
            <w:tcMar>
              <w:top w:type="dxa" w:w="140"/>
              <w:left w:type="dxa" w:w="220"/>
              <w:bottom w:type="dxa" w:w="140"/>
              <w:right w:type="dxa" w:w="220"/>
            </w:tcMar>
          </w:tcPr>
          <w:p>
            <w:pPr>
              <w:spacing w:after="0" w:line="240"/>
            </w:pPr>
            <w:r>
              <w:rPr>
                <w:rFonts w:ascii="Consolas" w:cs="Consolas" w:eastAsia="Consolas" w:hAnsi="Consolas"/>
                <w:color w:val="1F2328"/>
                <w:sz w:val="18"/>
                <w:szCs w:val="18"/>
              </w:rPr>
              <w:t xml:space="preserve">firebase functions:secrets:set GEMINI_API_KEY</w:t>
            </w:r>
          </w:p>
          <w:p>
            <w:pPr>
              <w:spacing w:after="0" w:line="240"/>
            </w:pPr>
            <w:r>
              <w:rPr>
                <w:rFonts w:ascii="Consolas" w:cs="Consolas" w:eastAsia="Consolas" w:hAnsi="Consolas"/>
                <w:color w:val="1F2328"/>
                <w:sz w:val="18"/>
                <w:szCs w:val="18"/>
              </w:rPr>
              <w:t xml:space="preserve">firebase functions:secrets:set OPENAI_API_KEY</w:t>
            </w:r>
          </w:p>
        </w:tc>
      </w:tr>
    </w:tbl>
    <w:p>
      <w:pPr>
        <w:spacing w:after="160"/>
      </w:pPr>
    </w:p>
    <w:p>
      <w:pPr>
        <w:spacing w:after="160" w:line="276"/>
      </w:pPr>
      <w:r>
        <w:t xml:space="preserve">Each command prompts for the secret value interactively and stores it in Secret Manager. Only set the secret(s) matching the provider(s) you've selected in §3.1 — an unused secret can be left unset.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DF1E7" w:sz="2"/>
              <w:left w:val="single" w:color="B8590A" w:sz="24"/>
              <w:bottom w:val="single" w:color="FDF1E7" w:sz="2"/>
              <w:right w:val="single" w:color="FDF1E7" w:sz="2"/>
            </w:tcBorders>
            <w:shd w:fill="FDF1E7" w:val="clear"/>
            <w:tcMar>
              <w:top w:type="dxa" w:w="140"/>
              <w:left w:type="dxa" w:w="220"/>
              <w:bottom w:type="dxa" w:w="140"/>
              <w:right w:type="dxa" w:w="220"/>
            </w:tcMar>
          </w:tcPr>
          <w:p>
            <w:pPr>
              <w:spacing w:after="60"/>
            </w:pPr>
            <w:r>
              <w:rPr>
                <w:b/>
                <w:bCs/>
                <w:color w:val="B8590A"/>
                <w:sz w:val="19"/>
                <w:szCs w:val="19"/>
              </w:rPr>
              <w:t xml:space="preserve">⚠  WARNING</w:t>
            </w:r>
          </w:p>
          <w:p>
            <w:r>
              <w:rPr>
                <w:sz w:val="20"/>
                <w:szCs w:val="20"/>
              </w:rPr>
              <w:t xml:space="preserve">If a provider is selected in </w:t>
            </w:r>
            <w:r>
              <w:rPr>
                <w:rFonts w:ascii="Consolas" w:cs="Consolas" w:eastAsia="Consolas" w:hAnsi="Consolas"/>
                <w:sz w:val="20"/>
                <w:szCs w:val="20"/>
                <w:shd w:fill="F1EFE6" w:val="clear"/>
              </w:rPr>
              <w:t xml:space="preserve">AI_SPEECH_PROVIDER</w:t>
            </w:r>
            <w:r>
              <w:rPr>
                <w:sz w:val="20"/>
                <w:szCs w:val="20"/>
              </w:rPr>
              <w:t xml:space="preserve">/</w:t>
            </w:r>
            <w:r>
              <w:rPr>
                <w:rFonts w:ascii="Consolas" w:cs="Consolas" w:eastAsia="Consolas" w:hAnsi="Consolas"/>
                <w:sz w:val="20"/>
                <w:szCs w:val="20"/>
                <w:shd w:fill="F1EFE6" w:val="clear"/>
              </w:rPr>
              <w:t xml:space="preserve">AI_SUMMARY_PROVIDER</w:t>
            </w:r>
            <w:r>
              <w:rPr>
                <w:sz w:val="20"/>
                <w:szCs w:val="20"/>
              </w:rPr>
              <w:t xml:space="preserve"> but its matching secret is missing or invalid, the module does </w:t>
            </w:r>
            <w:r>
              <w:rPr>
                <w:b/>
                <w:bCs/>
                <w:sz w:val="20"/>
                <w:szCs w:val="20"/>
              </w:rPr>
              <w:t xml:space="preserve">not</w:t>
            </w:r>
            <w:r>
              <w:rPr>
                <w:sz w:val="20"/>
                <w:szCs w:val="20"/>
              </w:rPr>
              <w:t xml:space="preserve"> fail loudly — it silently falls back to the mock provider, and every session will complete "successfully" with placeholder transcript and summary text. Always verify (§5) after changing this configuration.</w:t>
            </w:r>
          </w:p>
        </w:tc>
      </w:tr>
    </w:tbl>
    <w:p>
      <w:pPr>
        <w:spacing w:after="160"/>
      </w:pPr>
    </w:p>
    <w:p>
      <w:pPr>
        <w:pBdr>
          <w:bottom w:val="single" w:color="C9A227" w:sz="6" w:space="1"/>
        </w:pBdr>
        <w:spacing w:after="200" w:before="200"/>
      </w:pPr>
    </w:p>
    <w:p>
      <w:pPr>
        <w:pStyle w:val="Heading1"/>
        <w:spacing w:after="160" w:before="420"/>
      </w:pPr>
      <w:bookmarkStart w:name="bm_4-deployment-steps_5" w:id="1"/>
      <w:r>
        <w:t xml:space="preserve">4. Deployment Steps</w:t>
      </w:r>
      <w:bookmarkEnd w:id="1"/>
    </w:p>
    <w:p>
      <w:pPr>
        <w:spacing w:after="60" w:before="160"/>
        <w:jc w:val="center"/>
      </w:pPr>
      <w:r>
        <w:drawing>
          <wp:inline distT="0" distB="0" distL="0" distR="0">
            <wp:extent cx="59340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34075" cy="3295650"/>
                    </a:xfrm>
                    <a:prstGeom prst="rect">
                      <a:avLst/>
                    </a:prstGeom>
                  </pic:spPr>
                </pic:pic>
              </a:graphicData>
            </a:graphic>
          </wp:inline>
        </w:drawing>
      </w:r>
    </w:p>
    <w:p>
      <w:pPr>
        <w:spacing w:after="220"/>
        <w:jc w:val="center"/>
      </w:pPr>
      <w:r>
        <w:rPr>
          <w:i/>
          <w:iCs/>
          <w:color w:val="4A4F58"/>
          <w:sz w:val="17"/>
          <w:szCs w:val="17"/>
        </w:rPr>
        <w:t xml:space="preserve">Figure 1. Deployment sequence.</w:t>
      </w:r>
    </w:p>
    <w:p>
      <w:pPr>
        <w:pStyle w:val="ListParagraph"/>
        <w:numPr>
          <w:ilvl w:val="0"/>
          <w:numId w:val="3"/>
        </w:numPr>
        <w:spacing w:after="90" w:line="268"/>
      </w:pPr>
      <w:r>
        <w:t xml:space="preserve">Complete §3 (string parameters in the </w:t>
      </w:r>
      <w:r>
        <w:rPr>
          <w:rFonts w:ascii="Consolas" w:cs="Consolas" w:eastAsia="Consolas" w:hAnsi="Consolas"/>
          <w:shd w:fill="F1EFE6" w:val="clear"/>
        </w:rPr>
        <w:t xml:space="preserve">functions/.env</w:t>
      </w:r>
      <w:r>
        <w:t xml:space="preserve">/</w:t>
      </w:r>
      <w:r>
        <w:rPr>
          <w:rFonts w:ascii="Consolas" w:cs="Consolas" w:eastAsia="Consolas" w:hAnsi="Consolas"/>
          <w:shd w:fill="F1EFE6" w:val="clear"/>
        </w:rPr>
        <w:t xml:space="preserve">functions/.env.&lt;project-id&gt;</w:t>
      </w:r>
      <w:r>
        <w:t xml:space="preserve"> file, secrets via </w:t>
      </w:r>
      <w:r>
        <w:rPr>
          <w:rFonts w:ascii="Consolas" w:cs="Consolas" w:eastAsia="Consolas" w:hAnsi="Consolas"/>
          <w:shd w:fill="F1EFE6" w:val="clear"/>
        </w:rPr>
        <w:t xml:space="preserve">firebase functions:secrets:set</w:t>
      </w:r>
      <w:r>
        <w:t xml:space="preserve">).</w:t>
      </w:r>
    </w:p>
    <w:p>
      <w:pPr>
        <w:pStyle w:val="ListParagraph"/>
        <w:numPr>
          <w:ilvl w:val="0"/>
          <w:numId w:val="3"/>
        </w:numPr>
        <w:spacing w:after="90" w:line="268"/>
      </w:pPr>
      <w:r>
        <w:t xml:space="preserve">If this is the first deployment of the module, or if </w:t>
      </w:r>
      <w:r>
        <w:rPr>
          <w:rFonts w:ascii="Consolas" w:cs="Consolas" w:eastAsia="Consolas" w:hAnsi="Consolas"/>
          <w:shd w:fill="F1EFE6" w:val="clear"/>
        </w:rPr>
        <w:t xml:space="preserve">firestore.rules</w:t>
      </w:r>
      <w:r>
        <w:t xml:space="preserve"> has changed, deploy rules first:</w:t>
      </w:r>
    </w:p>
    <w:p>
      <w:pPr>
        <w:spacing w:after="160" w:line="276"/>
      </w:pPr>
      <w:r>
        <w:rPr>
          <w:rFonts w:ascii="Consolas" w:cs="Consolas" w:eastAsia="Consolas" w:hAnsi="Consolas"/>
          <w:shd w:fill="F1EFE6" w:val="clear"/>
        </w:rPr>
        <w:t xml:space="preserve">`</w:t>
      </w:r>
      <w:r>
        <w:t xml:space="preserve"> firebase deploy --only firestore:rules </w:t>
      </w:r>
      <w:r>
        <w:rPr>
          <w:rFonts w:ascii="Consolas" w:cs="Consolas" w:eastAsia="Consolas" w:hAnsi="Consolas"/>
          <w:shd w:fill="F1EFE6" w:val="clear"/>
        </w:rPr>
        <w:t xml:space="preserve">`</w:t>
      </w:r>
    </w:p>
    <w:p>
      <w:pPr>
        <w:pStyle w:val="ListParagraph"/>
        <w:numPr>
          <w:ilvl w:val="0"/>
          <w:numId w:val="4"/>
        </w:numPr>
        <w:spacing w:after="90" w:line="268"/>
      </w:pPr>
      <w:r>
        <w:t xml:space="preserve">Deploy the Cloud Function:</w:t>
      </w:r>
    </w:p>
    <w:p>
      <w:pPr>
        <w:spacing w:after="160" w:line="276"/>
      </w:pPr>
      <w:r>
        <w:rPr>
          <w:rFonts w:ascii="Consolas" w:cs="Consolas" w:eastAsia="Consolas" w:hAnsi="Consolas"/>
          <w:shd w:fill="F1EFE6" w:val="clear"/>
        </w:rPr>
        <w:t xml:space="preserve">`</w:t>
      </w:r>
      <w:r>
        <w:t xml:space="preserve"> firebase deploy --only functions:processAiSessionJob </w:t>
      </w:r>
      <w:r>
        <w:rPr>
          <w:rFonts w:ascii="Consolas" w:cs="Consolas" w:eastAsia="Consolas" w:hAnsi="Consolas"/>
          <w:shd w:fill="F1EFE6" w:val="clear"/>
        </w:rPr>
        <w:t xml:space="preserve">`</w:t>
      </w:r>
      <w:r>
        <w:t xml:space="preserve"> (Or </w:t>
      </w:r>
      <w:r>
        <w:rPr>
          <w:rFonts w:ascii="Consolas" w:cs="Consolas" w:eastAsia="Consolas" w:hAnsi="Consolas"/>
          <w:shd w:fill="F1EFE6" w:val="clear"/>
        </w:rPr>
        <w:t xml:space="preserve">firebase deploy --only functions</w:t>
      </w:r>
      <w:r>
        <w:t xml:space="preserve"> if deploying alongside other function changes.)</w:t>
      </w:r>
    </w:p>
    <w:p>
      <w:pPr>
        <w:pStyle w:val="ListParagraph"/>
        <w:numPr>
          <w:ilvl w:val="0"/>
          <w:numId w:val="5"/>
        </w:numPr>
        <w:spacing w:after="90" w:line="268"/>
      </w:pPr>
      <w:r>
        <w:t xml:space="preserve">Deploy the application (Next.js pages, server actions):</w:t>
      </w:r>
    </w:p>
    <w:p>
      <w:pPr>
        <w:spacing w:after="160" w:line="276"/>
      </w:pPr>
      <w:r>
        <w:rPr>
          <w:rFonts w:ascii="Consolas" w:cs="Consolas" w:eastAsia="Consolas" w:hAnsi="Consolas"/>
          <w:shd w:fill="F1EFE6" w:val="clear"/>
        </w:rPr>
        <w:t xml:space="preserve">`</w:t>
      </w:r>
      <w:r>
        <w:t xml:space="preserve"> firebase deploy --only apphosting </w:t>
      </w:r>
      <w:r>
        <w:rPr>
          <w:rFonts w:ascii="Consolas" w:cs="Consolas" w:eastAsia="Consolas" w:hAnsi="Consolas"/>
          <w:shd w:fill="F1EFE6" w:val="clear"/>
        </w:rPr>
        <w:t xml:space="preserve">`</w:t>
      </w:r>
      <w:r>
        <w:t xml:space="preserve"> (Or your platform's equivalent app deploy step, per Doc 24.)</w:t>
      </w:r>
    </w:p>
    <w:p>
      <w:pPr>
        <w:pBdr>
          <w:bottom w:val="single" w:color="C9A227" w:sz="6" w:space="1"/>
        </w:pBdr>
        <w:spacing w:after="200" w:before="200"/>
      </w:pPr>
    </w:p>
    <w:p>
      <w:pPr>
        <w:pStyle w:val="Heading1"/>
        <w:spacing w:after="160" w:before="420"/>
      </w:pPr>
      <w:bookmarkStart w:name="bm_5-verifying-the-deployment_6" w:id="1"/>
      <w:r>
        <w:t xml:space="preserve">5. Verifying the Deployment</w:t>
      </w:r>
      <w:bookmarkEnd w:id="1"/>
    </w:p>
    <w:p>
      <w:pPr>
        <w:pStyle w:val="ListParagraph"/>
        <w:numPr>
          <w:ilvl w:val="0"/>
          <w:numId w:val="6"/>
        </w:numPr>
        <w:spacing w:after="90" w:line="268"/>
      </w:pPr>
      <w:r>
        <w:t xml:space="preserve">Sign in with a System Administrator or Founder account and open </w:t>
      </w:r>
      <w:r>
        <w:rPr>
          <w:b/>
          <w:bCs/>
        </w:rPr>
        <w:t xml:space="preserve">AI Intelligence Platform → Settings</w:t>
      </w:r>
      <w:r>
        <w:t xml:space="preserve">.</w:t>
      </w:r>
    </w:p>
    <w:p>
      <w:pPr>
        <w:pStyle w:val="ListParagraph"/>
        <w:numPr>
          <w:ilvl w:val="0"/>
          <w:numId w:val="6"/>
        </w:numPr>
        <w:spacing w:after="90" w:line="268"/>
      </w:pPr>
      <w:r>
        <w:t xml:space="preserve">Record a short test session (a Trainer, System Administrator, or Founder account can do this) — a minute or two is enough.</w:t>
      </w:r>
    </w:p>
    <w:p>
      <w:pPr>
        <w:pStyle w:val="ListParagraph"/>
        <w:numPr>
          <w:ilvl w:val="0"/>
          <w:numId w:val="6"/>
        </w:numPr>
        <w:spacing w:after="90" w:line="268"/>
      </w:pPr>
      <w:r>
        <w:t xml:space="preserve">Once the session reaches </w:t>
      </w:r>
      <w:r>
        <w:rPr>
          <w:b/>
          <w:bCs/>
        </w:rPr>
        <w:t xml:space="preserve">Completed</w:t>
      </w:r>
      <w:r>
        <w:t xml:space="preserve">, reopen </w:t>
      </w:r>
      <w:r>
        <w:rPr>
          <w:b/>
          <w:bCs/>
        </w:rPr>
        <w:t xml:space="preserve">Settings</w:t>
      </w:r>
      <w:r>
        <w:t xml:space="preserve"> and confirm the </w:t>
      </w:r>
      <w:r>
        <w:rPr>
          <w:b/>
          <w:bCs/>
        </w:rPr>
        <w:t xml:space="preserve">Active speech provider</w:t>
      </w:r>
      <w:r>
        <w:t xml:space="preserve"> / </w:t>
      </w:r>
      <w:r>
        <w:rPr>
          <w:b/>
          <w:bCs/>
        </w:rPr>
        <w:t xml:space="preserve">Active summary provider</w:t>
      </w:r>
      <w:r>
        <w:t xml:space="preserve"> badges show the expected provider (</w:t>
      </w:r>
      <w:r>
        <w:rPr>
          <w:rFonts w:ascii="Consolas" w:cs="Consolas" w:eastAsia="Consolas" w:hAnsi="Consolas"/>
          <w:shd w:fill="F1EFE6" w:val="clear"/>
        </w:rPr>
        <w:t xml:space="preserve">openai</w:t>
      </w:r>
      <w:r>
        <w:t xml:space="preserve">/</w:t>
      </w:r>
      <w:r>
        <w:rPr>
          <w:rFonts w:ascii="Consolas" w:cs="Consolas" w:eastAsia="Consolas" w:hAnsi="Consolas"/>
          <w:shd w:fill="F1EFE6" w:val="clear"/>
        </w:rPr>
        <w:t xml:space="preserve">gemini</w:t>
      </w:r>
      <w:r>
        <w:t xml:space="preserve">), not the default demonstration mode.</w:t>
      </w:r>
    </w:p>
    <w:p>
      <w:pPr>
        <w:pStyle w:val="ListParagraph"/>
        <w:numPr>
          <w:ilvl w:val="0"/>
          <w:numId w:val="6"/>
        </w:numPr>
        <w:spacing w:after="90" w:line="268"/>
      </w:pPr>
      <w:r>
        <w:t xml:space="preserve">Open the test session's </w:t>
      </w:r>
      <w:r>
        <w:rPr>
          <w:b/>
          <w:bCs/>
        </w:rPr>
        <w:t xml:space="preserve">Summary</w:t>
      </w:r>
      <w:r>
        <w:t xml:space="preserve"> and </w:t>
      </w:r>
      <w:r>
        <w:rPr>
          <w:b/>
          <w:bCs/>
        </w:rPr>
        <w:t xml:space="preserve">Transcript</w:t>
      </w:r>
      <w:r>
        <w:t xml:space="preserve"> tabs and confirm real content was generated rather than the placeholder sentence describing an unconfigured provider.</w:t>
      </w:r>
    </w:p>
    <w:p>
      <w:pPr>
        <w:pStyle w:val="ListParagraph"/>
        <w:numPr>
          <w:ilvl w:val="0"/>
          <w:numId w:val="6"/>
        </w:numPr>
        <w:spacing w:after="90" w:line="268"/>
      </w:pPr>
      <w:r>
        <w:t xml:space="preserve">If the badges still show demonstration mode or the job failed, see §6 and the debugging checklist in </w:t>
      </w:r>
      <w:r>
        <w:rPr>
          <w:b/>
          <w:bCs/>
          <w:color w:val="1A1D23"/>
        </w:rPr>
        <w:t xml:space="preserve">03 — API &amp; AI Workflow Guide §8</w:t>
      </w:r>
      <w:r>
        <w:t xml:space="preserve">.</w:t>
      </w:r>
    </w:p>
    <w:p>
      <w:pPr>
        <w:pBdr>
          <w:bottom w:val="single" w:color="C9A227" w:sz="6" w:space="1"/>
        </w:pBdr>
        <w:spacing w:after="200" w:before="200"/>
      </w:pPr>
    </w:p>
    <w:p>
      <w:pPr>
        <w:pStyle w:val="Heading1"/>
        <w:spacing w:after="160" w:before="420"/>
      </w:pPr>
      <w:bookmarkStart w:name="bm_6-switching-providers-later-and-rollback_7" w:id="1"/>
      <w:r>
        <w:t xml:space="preserve">6. Switching Providers Later, and Rollback</w:t>
      </w:r>
      <w:bookmarkEnd w:id="1"/>
    </w:p>
    <w:p>
      <w:pPr>
        <w:pStyle w:val="ListParagraph"/>
        <w:numPr>
          <w:ilvl w:val="0"/>
          <w:numId w:val="2"/>
        </w:numPr>
        <w:spacing w:after="90" w:line="268"/>
      </w:pPr>
      <w:r>
        <w:rPr>
          <w:b/>
          <w:bCs/>
        </w:rPr>
        <w:t xml:space="preserve">Changing providers</w:t>
      </w:r>
      <w:r>
        <w:t xml:space="preserve"> is a configuration-only change: update </w:t>
      </w:r>
      <w:r>
        <w:rPr>
          <w:rFonts w:ascii="Consolas" w:cs="Consolas" w:eastAsia="Consolas" w:hAnsi="Consolas"/>
          <w:shd w:fill="F1EFE6" w:val="clear"/>
        </w:rPr>
        <w:t xml:space="preserve">AI_SPEECH_PROVIDER</w:t>
      </w:r>
      <w:r>
        <w:t xml:space="preserve">/</w:t>
      </w:r>
      <w:r>
        <w:rPr>
          <w:rFonts w:ascii="Consolas" w:cs="Consolas" w:eastAsia="Consolas" w:hAnsi="Consolas"/>
          <w:shd w:fill="F1EFE6" w:val="clear"/>
        </w:rPr>
        <w:t xml:space="preserve">AI_SUMMARY_PROVIDER</w:t>
      </w:r>
      <w:r>
        <w:t xml:space="preserve"> (and the matching secret, if not already set) and redeploy the function per §4 steps 1 and 3. No code changes or data migration are involved — provider selection is independent of any previously completed sessions' stored data.</w:t>
      </w:r>
    </w:p>
    <w:p>
      <w:pPr>
        <w:pStyle w:val="ListParagraph"/>
        <w:numPr>
          <w:ilvl w:val="0"/>
          <w:numId w:val="2"/>
        </w:numPr>
        <w:spacing w:after="90" w:line="268"/>
      </w:pPr>
      <w:r>
        <w:rPr>
          <w:b/>
          <w:bCs/>
        </w:rPr>
        <w:t xml:space="preserve">Fast mitigation during an incident</w:t>
      </w:r>
      <w:r>
        <w:t xml:space="preserve"> — if a configured provider is down or misbehaving and you need to stop new sessions from failing while you investigate, set </w:t>
      </w:r>
      <w:r>
        <w:rPr>
          <w:rFonts w:ascii="Consolas" w:cs="Consolas" w:eastAsia="Consolas" w:hAnsi="Consolas"/>
          <w:shd w:fill="F1EFE6" w:val="clear"/>
        </w:rPr>
        <w:t xml:space="preserve">AI_SPEECH_PROVIDER</w:t>
      </w:r>
      <w:r>
        <w:t xml:space="preserve">/</w:t>
      </w:r>
      <w:r>
        <w:rPr>
          <w:rFonts w:ascii="Consolas" w:cs="Consolas" w:eastAsia="Consolas" w:hAnsi="Consolas"/>
          <w:shd w:fill="F1EFE6" w:val="clear"/>
        </w:rPr>
        <w:t xml:space="preserve">AI_SUMMARY_PROVIDER</w:t>
      </w:r>
      <w:r>
        <w:t xml:space="preserve"> back to </w:t>
      </w:r>
      <w:r>
        <w:rPr>
          <w:rFonts w:ascii="Consolas" w:cs="Consolas" w:eastAsia="Consolas" w:hAnsi="Consolas"/>
          <w:shd w:fill="F1EFE6" w:val="clear"/>
        </w:rPr>
        <w:t xml:space="preserve">mock</w:t>
      </w:r>
      <w:r>
        <w:t xml:space="preserve"> (or simply remove the override) and redeploy. Sessions will complete with placeholder content rather than failing outright, which keeps the recording → processing → completed workflow unblocked for trainers while the underlying provider issue is resolved.</w:t>
      </w:r>
    </w:p>
    <w:p>
      <w:pPr>
        <w:pStyle w:val="ListParagraph"/>
        <w:numPr>
          <w:ilvl w:val="0"/>
          <w:numId w:val="2"/>
        </w:numPr>
        <w:spacing w:after="90" w:line="268"/>
      </w:pPr>
      <w:r>
        <w:rPr>
          <w:b/>
          <w:bCs/>
        </w:rPr>
        <w:t xml:space="preserve">Rolling back the function code itself</w:t>
      </w:r>
      <w:r>
        <w:t xml:space="preserve"> follows the same rollback mechanism as any other Cloud Function in this project — see Doc 24 §2.1.</w:t>
      </w:r>
    </w:p>
    <w:p>
      <w:pPr>
        <w:pBdr>
          <w:bottom w:val="single" w:color="C9A227" w:sz="6" w:space="1"/>
        </w:pBdr>
        <w:spacing w:after="200" w:before="200"/>
      </w:pPr>
    </w:p>
    <w:p>
      <w:pPr>
        <w:pStyle w:val="Heading1"/>
        <w:spacing w:after="160" w:before="420"/>
      </w:pPr>
      <w:bookmarkStart w:name="bm_7-post-deployment-checklist_8" w:id="1"/>
      <w:r>
        <w:t xml:space="preserve">7. Post-Deployment Checklist</w:t>
      </w:r>
      <w:bookmarkEnd w:id="1"/>
    </w:p>
    <w:p>
      <w:pPr>
        <w:pStyle w:val="ListParagraph"/>
        <w:numPr>
          <w:ilvl w:val="0"/>
          <w:numId w:val="2"/>
        </w:numPr>
        <w:spacing w:after="90" w:line="268"/>
      </w:pPr>
      <w:r>
        <w:t xml:space="preserve">[ ] </w:t>
      </w:r>
      <w:r>
        <w:rPr>
          <w:rFonts w:ascii="Consolas" w:cs="Consolas" w:eastAsia="Consolas" w:hAnsi="Consolas"/>
          <w:shd w:fill="F1EFE6" w:val="clear"/>
        </w:rPr>
        <w:t xml:space="preserve">functions/.env</w:t>
      </w:r>
      <w:r>
        <w:t xml:space="preserve">/</w:t>
      </w:r>
      <w:r>
        <w:rPr>
          <w:rFonts w:ascii="Consolas" w:cs="Consolas" w:eastAsia="Consolas" w:hAnsi="Consolas"/>
          <w:shd w:fill="F1EFE6" w:val="clear"/>
        </w:rPr>
        <w:t xml:space="preserve">functions/.env.&lt;project-id&gt;</w:t>
      </w:r>
      <w:r>
        <w:t xml:space="preserve"> contains the intended </w:t>
      </w:r>
      <w:r>
        <w:rPr>
          <w:rFonts w:ascii="Consolas" w:cs="Consolas" w:eastAsia="Consolas" w:hAnsi="Consolas"/>
          <w:shd w:fill="F1EFE6" w:val="clear"/>
        </w:rPr>
        <w:t xml:space="preserve">AI_SPEECH_PROVIDER</w:t>
      </w:r>
      <w:r>
        <w:t xml:space="preserve">/</w:t>
      </w:r>
      <w:r>
        <w:rPr>
          <w:rFonts w:ascii="Consolas" w:cs="Consolas" w:eastAsia="Consolas" w:hAnsi="Consolas"/>
          <w:shd w:fill="F1EFE6" w:val="clear"/>
        </w:rPr>
        <w:t xml:space="preserve">AI_SUMMARY_PROVIDER</w:t>
      </w:r>
      <w:r>
        <w:t xml:space="preserve">/model values (or is intentionally left at </w:t>
      </w:r>
      <w:r>
        <w:rPr>
          <w:rFonts w:ascii="Consolas" w:cs="Consolas" w:eastAsia="Consolas" w:hAnsi="Consolas"/>
          <w:shd w:fill="F1EFE6" w:val="clear"/>
        </w:rPr>
        <w:t xml:space="preserve">mock</w:t>
      </w:r>
      <w:r>
        <w:t xml:space="preserve"> for demonstration use)</w:t>
      </w:r>
    </w:p>
    <w:p>
      <w:pPr>
        <w:pStyle w:val="ListParagraph"/>
        <w:numPr>
          <w:ilvl w:val="0"/>
          <w:numId w:val="2"/>
        </w:numPr>
        <w:spacing w:after="90" w:line="268"/>
      </w:pPr>
      <w:r>
        <w:t xml:space="preserve">[ ] Matching secret(s) set via </w:t>
      </w:r>
      <w:r>
        <w:rPr>
          <w:rFonts w:ascii="Consolas" w:cs="Consolas" w:eastAsia="Consolas" w:hAnsi="Consolas"/>
          <w:shd w:fill="F1EFE6" w:val="clear"/>
        </w:rPr>
        <w:t xml:space="preserve">firebase functions:secrets:set</w:t>
      </w:r>
      <w:r>
        <w:t xml:space="preserve"> for any non-mock provider selected</w:t>
      </w:r>
    </w:p>
    <w:p>
      <w:pPr>
        <w:pStyle w:val="ListParagraph"/>
        <w:numPr>
          <w:ilvl w:val="0"/>
          <w:numId w:val="2"/>
        </w:numPr>
        <w:spacing w:after="90" w:line="268"/>
      </w:pPr>
      <w:r>
        <w:t xml:space="preserve">[ ] </w:t>
      </w:r>
      <w:r>
        <w:rPr>
          <w:rFonts w:ascii="Consolas" w:cs="Consolas" w:eastAsia="Consolas" w:hAnsi="Consolas"/>
          <w:shd w:fill="F1EFE6" w:val="clear"/>
        </w:rPr>
        <w:t xml:space="preserve">firestore:rules</w:t>
      </w:r>
      <w:r>
        <w:t xml:space="preserve"> deployed and current</w:t>
      </w:r>
    </w:p>
    <w:p>
      <w:pPr>
        <w:pStyle w:val="ListParagraph"/>
        <w:numPr>
          <w:ilvl w:val="0"/>
          <w:numId w:val="2"/>
        </w:numPr>
        <w:spacing w:after="90" w:line="268"/>
      </w:pPr>
      <w:r>
        <w:t xml:space="preserve">[ ] </w:t>
      </w:r>
      <w:r>
        <w:rPr>
          <w:rFonts w:ascii="Consolas" w:cs="Consolas" w:eastAsia="Consolas" w:hAnsi="Consolas"/>
          <w:shd w:fill="F1EFE6" w:val="clear"/>
        </w:rPr>
        <w:t xml:space="preserve">processAiSessionJob</w:t>
      </w:r>
      <w:r>
        <w:t xml:space="preserve"> deployed</w:t>
      </w:r>
    </w:p>
    <w:p>
      <w:pPr>
        <w:pStyle w:val="ListParagraph"/>
        <w:numPr>
          <w:ilvl w:val="0"/>
          <w:numId w:val="2"/>
        </w:numPr>
        <w:spacing w:after="90" w:line="268"/>
      </w:pPr>
      <w:r>
        <w:t xml:space="preserve">[ ] Application deployed</w:t>
      </w:r>
    </w:p>
    <w:p>
      <w:pPr>
        <w:pStyle w:val="ListParagraph"/>
        <w:numPr>
          <w:ilvl w:val="0"/>
          <w:numId w:val="2"/>
        </w:numPr>
        <w:spacing w:after="90" w:line="268"/>
      </w:pPr>
      <w:r>
        <w:t xml:space="preserve">[ ] A test session was recorded end-to-end and reached </w:t>
      </w:r>
      <w:r>
        <w:rPr>
          <w:b/>
          <w:bCs/>
        </w:rPr>
        <w:t xml:space="preserve">Completed</w:t>
      </w:r>
      <w:r>
        <w:t xml:space="preserve"> with real (non-placeholder) content, if a real provider was configured</w:t>
      </w:r>
    </w:p>
    <w:p>
      <w:pPr>
        <w:pStyle w:val="ListParagraph"/>
        <w:numPr>
          <w:ilvl w:val="0"/>
          <w:numId w:val="2"/>
        </w:numPr>
        <w:spacing w:after="90" w:line="268"/>
      </w:pPr>
      <w:r>
        <w:t xml:space="preserve">[ ] Settings screen provider badges match the intended configuration</w:t>
      </w:r>
    </w:p>
    <w:p>
      <w:pPr>
        <w:pStyle w:val="ListParagraph"/>
        <w:numPr>
          <w:ilvl w:val="0"/>
          <w:numId w:val="2"/>
        </w:numPr>
        <w:spacing w:after="90" w:line="268"/>
      </w:pPr>
      <w:r>
        <w:t xml:space="preserve">[ ] Relevant staff informed of which provider is active, per the </w:t>
      </w:r>
      <w:r>
        <w:rPr>
          <w:b/>
          <w:bCs/>
          <w:color w:val="1A1D23"/>
        </w:rPr>
        <w:t xml:space="preserve">Operations Manual</w:t>
      </w:r>
    </w:p>
    <w:sectPr>
      <w:headerReference w:type="default" r:id="rId7"/>
      <w:headerReference w:type="first" r:id="rId8"/>
      <w:footerReference w:type="default" r:id="rId9"/>
      <w:footerReference w:type="first" r:id="rId10"/>
      <w:pgSz w:w="12240" w:h="15840" w:orient="portrait"/>
      <w:pgMar w:top="1440" w:right="1350" w:bottom="1440" w:left="13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4" w:sz="4" w:space="4"/>
      </w:pBdr>
      <w:tabs>
        <w:tab w:val="right" w:pos="9026"/>
      </w:tabs>
    </w:pPr>
    <w:r>
      <w:rPr>
        <w:color w:val="4A4F58"/>
        <w:sz w:val="14"/>
        <w:szCs w:val="14"/>
      </w:rPr>
      <w:t xml:space="preserve">CONFIDENTIAL — Prepared exclusively for TerraNext Global Ventures</w:t>
    </w:r>
    <w:r>
      <w:t xml:space="preserve">	</w:t>
    </w:r>
    <w:r>
      <w:rPr>
        <w:color w:val="4A4F58"/>
        <w:sz w:val="14"/>
        <w:szCs w:val="14"/>
      </w:rPr>
      <w:t xml:space="preserve">Page </w:t>
    </w:r>
    <w:r>
      <w:rPr>
        <w:color w:val="4A4F58"/>
        <w:sz w:val="14"/>
        <w:szCs w:val="14"/>
      </w:rPr>
      <w:fldChar w:fldCharType="begin"/>
      <w:instrText xml:space="preserve">PAGE</w:instrText>
      <w:fldChar w:fldCharType="separate"/>
      <w:fldChar w:fldCharType="end"/>
    </w:r>
    <w:r>
      <w:rPr>
        <w:color w:val="4A4F58"/>
        <w:sz w:val="14"/>
        <w:szCs w:val="14"/>
      </w:rPr>
      <w:t xml:space="preserve"> of </w:t>
    </w:r>
    <w:r>
      <w:rPr>
        <w:color w:val="4A4F58"/>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jc w:val="right"/>
    </w:pPr>
    <w:r>
      <w:rPr>
        <w:b/>
        <w:bCs/>
        <w:color w:val="1A1D23"/>
        <w:sz w:val="16"/>
        <w:szCs w:val="16"/>
      </w:rPr>
      <w:t xml:space="preserve">AI Intelligence Platform </w:t>
    </w:r>
    <w:r>
      <w:rPr>
        <w:color w:val="4A4F58"/>
        <w:sz w:val="16"/>
        <w:szCs w:val="16"/>
      </w:rPr>
      <w:t xml:space="preserve">— Installation &amp; Deployment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6"/>
      </w:pBdr>
      <w:spacing w:after="180" w:before="420"/>
    </w:pPr>
    <w:rPr>
      <w:rFonts w:ascii="Calibri" w:cs="Calibri" w:eastAsia="Calibri" w:hAnsi="Calibri"/>
      <w:b/>
      <w:bCs/>
      <w:color w:val="1A1D23"/>
      <w:sz w:val="34"/>
      <w:szCs w:val="34"/>
    </w:rPr>
  </w:style>
  <w:style w:type="paragraph" w:styleId="Heading2">
    <w:name w:val="Heading 2"/>
    <w:basedOn w:val="Normal"/>
    <w:next w:val="Normal"/>
    <w:qFormat/>
    <w:pPr>
      <w:spacing w:after="140" w:before="320"/>
    </w:pPr>
    <w:rPr>
      <w:rFonts w:ascii="Calibri" w:cs="Calibri" w:eastAsia="Calibri" w:hAnsi="Calibri"/>
      <w:b/>
      <w:bCs/>
      <w:color w:val="1A1D23"/>
      <w:sz w:val="27"/>
      <w:szCs w:val="27"/>
    </w:rPr>
  </w:style>
  <w:style w:type="paragraph" w:styleId="Heading3">
    <w:name w:val="Heading 3"/>
    <w:basedOn w:val="Normal"/>
    <w:next w:val="Normal"/>
    <w:qFormat/>
    <w:pPr>
      <w:spacing w:after="100" w:before="260"/>
    </w:pPr>
    <w:rPr>
      <w:rFonts w:ascii="Calibri" w:cs="Calibri" w:eastAsia="Calibri" w:hAnsi="Calibri"/>
      <w:b/>
      <w:bCs/>
      <w:color w:val="8A6D1D"/>
      <w:sz w:val="23"/>
      <w:szCs w:val="23"/>
    </w:rPr>
  </w:style>
  <w:style w:type="paragraph" w:styleId="Heading4">
    <w:name w:val="Heading 4"/>
    <w:basedOn w:val="Normal"/>
    <w:next w:val="Normal"/>
    <w:qFormat/>
    <w:pPr>
      <w:spacing w:after="90" w:before="200"/>
    </w:pPr>
    <w:rPr>
      <w:rFonts w:ascii="Calibri" w:cs="Calibri" w:eastAsia="Calibri" w:hAnsi="Calibri"/>
      <w:b/>
      <w:bCs/>
      <w:i/>
      <w:iCs/>
      <w:color w:val="4A4F58"/>
      <w:sz w:val="21"/>
      <w:szCs w:val="21"/>
    </w:rPr>
  </w:style>
  <w:style w:type="paragraph" w:styleId="Hyperlink">
    <w:name w:val="Hyperlink"/>
    <w:basedOn w:val="Normal"/>
    <w:rPr>
      <w:color w:val="C9A227"/>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29f408313f5148671063c40a749ab4ece2398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Intelligence Platform — Installation &amp; Deployment Guide</dc:title>
  <dc:creator>TerraNext Global Ventures</dc:creator>
  <dc:description>AI Intelligence Platform documentation, prepared for TerraNext Global Ventures.</dc:description>
  <cp:lastModifiedBy>Un-named</cp:lastModifiedBy>
  <cp:revision>1</cp:revision>
  <dcterms:created xsi:type="dcterms:W3CDTF">2026-08-02T14:23:17.193Z</dcterms:created>
  <dcterms:modified xsi:type="dcterms:W3CDTF">2026-08-02T14:23:17.193Z</dcterms:modified>
</cp:coreProperties>
</file>

<file path=docProps/custom.xml><?xml version="1.0" encoding="utf-8"?>
<Properties xmlns="http://schemas.openxmlformats.org/officeDocument/2006/custom-properties" xmlns:vt="http://schemas.openxmlformats.org/officeDocument/2006/docPropsVTypes"/>
</file>