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rPr>
          <w:trHeight w:val="12800" w:hRule="exact"/>
        </w:trPr>
        <w:tc>
          <w:tcPr>
            <w:tcW w:type="dxa" w:w="9540"/>
            <w:shd w:fill="1A1D23" w:val="clear"/>
            <w:tcMar>
              <w:top w:type="dxa" w:w="200"/>
              <w:left w:type="dxa" w:w="500"/>
              <w:bottom w:type="dxa" w:w="200"/>
              <w:right w:type="dxa" w:w="500"/>
            </w:tcMar>
            <w:vAlign w:val="center"/>
          </w:tcPr>
          <w:p>
            <w:pPr>
              <w:spacing w:after="900"/>
            </w:pPr>
          </w:p>
          <w:p>
            <w:pPr>
              <w:spacing w:after="120"/>
              <w:jc w:val="center"/>
            </w:pPr>
            <w:r>
              <w:rPr>
                <w:rFonts w:ascii="Calibri" w:cs="Calibri" w:eastAsia="Calibri" w:hAnsi="Calibri"/>
                <w:b/>
                <w:bCs/>
                <w:color w:val="C9A227"/>
                <w:spacing w:val="20"/>
                <w:sz w:val="22"/>
                <w:szCs w:val="22"/>
              </w:rPr>
              <w:t xml:space="preserve">TERRANEXT GLOBAL VENTURES</w:t>
            </w:r>
          </w:p>
          <w:p>
            <w:pPr>
              <w:spacing w:after="60"/>
              <w:jc w:val="center"/>
            </w:pPr>
            <w:r>
              <w:rPr>
                <w:rFonts w:ascii="Calibri" w:cs="Calibri" w:eastAsia="Calibri" w:hAnsi="Calibri"/>
                <w:b/>
                <w:bCs/>
                <w:color w:val="FFFFFF"/>
                <w:sz w:val="62"/>
                <w:szCs w:val="62"/>
              </w:rPr>
              <w:t xml:space="preserve">AI Intelligence Platform</w:t>
            </w:r>
          </w:p>
          <w:p>
            <w:pPr>
              <w:spacing w:after="700"/>
              <w:jc w:val="center"/>
            </w:pPr>
            <w:r>
              <w:rPr>
                <w:rFonts w:ascii="Calibri" w:cs="Calibri" w:eastAsia="Calibri" w:hAnsi="Calibri"/>
                <w:b/>
                <w:bCs/>
                <w:color w:val="D8B64C"/>
                <w:sz w:val="34"/>
                <w:szCs w:val="34"/>
              </w:rPr>
              <w:t xml:space="preserve">Operations Manual</w:t>
            </w:r>
          </w:p>
          <w:p>
            <w:pPr>
              <w:pBdr>
                <w:top w:val="single" w:color="C9A227" w:sz="4" w:space="8"/>
              </w:pBdr>
              <w:spacing w:after="40"/>
              <w:jc w:val="center"/>
            </w:pPr>
            <w:r>
              <w:rPr>
                <w:color w:val="FFFFFF"/>
                <w:sz w:val="20"/>
                <w:szCs w:val="20"/>
              </w:rPr>
              <w:t xml:space="preserve">Document 7 of 8  ·  Version 1.0</w:t>
            </w:r>
          </w:p>
          <w:p>
            <w:pPr>
              <w:spacing w:after="700"/>
              <w:jc w:val="center"/>
            </w:pPr>
            <w:r>
              <w:rPr>
                <w:color w:val="B9BCC2"/>
                <w:sz w:val="20"/>
                <w:szCs w:val="20"/>
              </w:rPr>
              <w:t xml:space="preserve">August 2, 2026</w:t>
            </w:r>
          </w:p>
          <w:p>
            <w:pPr>
              <w:jc w:val="center"/>
            </w:pPr>
            <w:r>
              <w:rPr>
                <w:i/>
                <w:iCs/>
                <w:color w:val="8A8E97"/>
                <w:sz w:val="18"/>
                <w:szCs w:val="18"/>
              </w:rPr>
              <w:t xml:space="preserve">CONFIDENTIAL — Prepared exclusively for TerraNext Global Ventures</w:t>
            </w:r>
          </w:p>
        </w:tc>
      </w:tr>
    </w:tbl>
    <w:p>
      <w:r>
        <w:br w:type="page"/>
      </w:r>
    </w:p>
    <w:p>
      <w:pPr>
        <w:pStyle w:val="Heading1"/>
        <w:spacing w:after="160" w:before="420"/>
      </w:pPr>
      <w:bookmarkStart w:name="bm_document-control_10" w:id="1"/>
      <w:r>
        <w:t xml:space="preserve">Document Control</w:t>
      </w:r>
      <w:bookmarkEnd w:id="1"/>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6940"/>
      </w:tblGrid>
      <w:tr>
        <w:tc>
          <w:tcPr>
            <w:tcW w:type="dxa" w:w="2600"/>
            <w:shd w:fill="F6F4EE" w:val="clear"/>
            <w:tcMar>
              <w:top w:type="dxa" w:w="100"/>
              <w:left w:type="dxa" w:w="150"/>
              <w:bottom w:type="dxa" w:w="100"/>
              <w:right w:type="dxa" w:w="150"/>
            </w:tcMar>
          </w:tcPr>
          <w:p>
            <w:r>
              <w:rPr>
                <w:b/>
                <w:bCs/>
                <w:sz w:val="20"/>
                <w:szCs w:val="20"/>
              </w:rPr>
              <w:t xml:space="preserve">Document Title</w:t>
            </w:r>
          </w:p>
        </w:tc>
        <w:tc>
          <w:tcPr>
            <w:tcW w:type="dxa" w:w="6940"/>
            <w:tcMar>
              <w:top w:type="dxa" w:w="100"/>
              <w:left w:type="dxa" w:w="150"/>
              <w:bottom w:type="dxa" w:w="100"/>
              <w:right w:type="dxa" w:w="150"/>
            </w:tcMar>
          </w:tcPr>
          <w:p>
            <w:r>
              <w:rPr>
                <w:sz w:val="20"/>
                <w:szCs w:val="20"/>
              </w:rPr>
              <w:t xml:space="preserve">AI Intelligence Platform — Operations Manual</w:t>
            </w:r>
          </w:p>
        </w:tc>
      </w:tr>
      <w:tr>
        <w:tc>
          <w:tcPr>
            <w:tcW w:type="dxa" w:w="2600"/>
            <w:shd w:fill="F6F4EE" w:val="clear"/>
            <w:tcMar>
              <w:top w:type="dxa" w:w="100"/>
              <w:left w:type="dxa" w:w="150"/>
              <w:bottom w:type="dxa" w:w="100"/>
              <w:right w:type="dxa" w:w="150"/>
            </w:tcMar>
          </w:tcPr>
          <w:p>
            <w:r>
              <w:rPr>
                <w:b/>
                <w:bCs/>
                <w:sz w:val="20"/>
                <w:szCs w:val="20"/>
              </w:rPr>
              <w:t xml:space="preserve">System</w:t>
            </w:r>
          </w:p>
        </w:tc>
        <w:tc>
          <w:tcPr>
            <w:tcW w:type="dxa" w:w="6940"/>
            <w:tcMar>
              <w:top w:type="dxa" w:w="100"/>
              <w:left w:type="dxa" w:w="150"/>
              <w:bottom w:type="dxa" w:w="100"/>
              <w:right w:type="dxa" w:w="150"/>
            </w:tcMar>
          </w:tcPr>
          <w:p>
            <w:r>
              <w:rPr>
                <w:sz w:val="20"/>
                <w:szCs w:val="20"/>
              </w:rPr>
              <w:t xml:space="preserve">TerraNext Business OS</w:t>
            </w:r>
          </w:p>
        </w:tc>
      </w:tr>
      <w:tr>
        <w:tc>
          <w:tcPr>
            <w:tcW w:type="dxa" w:w="2600"/>
            <w:shd w:fill="F6F4EE" w:val="clear"/>
            <w:tcMar>
              <w:top w:type="dxa" w:w="100"/>
              <w:left w:type="dxa" w:w="150"/>
              <w:bottom w:type="dxa" w:w="100"/>
              <w:right w:type="dxa" w:w="150"/>
            </w:tcMar>
          </w:tcPr>
          <w:p>
            <w:r>
              <w:rPr>
                <w:b/>
                <w:bCs/>
                <w:sz w:val="20"/>
                <w:szCs w:val="20"/>
              </w:rPr>
              <w:t xml:space="preserve">Classification</w:t>
            </w:r>
          </w:p>
        </w:tc>
        <w:tc>
          <w:tcPr>
            <w:tcW w:type="dxa" w:w="6940"/>
            <w:tcMar>
              <w:top w:type="dxa" w:w="100"/>
              <w:left w:type="dxa" w:w="150"/>
              <w:bottom w:type="dxa" w:w="100"/>
              <w:right w:type="dxa" w:w="150"/>
            </w:tcMar>
          </w:tcPr>
          <w:p>
            <w:r>
              <w:rPr>
                <w:sz w:val="20"/>
                <w:szCs w:val="20"/>
              </w:rPr>
              <w:t xml:space="preserve">Confidential — Client Delivery</w:t>
            </w:r>
          </w:p>
        </w:tc>
      </w:tr>
      <w:tr>
        <w:tc>
          <w:tcPr>
            <w:tcW w:type="dxa" w:w="2600"/>
            <w:shd w:fill="F6F4EE" w:val="clear"/>
            <w:tcMar>
              <w:top w:type="dxa" w:w="100"/>
              <w:left w:type="dxa" w:w="150"/>
              <w:bottom w:type="dxa" w:w="100"/>
              <w:right w:type="dxa" w:w="150"/>
            </w:tcMar>
          </w:tcPr>
          <w:p>
            <w:r>
              <w:rPr>
                <w:b/>
                <w:bCs/>
                <w:sz w:val="20"/>
                <w:szCs w:val="20"/>
              </w:rPr>
              <w:t xml:space="preserve">Prepared For</w:t>
            </w:r>
          </w:p>
        </w:tc>
        <w:tc>
          <w:tcPr>
            <w:tcW w:type="dxa" w:w="6940"/>
            <w:tcMar>
              <w:top w:type="dxa" w:w="100"/>
              <w:left w:type="dxa" w:w="150"/>
              <w:bottom w:type="dxa" w:w="100"/>
              <w:right w:type="dxa" w:w="150"/>
            </w:tcMar>
          </w:tcPr>
          <w:p>
            <w:r>
              <w:rPr>
                <w:sz w:val="20"/>
                <w:szCs w:val="20"/>
              </w:rPr>
              <w:t xml:space="preserve">TerraNext Global Ventures</w:t>
            </w:r>
          </w:p>
        </w:tc>
      </w:tr>
      <w:tr>
        <w:tc>
          <w:tcPr>
            <w:tcW w:type="dxa" w:w="2600"/>
            <w:shd w:fill="F6F4EE" w:val="clear"/>
            <w:tcMar>
              <w:top w:type="dxa" w:w="100"/>
              <w:left w:type="dxa" w:w="150"/>
              <w:bottom w:type="dxa" w:w="100"/>
              <w:right w:type="dxa" w:w="150"/>
            </w:tcMar>
          </w:tcPr>
          <w:p>
            <w:r>
              <w:rPr>
                <w:b/>
                <w:bCs/>
                <w:sz w:val="20"/>
                <w:szCs w:val="20"/>
              </w:rPr>
              <w:t xml:space="preserve">Prepared By</w:t>
            </w:r>
          </w:p>
        </w:tc>
        <w:tc>
          <w:tcPr>
            <w:tcW w:type="dxa" w:w="6940"/>
            <w:tcMar>
              <w:top w:type="dxa" w:w="100"/>
              <w:left w:type="dxa" w:w="150"/>
              <w:bottom w:type="dxa" w:w="100"/>
              <w:right w:type="dxa" w:w="150"/>
            </w:tcMar>
          </w:tcPr>
          <w:p>
            <w:r>
              <w:rPr>
                <w:sz w:val="20"/>
                <w:szCs w:val="20"/>
              </w:rPr>
              <w:t xml:space="preserve">Engineering Documentation Team</w:t>
            </w:r>
          </w:p>
        </w:tc>
      </w:tr>
      <w:tr>
        <w:tc>
          <w:tcPr>
            <w:tcW w:type="dxa" w:w="2600"/>
            <w:shd w:fill="F6F4EE" w:val="clear"/>
            <w:tcMar>
              <w:top w:type="dxa" w:w="100"/>
              <w:left w:type="dxa" w:w="150"/>
              <w:bottom w:type="dxa" w:w="100"/>
              <w:right w:type="dxa" w:w="150"/>
            </w:tcMar>
          </w:tcPr>
          <w:p>
            <w:r>
              <w:rPr>
                <w:b/>
                <w:bCs/>
                <w:sz w:val="20"/>
                <w:szCs w:val="20"/>
              </w:rPr>
              <w:t xml:space="preserve">Status</w:t>
            </w:r>
          </w:p>
        </w:tc>
        <w:tc>
          <w:tcPr>
            <w:tcW w:type="dxa" w:w="6940"/>
            <w:tcMar>
              <w:top w:type="dxa" w:w="100"/>
              <w:left w:type="dxa" w:w="150"/>
              <w:bottom w:type="dxa" w:w="100"/>
              <w:right w:type="dxa" w:w="150"/>
            </w:tcMar>
          </w:tcPr>
          <w:p>
            <w:r>
              <w:rPr>
                <w:sz w:val="20"/>
                <w:szCs w:val="20"/>
              </w:rPr>
              <w:t xml:space="preserve">Final</w:t>
            </w:r>
          </w:p>
        </w:tc>
      </w:tr>
      <w:tr>
        <w:tc>
          <w:tcPr>
            <w:tcW w:type="dxa" w:w="2600"/>
            <w:shd w:fill="F6F4EE" w:val="clear"/>
            <w:tcMar>
              <w:top w:type="dxa" w:w="100"/>
              <w:left w:type="dxa" w:w="150"/>
              <w:bottom w:type="dxa" w:w="100"/>
              <w:right w:type="dxa" w:w="150"/>
            </w:tcMar>
          </w:tcPr>
          <w:p>
            <w:r>
              <w:rPr>
                <w:b/>
                <w:bCs/>
                <w:sz w:val="20"/>
                <w:szCs w:val="20"/>
              </w:rPr>
              <w:t xml:space="preserve">Related Documents</w:t>
            </w:r>
          </w:p>
        </w:tc>
        <w:tc>
          <w:tcPr>
            <w:tcW w:type="dxa" w:w="6940"/>
            <w:tcMar>
              <w:top w:type="dxa" w:w="100"/>
              <w:left w:type="dxa" w:w="150"/>
              <w:bottom w:type="dxa" w:w="100"/>
              <w:right w:type="dxa" w:w="150"/>
            </w:tcMar>
          </w:tcPr>
          <w:p>
            <w:r>
              <w:rPr>
                <w:sz w:val="20"/>
                <w:szCs w:val="20"/>
              </w:rPr>
              <w:t xml:space="preserve">Administrator Guide; User Guide; Installation &amp; Deployment Guide</w:t>
            </w:r>
          </w:p>
        </w:tc>
      </w:tr>
    </w:tbl>
    <w:p>
      <w:pPr>
        <w:spacing w:before="300"/>
      </w:pPr>
    </w:p>
    <w:p>
      <w:pPr>
        <w:pStyle w:val="Heading1"/>
        <w:spacing w:after="160" w:before="420"/>
      </w:pPr>
      <w:bookmarkStart w:name="bm_version-history_11" w:id="1"/>
      <w:r>
        <w:t xml:space="preserve">Version History</w:t>
      </w:r>
      <w:bookmarkEnd w:id="1"/>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3940"/>
      </w:tblGrid>
      <w:tr>
        <w:trPr>
          <w:tblHeader/>
        </w:trPr>
        <w:tc>
          <w:tcPr>
            <w:tcW w:type="dxa" w:w="1200"/>
            <w:shd w:fill="1A1D23" w:val="clear"/>
            <w:tcMar>
              <w:top w:type="dxa" w:w="100"/>
              <w:left w:type="dxa" w:w="120"/>
              <w:bottom w:type="dxa" w:w="100"/>
              <w:right w:type="dxa" w:w="120"/>
            </w:tcMar>
          </w:tcPr>
          <w:p>
            <w:r>
              <w:rPr>
                <w:b/>
                <w:bCs/>
                <w:color w:val="FFFFFF"/>
                <w:sz w:val="19"/>
                <w:szCs w:val="19"/>
              </w:rPr>
              <w:t xml:space="preserve">Version</w:t>
            </w:r>
          </w:p>
        </w:tc>
        <w:tc>
          <w:tcPr>
            <w:tcW w:type="dxa" w:w="1600"/>
            <w:shd w:fill="1A1D23" w:val="clear"/>
            <w:tcMar>
              <w:top w:type="dxa" w:w="100"/>
              <w:left w:type="dxa" w:w="120"/>
              <w:bottom w:type="dxa" w:w="100"/>
              <w:right w:type="dxa" w:w="120"/>
            </w:tcMar>
          </w:tcPr>
          <w:p>
            <w:r>
              <w:rPr>
                <w:b/>
                <w:bCs/>
                <w:color w:val="FFFFFF"/>
                <w:sz w:val="19"/>
                <w:szCs w:val="19"/>
              </w:rPr>
              <w:t xml:space="preserve">Date</w:t>
            </w:r>
          </w:p>
        </w:tc>
        <w:tc>
          <w:tcPr>
            <w:tcW w:type="dxa" w:w="2800"/>
            <w:shd w:fill="1A1D23" w:val="clear"/>
            <w:tcMar>
              <w:top w:type="dxa" w:w="100"/>
              <w:left w:type="dxa" w:w="120"/>
              <w:bottom w:type="dxa" w:w="100"/>
              <w:right w:type="dxa" w:w="120"/>
            </w:tcMar>
          </w:tcPr>
          <w:p>
            <w:r>
              <w:rPr>
                <w:b/>
                <w:bCs/>
                <w:color w:val="FFFFFF"/>
                <w:sz w:val="19"/>
                <w:szCs w:val="19"/>
              </w:rPr>
              <w:t xml:space="preserve">Author</w:t>
            </w:r>
          </w:p>
        </w:tc>
        <w:tc>
          <w:tcPr>
            <w:tcW w:type="dxa" w:w="3940"/>
            <w:shd w:fill="1A1D23" w:val="clear"/>
            <w:tcMar>
              <w:top w:type="dxa" w:w="100"/>
              <w:left w:type="dxa" w:w="120"/>
              <w:bottom w:type="dxa" w:w="100"/>
              <w:right w:type="dxa" w:w="120"/>
            </w:tcMar>
          </w:tcPr>
          <w:p>
            <w:r>
              <w:rPr>
                <w:b/>
                <w:bCs/>
                <w:color w:val="FFFFFF"/>
                <w:sz w:val="19"/>
                <w:szCs w:val="19"/>
              </w:rPr>
              <w:t xml:space="preserve">Description of Changes</w:t>
            </w:r>
          </w:p>
        </w:tc>
      </w:tr>
      <w:tr>
        <w:tc>
          <w:tcPr>
            <w:tcW w:type="dxa" w:w="1200"/>
            <w:shd w:fill="FFFFFF" w:val="clear"/>
            <w:tcMar>
              <w:top w:type="dxa" w:w="100"/>
              <w:left w:type="dxa" w:w="120"/>
              <w:bottom w:type="dxa" w:w="100"/>
              <w:right w:type="dxa" w:w="120"/>
            </w:tcMar>
          </w:tcPr>
          <w:p>
            <w:r>
              <w:rPr>
                <w:sz w:val="19"/>
                <w:szCs w:val="19"/>
              </w:rPr>
              <w:t xml:space="preserve">1.0</w:t>
            </w:r>
          </w:p>
        </w:tc>
        <w:tc>
          <w:tcPr>
            <w:tcW w:type="dxa" w:w="1600"/>
            <w:shd w:fill="FFFFFF" w:val="clear"/>
            <w:tcMar>
              <w:top w:type="dxa" w:w="100"/>
              <w:left w:type="dxa" w:w="120"/>
              <w:bottom w:type="dxa" w:w="100"/>
              <w:right w:type="dxa" w:w="120"/>
            </w:tcMar>
          </w:tcPr>
          <w:p>
            <w:r>
              <w:rPr>
                <w:sz w:val="19"/>
                <w:szCs w:val="19"/>
              </w:rPr>
              <w:t xml:space="preserve">2026-08-02</w:t>
            </w:r>
          </w:p>
        </w:tc>
        <w:tc>
          <w:tcPr>
            <w:tcW w:type="dxa" w:w="2800"/>
            <w:shd w:fill="FFFFFF" w:val="clear"/>
            <w:tcMar>
              <w:top w:type="dxa" w:w="100"/>
              <w:left w:type="dxa" w:w="120"/>
              <w:bottom w:type="dxa" w:w="100"/>
              <w:right w:type="dxa" w:w="120"/>
            </w:tcMar>
          </w:tcPr>
          <w:p>
            <w:r>
              <w:rPr>
                <w:sz w:val="19"/>
                <w:szCs w:val="19"/>
              </w:rPr>
              <w:t xml:space="preserve">Engineering Documentation Team</w:t>
            </w:r>
          </w:p>
        </w:tc>
        <w:tc>
          <w:tcPr>
            <w:tcW w:type="dxa" w:w="3940"/>
            <w:shd w:fill="FFFFFF" w:val="clear"/>
            <w:tcMar>
              <w:top w:type="dxa" w:w="100"/>
              <w:left w:type="dxa" w:w="120"/>
              <w:bottom w:type="dxa" w:w="100"/>
              <w:right w:type="dxa" w:w="120"/>
            </w:tcMar>
          </w:tcPr>
          <w:p>
            <w:r>
              <w:rPr>
                <w:sz w:val="19"/>
                <w:szCs w:val="19"/>
              </w:rPr>
              <w:t xml:space="preserve">Initial release — converted from the Markdown source of truth for client handover.</w:t>
            </w:r>
          </w:p>
        </w:tc>
      </w:tr>
    </w:tbl>
    <w:p>
      <w:pPr>
        <w:spacing w:before="300"/>
      </w:pPr>
      <w:r>
        <w:br w:type="page"/>
      </w:r>
    </w:p>
    <w:p>
      <w:pPr>
        <w:pStyle w:val="Heading1"/>
        <w:spacing w:after="160" w:before="420"/>
      </w:pPr>
      <w:bookmarkStart w:name="bm_table-of-contents_12" w:id="1"/>
      <w:r>
        <w:t xml:space="preserve">Table of Contents</w:t>
      </w:r>
      <w:bookmarkEnd w:id="1"/>
    </w:p>
    <w:p>
      <w:pPr>
        <w:spacing w:after="200"/>
      </w:pPr>
      <w:r>
        <w:rPr>
          <w:i/>
          <w:iCs/>
          <w:color w:val="4A4F58"/>
          <w:sz w:val="18"/>
          <w:szCs w:val="18"/>
        </w:rPr>
        <w:t xml:space="preserve">Right-click this table and choose "Update Field" → "Update entire table" to populate page numbers after opening this document in Word.</w:t>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F2F4F7" w:sz="2"/>
              <w:left w:val="single" w:color="2F6FED" w:sz="24"/>
              <w:bottom w:val="single" w:color="F2F4F7" w:sz="2"/>
              <w:right w:val="single" w:color="F2F4F7" w:sz="2"/>
            </w:tcBorders>
            <w:shd w:fill="F2F4F7" w:val="clear"/>
            <w:tcMar>
              <w:top w:type="dxa" w:w="140"/>
              <w:left w:type="dxa" w:w="220"/>
              <w:bottom w:type="dxa" w:w="140"/>
              <w:right w:type="dxa" w:w="220"/>
            </w:tcMar>
          </w:tcPr>
          <w:p>
            <w:pPr>
              <w:spacing w:after="60"/>
            </w:pPr>
            <w:r>
              <w:rPr>
                <w:b/>
                <w:bCs/>
                <w:color w:val="2F6FED"/>
                <w:sz w:val="19"/>
                <w:szCs w:val="19"/>
              </w:rPr>
              <w:t xml:space="preserve">ℹ  NOTE</w:t>
            </w:r>
          </w:p>
          <w:p>
            <w:r>
              <w:rPr>
                <w:sz w:val="20"/>
                <w:szCs w:val="20"/>
              </w:rPr>
              <w:t xml:space="preserve">This manual covers routine operation and incident response. For one-time setup and configuration, see the </w:t>
            </w:r>
            <w:r>
              <w:rPr>
                <w:b/>
                <w:bCs/>
                <w:color w:val="1A1D23"/>
                <w:sz w:val="20"/>
                <w:szCs w:val="20"/>
              </w:rPr>
              <w:t xml:space="preserve">Administrator Guide</w:t>
            </w:r>
            <w:r>
              <w:rPr>
                <w:sz w:val="20"/>
                <w:szCs w:val="20"/>
              </w:rPr>
              <w:t xml:space="preserve">. For deployment and technical configuration, see the </w:t>
            </w:r>
            <w:r>
              <w:rPr>
                <w:b/>
                <w:bCs/>
                <w:color w:val="1A1D23"/>
                <w:sz w:val="20"/>
                <w:szCs w:val="20"/>
              </w:rPr>
              <w:t xml:space="preserve">Installation &amp; Deployment Guide</w:t>
            </w:r>
            <w:r>
              <w:rPr>
                <w:sz w:val="20"/>
                <w:szCs w:val="20"/>
              </w:rPr>
              <w:t xml:space="preserve">.</w:t>
            </w:r>
          </w:p>
        </w:tc>
      </w:tr>
    </w:tbl>
    <w:p>
      <w:pPr>
        <w:spacing w:after="160"/>
      </w:pPr>
    </w:p>
    <w:p>
      <w:pPr>
        <w:pBdr>
          <w:bottom w:val="single" w:color="C9A227" w:sz="6" w:space="1"/>
        </w:pBdr>
        <w:spacing w:after="200" w:before="200"/>
      </w:pPr>
    </w:p>
    <w:p>
      <w:pPr>
        <w:pStyle w:val="Heading1"/>
        <w:spacing w:after="160" w:before="420"/>
      </w:pPr>
      <w:bookmarkStart w:name="bm_1-purpose-scope_0" w:id="1"/>
      <w:r>
        <w:t xml:space="preserve">1. Purpose &amp; Scope</w:t>
      </w:r>
      <w:bookmarkEnd w:id="1"/>
    </w:p>
    <w:p>
      <w:pPr>
        <w:spacing w:after="160" w:line="276"/>
      </w:pPr>
      <w:r>
        <w:t xml:space="preserve">This manual describes the routine tasks needed to keep the AI Intelligence Platform running smoothly once it has been configured, and the steps to follow when something goes wrong. It is written for the person who checks on the platform day to day — confirming sessions are processing normally, clearing failed jobs, and knowing who to escalate to when an issue is outside what can be fixed from the CRM interface.</w:t>
      </w:r>
    </w:p>
    <w:p>
      <w:pPr>
        <w:pBdr>
          <w:bottom w:val="single" w:color="C9A227" w:sz="6" w:space="1"/>
        </w:pBdr>
        <w:spacing w:after="200" w:before="200"/>
      </w:pPr>
    </w:p>
    <w:p>
      <w:pPr>
        <w:pStyle w:val="Heading1"/>
        <w:spacing w:after="160" w:before="420"/>
      </w:pPr>
      <w:bookmarkStart w:name="bm_2-daily-operational-checklist_1" w:id="1"/>
      <w:r>
        <w:t xml:space="preserve">2. Daily Operational Checklist</w:t>
      </w:r>
      <w:bookmarkEnd w:id="1"/>
    </w:p>
    <w:p>
      <w:pPr>
        <w:spacing w:after="160" w:line="276"/>
      </w:pPr>
      <w:r>
        <w:t xml:space="preserve">A brief daily check takes under five minutes:</w:t>
      </w:r>
    </w:p>
    <w:p>
      <w:pPr>
        <w:pStyle w:val="ListParagraph"/>
        <w:numPr>
          <w:ilvl w:val="0"/>
          <w:numId w:val="2"/>
        </w:numPr>
        <w:spacing w:after="90" w:line="268"/>
      </w:pPr>
      <w:r>
        <w:t xml:space="preserve">Open </w:t>
      </w:r>
      <w:r>
        <w:rPr>
          <w:b/>
          <w:bCs/>
        </w:rPr>
        <w:t xml:space="preserve">Dashboard</w:t>
      </w:r>
      <w:r>
        <w:t xml:space="preserve">. Confirm </w:t>
      </w:r>
      <w:r>
        <w:rPr>
          <w:b/>
          <w:bCs/>
        </w:rPr>
        <w:t xml:space="preserve">Pending processing</w:t>
      </w:r>
      <w:r>
        <w:t xml:space="preserve"> is not unexpectedly high (a large, growing number suggests a stuck queue — see §4).</w:t>
      </w:r>
    </w:p>
    <w:p>
      <w:pPr>
        <w:pStyle w:val="ListParagraph"/>
        <w:numPr>
          <w:ilvl w:val="0"/>
          <w:numId w:val="2"/>
        </w:numPr>
        <w:spacing w:after="90" w:line="268"/>
      </w:pPr>
      <w:r>
        <w:t xml:space="preserve">Open </w:t>
      </w:r>
      <w:r>
        <w:rPr>
          <w:b/>
          <w:bCs/>
        </w:rPr>
        <w:t xml:space="preserve">Processing Queue</w:t>
      </w:r>
      <w:r>
        <w:t xml:space="preserve">. Confirm there are no jobs sitting in </w:t>
      </w:r>
      <w:r>
        <w:rPr>
          <w:b/>
          <w:bCs/>
        </w:rPr>
        <w:t xml:space="preserve">Failed</w:t>
      </w:r>
      <w:r>
        <w:t xml:space="preserve"> for longer than expected.</w:t>
      </w:r>
    </w:p>
    <w:p>
      <w:pPr>
        <w:pStyle w:val="ListParagraph"/>
        <w:numPr>
          <w:ilvl w:val="0"/>
          <w:numId w:val="2"/>
        </w:numPr>
        <w:spacing w:after="90" w:line="268"/>
      </w:pPr>
      <w:r>
        <w:t xml:space="preserve">Open </w:t>
      </w:r>
      <w:r>
        <w:rPr>
          <w:b/>
          <w:bCs/>
        </w:rPr>
        <w:t xml:space="preserve">Settings</w:t>
      </w:r>
      <w:r>
        <w:t xml:space="preserve">. Confirm the </w:t>
      </w:r>
      <w:r>
        <w:rPr>
          <w:b/>
          <w:bCs/>
        </w:rPr>
        <w:t xml:space="preserve">Active speech provider</w:t>
      </w:r>
      <w:r>
        <w:t xml:space="preserve"> and </w:t>
      </w:r>
      <w:r>
        <w:rPr>
          <w:b/>
          <w:bCs/>
        </w:rPr>
        <w:t xml:space="preserve">Active summary provider</w:t>
      </w:r>
      <w:r>
        <w:t xml:space="preserve"> badges show the expected provider (not the demonstration/mock mode) if real AI processing has been configured for your organization.</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FBF3DC" w:sz="2"/>
              <w:left w:val="single" w:color="C9A227" w:sz="24"/>
              <w:bottom w:val="single" w:color="FBF3DC" w:sz="2"/>
              <w:right w:val="single" w:color="FBF3DC" w:sz="2"/>
            </w:tcBorders>
            <w:shd w:fill="FBF3DC" w:val="clear"/>
            <w:tcMar>
              <w:top w:type="dxa" w:w="140"/>
              <w:left w:type="dxa" w:w="220"/>
              <w:bottom w:type="dxa" w:w="140"/>
              <w:right w:type="dxa" w:w="220"/>
            </w:tcMar>
          </w:tcPr>
          <w:p>
            <w:pPr>
              <w:spacing w:after="60"/>
            </w:pPr>
            <w:r>
              <w:rPr>
                <w:b/>
                <w:bCs/>
                <w:color w:val="C9A227"/>
                <w:sz w:val="19"/>
                <w:szCs w:val="19"/>
              </w:rPr>
              <w:t xml:space="preserve">✔  BEST PRACTICE</w:t>
            </w:r>
          </w:p>
          <w:p>
            <w:r>
              <w:rPr>
                <w:sz w:val="20"/>
                <w:szCs w:val="20"/>
              </w:rPr>
              <w:t xml:space="preserve">Do this check at the same time each day (for example, at the start of the working day) so a stuck queue is caught before a trainer or coordinator notices it first.</w:t>
            </w:r>
          </w:p>
        </w:tc>
      </w:tr>
    </w:tbl>
    <w:p>
      <w:pPr>
        <w:spacing w:after="160"/>
      </w:pPr>
    </w:p>
    <w:p>
      <w:pPr>
        <w:pBdr>
          <w:bottom w:val="single" w:color="C9A227" w:sz="6" w:space="1"/>
        </w:pBdr>
        <w:spacing w:after="200" w:before="200"/>
      </w:pPr>
    </w:p>
    <w:p>
      <w:pPr>
        <w:pStyle w:val="Heading1"/>
        <w:spacing w:after="160" w:before="420"/>
      </w:pPr>
      <w:bookmarkStart w:name="bm_3-monitoring-the-platform_2" w:id="1"/>
      <w:r>
        <w:t xml:space="preserve">3. Monitoring the Platform</w:t>
      </w:r>
      <w:bookmarkEnd w:id="1"/>
    </w:p>
    <w:p>
      <w:pPr>
        <w:spacing w:after="160" w:line="276"/>
      </w:pPr>
      <w:r>
        <w:t xml:space="preserve">Three screens double as monitoring surfaces: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4770"/>
        <w:gridCol w:w="4770"/>
      </w:tblGrid>
      <w:tr>
        <w:trPr>
          <w:tblHeader/>
        </w:trPr>
        <w:tc>
          <w:tcPr>
            <w:tcW w:type="dxa" w:w="4770"/>
            <w:shd w:fill="1A1D23" w:val="clear"/>
            <w:tcMar>
              <w:top w:type="dxa" w:w="90"/>
              <w:left w:type="dxa" w:w="110"/>
              <w:bottom w:type="dxa" w:w="90"/>
              <w:right w:type="dxa" w:w="110"/>
            </w:tcMar>
          </w:tcPr>
          <w:p>
            <w:r>
              <w:rPr>
                <w:b/>
                <w:bCs/>
                <w:color w:val="FFFFFF"/>
                <w:sz w:val="18"/>
                <w:szCs w:val="18"/>
              </w:rPr>
              <w:t xml:space="preserve">Screen</w:t>
            </w:r>
          </w:p>
        </w:tc>
        <w:tc>
          <w:tcPr>
            <w:tcW w:type="dxa" w:w="4770"/>
            <w:shd w:fill="1A1D23" w:val="clear"/>
            <w:tcMar>
              <w:top w:type="dxa" w:w="90"/>
              <w:left w:type="dxa" w:w="110"/>
              <w:bottom w:type="dxa" w:w="90"/>
              <w:right w:type="dxa" w:w="110"/>
            </w:tcMar>
          </w:tcPr>
          <w:p>
            <w:r>
              <w:rPr>
                <w:b/>
                <w:bCs/>
                <w:color w:val="FFFFFF"/>
                <w:sz w:val="18"/>
                <w:szCs w:val="18"/>
              </w:rPr>
              <w:t xml:space="preserve">What to watch</w:t>
            </w:r>
          </w:p>
        </w:tc>
      </w:tr>
      <w:tr>
        <w:tc>
          <w:tcPr>
            <w:tcW w:type="dxa" w:w="4770"/>
            <w:shd w:fill="FFFFFF" w:val="clear"/>
            <w:tcMar>
              <w:top w:type="dxa" w:w="90"/>
              <w:left w:type="dxa" w:w="110"/>
              <w:bottom w:type="dxa" w:w="90"/>
              <w:right w:type="dxa" w:w="110"/>
            </w:tcMar>
          </w:tcPr>
          <w:p>
            <w:pPr>
              <w:spacing w:line="260"/>
            </w:pPr>
            <w:r>
              <w:rPr>
                <w:b/>
                <w:bCs/>
                <w:sz w:val="18"/>
                <w:szCs w:val="18"/>
              </w:rPr>
              <w:t xml:space="preserve">Dashboard</w:t>
            </w:r>
          </w:p>
        </w:tc>
        <w:tc>
          <w:tcPr>
            <w:tcW w:type="dxa" w:w="4770"/>
            <w:shd w:fill="FFFFFF" w:val="clear"/>
            <w:tcMar>
              <w:top w:type="dxa" w:w="90"/>
              <w:left w:type="dxa" w:w="110"/>
              <w:bottom w:type="dxa" w:w="90"/>
              <w:right w:type="dxa" w:w="110"/>
            </w:tcMar>
          </w:tcPr>
          <w:p>
            <w:pPr>
              <w:spacing w:line="260"/>
            </w:pPr>
            <w:r>
              <w:rPr>
                <w:sz w:val="18"/>
                <w:szCs w:val="18"/>
              </w:rPr>
              <w:t xml:space="preserve">Today's sessions, pending processing count, completed count, recording hours — a sudden drop in completions or a rising "pending" count is the earliest visible sign of a problem</w:t>
            </w:r>
          </w:p>
        </w:tc>
      </w:tr>
      <w:tr>
        <w:tc>
          <w:tcPr>
            <w:tcW w:type="dxa" w:w="4770"/>
            <w:shd w:fill="F6F4EE" w:val="clear"/>
            <w:tcMar>
              <w:top w:type="dxa" w:w="90"/>
              <w:left w:type="dxa" w:w="110"/>
              <w:bottom w:type="dxa" w:w="90"/>
              <w:right w:type="dxa" w:w="110"/>
            </w:tcMar>
          </w:tcPr>
          <w:p>
            <w:pPr>
              <w:spacing w:line="260"/>
            </w:pPr>
            <w:r>
              <w:rPr>
                <w:b/>
                <w:bCs/>
                <w:sz w:val="18"/>
                <w:szCs w:val="18"/>
              </w:rPr>
              <w:t xml:space="preserve">Processing Queue</w:t>
            </w:r>
          </w:p>
        </w:tc>
        <w:tc>
          <w:tcPr>
            <w:tcW w:type="dxa" w:w="4770"/>
            <w:shd w:fill="F6F4EE" w:val="clear"/>
            <w:tcMar>
              <w:top w:type="dxa" w:w="90"/>
              <w:left w:type="dxa" w:w="110"/>
              <w:bottom w:type="dxa" w:w="90"/>
              <w:right w:type="dxa" w:w="110"/>
            </w:tcMar>
          </w:tcPr>
          <w:p>
            <w:pPr>
              <w:spacing w:line="260"/>
            </w:pPr>
            <w:r>
              <w:rPr>
                <w:sz w:val="18"/>
                <w:szCs w:val="18"/>
              </w:rPr>
              <w:t xml:space="preserve">Any job sitting at a non-terminal stage (Queued, Transcribing, Merging transcript, AI analysis, Saving) for an unusually long time, or any job in </w:t>
            </w:r>
            <w:r>
              <w:rPr>
                <w:b/>
                <w:bCs/>
                <w:sz w:val="18"/>
                <w:szCs w:val="18"/>
              </w:rPr>
              <w:t xml:space="preserve">Failed</w:t>
            </w:r>
          </w:p>
        </w:tc>
      </w:tr>
      <w:tr>
        <w:tc>
          <w:tcPr>
            <w:tcW w:type="dxa" w:w="4770"/>
            <w:shd w:fill="FFFFFF" w:val="clear"/>
            <w:tcMar>
              <w:top w:type="dxa" w:w="90"/>
              <w:left w:type="dxa" w:w="110"/>
              <w:bottom w:type="dxa" w:w="90"/>
              <w:right w:type="dxa" w:w="110"/>
            </w:tcMar>
          </w:tcPr>
          <w:p>
            <w:pPr>
              <w:spacing w:line="260"/>
            </w:pPr>
            <w:r>
              <w:rPr>
                <w:b/>
                <w:bCs/>
                <w:sz w:val="18"/>
                <w:szCs w:val="18"/>
              </w:rPr>
              <w:t xml:space="preserve">Analytics</w:t>
            </w:r>
          </w:p>
        </w:tc>
        <w:tc>
          <w:tcPr>
            <w:tcW w:type="dxa" w:w="4770"/>
            <w:shd w:fill="FFFFFF" w:val="clear"/>
            <w:tcMar>
              <w:top w:type="dxa" w:w="90"/>
              <w:left w:type="dxa" w:w="110"/>
              <w:bottom w:type="dxa" w:w="90"/>
              <w:right w:type="dxa" w:w="110"/>
            </w:tcMar>
          </w:tcPr>
          <w:p>
            <w:pPr>
              <w:spacing w:line="260"/>
            </w:pPr>
            <w:r>
              <w:rPr>
                <w:sz w:val="18"/>
                <w:szCs w:val="18"/>
              </w:rPr>
              <w:t xml:space="preserve">The daily "sessions failed" total — a spike on a given day points to that day's provider or connectivity issue</w:t>
            </w:r>
          </w:p>
        </w:tc>
      </w:tr>
    </w:tbl>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F2F4F7" w:sz="2"/>
              <w:left w:val="single" w:color="2F6FED" w:sz="24"/>
              <w:bottom w:val="single" w:color="F2F4F7" w:sz="2"/>
              <w:right w:val="single" w:color="F2F4F7" w:sz="2"/>
            </w:tcBorders>
            <w:shd w:fill="F2F4F7" w:val="clear"/>
            <w:tcMar>
              <w:top w:type="dxa" w:w="140"/>
              <w:left w:type="dxa" w:w="220"/>
              <w:bottom w:type="dxa" w:w="140"/>
              <w:right w:type="dxa" w:w="220"/>
            </w:tcMar>
          </w:tcPr>
          <w:p>
            <w:pPr>
              <w:spacing w:after="60"/>
            </w:pPr>
            <w:r>
              <w:rPr>
                <w:b/>
                <w:bCs/>
                <w:color w:val="2F6FED"/>
                <w:sz w:val="19"/>
                <w:szCs w:val="19"/>
              </w:rPr>
              <w:t xml:space="preserve">ℹ  NOTE</w:t>
            </w:r>
          </w:p>
          <w:p>
            <w:r>
              <w:rPr>
                <w:sz w:val="20"/>
                <w:szCs w:val="20"/>
              </w:rPr>
              <w:t xml:space="preserve">Longer recordings naturally take longer to process, since each segment of a session is transcribed in turn rather than all at once. A 90-minute session taking noticeably longer than a 15-minute one is expected behavior, not a fault.</w:t>
            </w:r>
          </w:p>
        </w:tc>
      </w:tr>
    </w:tbl>
    <w:p>
      <w:pPr>
        <w:spacing w:after="160"/>
      </w:pPr>
    </w:p>
    <w:p>
      <w:pPr>
        <w:pBdr>
          <w:bottom w:val="single" w:color="C9A227" w:sz="6" w:space="1"/>
        </w:pBdr>
        <w:spacing w:after="200" w:before="200"/>
      </w:pPr>
    </w:p>
    <w:p>
      <w:pPr>
        <w:pStyle w:val="Heading1"/>
        <w:spacing w:after="160" w:before="420"/>
      </w:pPr>
      <w:bookmarkStart w:name="bm_4-incident-response-procedures_3" w:id="1"/>
      <w:r>
        <w:t xml:space="preserve">4. Incident Response Procedures</w:t>
      </w:r>
      <w:bookmarkEnd w:id="1"/>
    </w:p>
    <w:p>
      <w:pPr>
        <w:spacing w:after="60" w:before="160"/>
        <w:jc w:val="center"/>
      </w:pPr>
      <w:r>
        <w:drawing>
          <wp:inline distT="0" distB="0" distL="0" distR="0">
            <wp:extent cx="5934075"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34075" cy="3276600"/>
                    </a:xfrm>
                    <a:prstGeom prst="rect">
                      <a:avLst/>
                    </a:prstGeom>
                  </pic:spPr>
                </pic:pic>
              </a:graphicData>
            </a:graphic>
          </wp:inline>
        </w:drawing>
      </w:r>
    </w:p>
    <w:p>
      <w:pPr>
        <w:spacing w:after="220"/>
        <w:jc w:val="center"/>
      </w:pPr>
      <w:r>
        <w:rPr>
          <w:i/>
          <w:iCs/>
          <w:color w:val="4A4F58"/>
          <w:sz w:val="17"/>
          <w:szCs w:val="17"/>
        </w:rPr>
        <w:t xml:space="preserve">Figure 1. Incident response decision flow.</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180"/>
        <w:gridCol w:w="3180"/>
        <w:gridCol w:w="3180"/>
      </w:tblGrid>
      <w:tr>
        <w:trPr>
          <w:tblHeader/>
        </w:trPr>
        <w:tc>
          <w:tcPr>
            <w:tcW w:type="dxa" w:w="3180"/>
            <w:shd w:fill="1A1D23" w:val="clear"/>
            <w:tcMar>
              <w:top w:type="dxa" w:w="90"/>
              <w:left w:type="dxa" w:w="110"/>
              <w:bottom w:type="dxa" w:w="90"/>
              <w:right w:type="dxa" w:w="110"/>
            </w:tcMar>
          </w:tcPr>
          <w:p>
            <w:r>
              <w:rPr>
                <w:b/>
                <w:bCs/>
                <w:color w:val="FFFFFF"/>
                <w:sz w:val="18"/>
                <w:szCs w:val="18"/>
              </w:rPr>
              <w:t xml:space="preserve">Symptom</w:t>
            </w:r>
          </w:p>
        </w:tc>
        <w:tc>
          <w:tcPr>
            <w:tcW w:type="dxa" w:w="3180"/>
            <w:shd w:fill="1A1D23" w:val="clear"/>
            <w:tcMar>
              <w:top w:type="dxa" w:w="90"/>
              <w:left w:type="dxa" w:w="110"/>
              <w:bottom w:type="dxa" w:w="90"/>
              <w:right w:type="dxa" w:w="110"/>
            </w:tcMar>
          </w:tcPr>
          <w:p>
            <w:r>
              <w:rPr>
                <w:b/>
                <w:bCs/>
                <w:color w:val="FFFFFF"/>
                <w:sz w:val="18"/>
                <w:szCs w:val="18"/>
              </w:rPr>
              <w:t xml:space="preserve">Likely cause</w:t>
            </w:r>
          </w:p>
        </w:tc>
        <w:tc>
          <w:tcPr>
            <w:tcW w:type="dxa" w:w="3180"/>
            <w:shd w:fill="1A1D23" w:val="clear"/>
            <w:tcMar>
              <w:top w:type="dxa" w:w="90"/>
              <w:left w:type="dxa" w:w="110"/>
              <w:bottom w:type="dxa" w:w="90"/>
              <w:right w:type="dxa" w:w="110"/>
            </w:tcMar>
          </w:tcPr>
          <w:p>
            <w:r>
              <w:rPr>
                <w:b/>
                <w:bCs/>
                <w:color w:val="FFFFFF"/>
                <w:sz w:val="18"/>
                <w:szCs w:val="18"/>
              </w:rPr>
              <w:t xml:space="preserve">Response</w:t>
            </w:r>
          </w:p>
        </w:tc>
      </w:tr>
      <w:tr>
        <w:tc>
          <w:tcPr>
            <w:tcW w:type="dxa" w:w="3180"/>
            <w:shd w:fill="FFFFFF" w:val="clear"/>
            <w:tcMar>
              <w:top w:type="dxa" w:w="90"/>
              <w:left w:type="dxa" w:w="110"/>
              <w:bottom w:type="dxa" w:w="90"/>
              <w:right w:type="dxa" w:w="110"/>
            </w:tcMar>
          </w:tcPr>
          <w:p>
            <w:pPr>
              <w:spacing w:line="260"/>
            </w:pPr>
            <w:r>
              <w:rPr>
                <w:sz w:val="18"/>
                <w:szCs w:val="18"/>
              </w:rPr>
              <w:t xml:space="preserve">Several sessions stuck on </w:t>
            </w:r>
            <w:r>
              <w:rPr>
                <w:b/>
                <w:bCs/>
                <w:sz w:val="18"/>
                <w:szCs w:val="18"/>
              </w:rPr>
              <w:t xml:space="preserve">Processing</w:t>
            </w:r>
            <w:r>
              <w:rPr>
                <w:sz w:val="18"/>
                <w:szCs w:val="18"/>
              </w:rPr>
              <w:t xml:space="preserve"> at once</w:t>
            </w:r>
          </w:p>
        </w:tc>
        <w:tc>
          <w:tcPr>
            <w:tcW w:type="dxa" w:w="3180"/>
            <w:shd w:fill="FFFFFF" w:val="clear"/>
            <w:tcMar>
              <w:top w:type="dxa" w:w="90"/>
              <w:left w:type="dxa" w:w="110"/>
              <w:bottom w:type="dxa" w:w="90"/>
              <w:right w:type="dxa" w:w="110"/>
            </w:tcMar>
          </w:tcPr>
          <w:p>
            <w:pPr>
              <w:spacing w:line="260"/>
            </w:pPr>
            <w:r>
              <w:rPr>
                <w:sz w:val="18"/>
                <w:szCs w:val="18"/>
              </w:rPr>
              <w:t xml:space="preserve">A provider outage, or a burst of sessions finishing at the same time creating a backlog</w:t>
            </w:r>
          </w:p>
        </w:tc>
        <w:tc>
          <w:tcPr>
            <w:tcW w:type="dxa" w:w="3180"/>
            <w:shd w:fill="FFFFFF" w:val="clear"/>
            <w:tcMar>
              <w:top w:type="dxa" w:w="90"/>
              <w:left w:type="dxa" w:w="110"/>
              <w:bottom w:type="dxa" w:w="90"/>
              <w:right w:type="dxa" w:w="110"/>
            </w:tcMar>
          </w:tcPr>
          <w:p>
            <w:pPr>
              <w:spacing w:line="260"/>
            </w:pPr>
            <w:r>
              <w:rPr>
                <w:sz w:val="18"/>
                <w:szCs w:val="18"/>
              </w:rPr>
              <w:t xml:space="preserve">Wait a short period for the backlog to clear; if jobs start showing </w:t>
            </w:r>
            <w:r>
              <w:rPr>
                <w:b/>
                <w:bCs/>
                <w:sz w:val="18"/>
                <w:szCs w:val="18"/>
              </w:rPr>
              <w:t xml:space="preserve">Failed</w:t>
            </w:r>
            <w:r>
              <w:rPr>
                <w:sz w:val="18"/>
                <w:szCs w:val="18"/>
              </w:rPr>
              <w:t xml:space="preserve"> with the same error message, treat as a provider outage — escalate to your technical team (§6)</w:t>
            </w:r>
          </w:p>
        </w:tc>
      </w:tr>
      <w:tr>
        <w:tc>
          <w:tcPr>
            <w:tcW w:type="dxa" w:w="3180"/>
            <w:shd w:fill="F6F4EE" w:val="clear"/>
            <w:tcMar>
              <w:top w:type="dxa" w:w="90"/>
              <w:left w:type="dxa" w:w="110"/>
              <w:bottom w:type="dxa" w:w="90"/>
              <w:right w:type="dxa" w:w="110"/>
            </w:tcMar>
          </w:tcPr>
          <w:p>
            <w:pPr>
              <w:spacing w:line="260"/>
            </w:pPr>
            <w:r>
              <w:rPr>
                <w:sz w:val="18"/>
                <w:szCs w:val="18"/>
              </w:rPr>
              <w:t xml:space="preserve">A single job shows </w:t>
            </w:r>
            <w:r>
              <w:rPr>
                <w:b/>
                <w:bCs/>
                <w:sz w:val="18"/>
                <w:szCs w:val="18"/>
              </w:rPr>
              <w:t xml:space="preserve">Failed</w:t>
            </w:r>
          </w:p>
        </w:tc>
        <w:tc>
          <w:tcPr>
            <w:tcW w:type="dxa" w:w="3180"/>
            <w:shd w:fill="F6F4EE" w:val="clear"/>
            <w:tcMar>
              <w:top w:type="dxa" w:w="90"/>
              <w:left w:type="dxa" w:w="110"/>
              <w:bottom w:type="dxa" w:w="90"/>
              <w:right w:type="dxa" w:w="110"/>
            </w:tcMar>
          </w:tcPr>
          <w:p>
            <w:pPr>
              <w:spacing w:line="260"/>
            </w:pPr>
            <w:r>
              <w:rPr>
                <w:sz w:val="18"/>
                <w:szCs w:val="18"/>
              </w:rPr>
              <w:t xml:space="preserve">The AI transcription or analysis step hit an error for that session only</w:t>
            </w:r>
          </w:p>
        </w:tc>
        <w:tc>
          <w:tcPr>
            <w:tcW w:type="dxa" w:w="3180"/>
            <w:shd w:fill="F6F4EE" w:val="clear"/>
            <w:tcMar>
              <w:top w:type="dxa" w:w="90"/>
              <w:left w:type="dxa" w:w="110"/>
              <w:bottom w:type="dxa" w:w="90"/>
              <w:right w:type="dxa" w:w="110"/>
            </w:tcMar>
          </w:tcPr>
          <w:p>
            <w:pPr>
              <w:spacing w:line="260"/>
            </w:pPr>
            <w:r>
              <w:rPr>
                <w:sz w:val="18"/>
                <w:szCs w:val="18"/>
              </w:rPr>
              <w:t xml:space="preserve">Click </w:t>
            </w:r>
            <w:r>
              <w:rPr>
                <w:b/>
                <w:bCs/>
                <w:sz w:val="18"/>
                <w:szCs w:val="18"/>
              </w:rPr>
              <w:t xml:space="preserve">Retry</w:t>
            </w:r>
            <w:r>
              <w:rPr>
                <w:sz w:val="18"/>
                <w:szCs w:val="18"/>
              </w:rPr>
              <w:t xml:space="preserve"> (System Administrators and Founders can retry any job) — it resumes rather than restarting from scratch. If it fails again with the same error, escalate</w:t>
            </w:r>
          </w:p>
        </w:tc>
      </w:tr>
      <w:tr>
        <w:tc>
          <w:tcPr>
            <w:tcW w:type="dxa" w:w="3180"/>
            <w:shd w:fill="FFFFFF" w:val="clear"/>
            <w:tcMar>
              <w:top w:type="dxa" w:w="90"/>
              <w:left w:type="dxa" w:w="110"/>
              <w:bottom w:type="dxa" w:w="90"/>
              <w:right w:type="dxa" w:w="110"/>
            </w:tcMar>
          </w:tcPr>
          <w:p>
            <w:pPr>
              <w:spacing w:line="260"/>
            </w:pPr>
            <w:r>
              <w:rPr>
                <w:sz w:val="18"/>
                <w:szCs w:val="18"/>
              </w:rPr>
              <w:t xml:space="preserve">Every new session completes with placeholder-looking transcript/summary text</w:t>
            </w:r>
          </w:p>
        </w:tc>
        <w:tc>
          <w:tcPr>
            <w:tcW w:type="dxa" w:w="3180"/>
            <w:shd w:fill="FFFFFF" w:val="clear"/>
            <w:tcMar>
              <w:top w:type="dxa" w:w="90"/>
              <w:left w:type="dxa" w:w="110"/>
              <w:bottom w:type="dxa" w:w="90"/>
              <w:right w:type="dxa" w:w="110"/>
            </w:tcMar>
          </w:tcPr>
          <w:p>
            <w:pPr>
              <w:spacing w:line="260"/>
            </w:pPr>
            <w:r>
              <w:rPr>
                <w:sz w:val="18"/>
                <w:szCs w:val="18"/>
              </w:rPr>
              <w:t xml:space="preserve">AI processing has silently reverted to demonstration mode, most likely because a provider credential expired or was misconfigured</w:t>
            </w:r>
          </w:p>
        </w:tc>
        <w:tc>
          <w:tcPr>
            <w:tcW w:type="dxa" w:w="3180"/>
            <w:shd w:fill="FFFFFF" w:val="clear"/>
            <w:tcMar>
              <w:top w:type="dxa" w:w="90"/>
              <w:left w:type="dxa" w:w="110"/>
              <w:bottom w:type="dxa" w:w="90"/>
              <w:right w:type="dxa" w:w="110"/>
            </w:tcMar>
          </w:tcPr>
          <w:p>
            <w:pPr>
              <w:spacing w:line="260"/>
            </w:pPr>
            <w:r>
              <w:rPr>
                <w:sz w:val="18"/>
                <w:szCs w:val="18"/>
              </w:rPr>
              <w:t xml:space="preserve">Escalate to your technical team immediately — this does not stop sessions from "completing," so it can go unnoticed without the daily check in §2</w:t>
            </w:r>
          </w:p>
        </w:tc>
      </w:tr>
      <w:tr>
        <w:tc>
          <w:tcPr>
            <w:tcW w:type="dxa" w:w="3180"/>
            <w:shd w:fill="F6F4EE" w:val="clear"/>
            <w:tcMar>
              <w:top w:type="dxa" w:w="90"/>
              <w:left w:type="dxa" w:w="110"/>
              <w:bottom w:type="dxa" w:w="90"/>
              <w:right w:type="dxa" w:w="110"/>
            </w:tcMar>
          </w:tcPr>
          <w:p>
            <w:pPr>
              <w:spacing w:line="260"/>
            </w:pPr>
            <w:r>
              <w:rPr>
                <w:sz w:val="18"/>
                <w:szCs w:val="18"/>
              </w:rPr>
              <w:t xml:space="preserve">A trainer reports a recording that never finished saving</w:t>
            </w:r>
          </w:p>
        </w:tc>
        <w:tc>
          <w:tcPr>
            <w:tcW w:type="dxa" w:w="3180"/>
            <w:shd w:fill="F6F4EE" w:val="clear"/>
            <w:tcMar>
              <w:top w:type="dxa" w:w="90"/>
              <w:left w:type="dxa" w:w="110"/>
              <w:bottom w:type="dxa" w:w="90"/>
              <w:right w:type="dxa" w:w="110"/>
            </w:tcMar>
          </w:tcPr>
          <w:p>
            <w:pPr>
              <w:spacing w:line="260"/>
            </w:pPr>
            <w:r>
              <w:rPr>
                <w:sz w:val="18"/>
                <w:szCs w:val="18"/>
              </w:rPr>
              <w:t xml:space="preserve">The browser tab was closed or crashed before the last segment finished uploading</w:t>
            </w:r>
          </w:p>
        </w:tc>
        <w:tc>
          <w:tcPr>
            <w:tcW w:type="dxa" w:w="3180"/>
            <w:shd w:fill="F6F4EE" w:val="clear"/>
            <w:tcMar>
              <w:top w:type="dxa" w:w="90"/>
              <w:left w:type="dxa" w:w="110"/>
              <w:bottom w:type="dxa" w:w="90"/>
              <w:right w:type="dxa" w:w="110"/>
            </w:tcMar>
          </w:tcPr>
          <w:p>
            <w:pPr>
              <w:spacing w:line="260"/>
            </w:pPr>
            <w:r>
              <w:rPr>
                <w:b/>
                <w:bCs/>
                <w:sz w:val="18"/>
                <w:szCs w:val="18"/>
              </w:rPr>
              <w:t xml:space="preserve">Do not</w:t>
            </w:r>
            <w:r>
              <w:rPr>
                <w:sz w:val="18"/>
                <w:szCs w:val="18"/>
              </w:rPr>
              <w:t xml:space="preserve"> ask the trainer to delete and re-record over the same session. Escalate to your technical team — the segments that did upload successfully are still safely stored and may be recoverable</w:t>
            </w:r>
          </w:p>
        </w:tc>
      </w:tr>
      <w:tr>
        <w:tc>
          <w:tcPr>
            <w:tcW w:type="dxa" w:w="3180"/>
            <w:shd w:fill="FFFFFF" w:val="clear"/>
            <w:tcMar>
              <w:top w:type="dxa" w:w="90"/>
              <w:left w:type="dxa" w:w="110"/>
              <w:bottom w:type="dxa" w:w="90"/>
              <w:right w:type="dxa" w:w="110"/>
            </w:tcMar>
          </w:tcPr>
          <w:p>
            <w:pPr>
              <w:spacing w:line="260"/>
            </w:pPr>
            <w:r>
              <w:rPr>
                <w:sz w:val="18"/>
                <w:szCs w:val="18"/>
              </w:rPr>
              <w:t xml:space="preserve">A trainer cannot see the Retry button on their own failed job</w:t>
            </w:r>
          </w:p>
        </w:tc>
        <w:tc>
          <w:tcPr>
            <w:tcW w:type="dxa" w:w="3180"/>
            <w:shd w:fill="FFFFFF" w:val="clear"/>
            <w:tcMar>
              <w:top w:type="dxa" w:w="90"/>
              <w:left w:type="dxa" w:w="110"/>
              <w:bottom w:type="dxa" w:w="90"/>
              <w:right w:type="dxa" w:w="110"/>
            </w:tcMar>
          </w:tcPr>
          <w:p>
            <w:pPr>
              <w:spacing w:line="260"/>
            </w:pPr>
            <w:r>
              <w:rPr>
                <w:sz w:val="18"/>
                <w:szCs w:val="18"/>
              </w:rPr>
              <w:t xml:space="preserve">Working as intended — only the session's owner or a System Administrator/Founder can retry a job</w:t>
            </w:r>
          </w:p>
        </w:tc>
        <w:tc>
          <w:tcPr>
            <w:tcW w:type="dxa" w:w="3180"/>
            <w:shd w:fill="FFFFFF" w:val="clear"/>
            <w:tcMar>
              <w:top w:type="dxa" w:w="90"/>
              <w:left w:type="dxa" w:w="110"/>
              <w:bottom w:type="dxa" w:w="90"/>
              <w:right w:type="dxa" w:w="110"/>
            </w:tcMar>
          </w:tcPr>
          <w:p>
            <w:pPr>
              <w:spacing w:line="260"/>
            </w:pPr>
            <w:r>
              <w:rPr>
                <w:sz w:val="18"/>
                <w:szCs w:val="18"/>
              </w:rPr>
              <w:t xml:space="preserve">If the original trainer is unavailable, a System Administrator or Founder retries on their behalf</w:t>
            </w:r>
          </w:p>
        </w:tc>
      </w:tr>
      <w:tr>
        <w:tc>
          <w:tcPr>
            <w:tcW w:type="dxa" w:w="3180"/>
            <w:shd w:fill="F6F4EE" w:val="clear"/>
            <w:tcMar>
              <w:top w:type="dxa" w:w="90"/>
              <w:left w:type="dxa" w:w="110"/>
              <w:bottom w:type="dxa" w:w="90"/>
              <w:right w:type="dxa" w:w="110"/>
            </w:tcMar>
          </w:tcPr>
          <w:p>
            <w:pPr>
              <w:spacing w:line="260"/>
            </w:pPr>
            <w:r>
              <w:rPr>
                <w:sz w:val="18"/>
                <w:szCs w:val="18"/>
              </w:rPr>
              <w:t xml:space="preserve">A user reports "not authorized" on any AI Intelligence Platform page</w:t>
            </w:r>
          </w:p>
        </w:tc>
        <w:tc>
          <w:tcPr>
            <w:tcW w:type="dxa" w:w="3180"/>
            <w:shd w:fill="F6F4EE" w:val="clear"/>
            <w:tcMar>
              <w:top w:type="dxa" w:w="90"/>
              <w:left w:type="dxa" w:w="110"/>
              <w:bottom w:type="dxa" w:w="90"/>
              <w:right w:type="dxa" w:w="110"/>
            </w:tcMar>
          </w:tcPr>
          <w:p>
            <w:pPr>
              <w:spacing w:line="260"/>
            </w:pPr>
            <w:r>
              <w:rPr>
                <w:sz w:val="18"/>
                <w:szCs w:val="18"/>
              </w:rPr>
              <w:t xml:space="preserve">Their role does not include the required access</w:t>
            </w:r>
          </w:p>
        </w:tc>
        <w:tc>
          <w:tcPr>
            <w:tcW w:type="dxa" w:w="3180"/>
            <w:shd w:fill="F6F4EE" w:val="clear"/>
            <w:tcMar>
              <w:top w:type="dxa" w:w="90"/>
              <w:left w:type="dxa" w:w="110"/>
              <w:bottom w:type="dxa" w:w="90"/>
              <w:right w:type="dxa" w:w="110"/>
            </w:tcMar>
          </w:tcPr>
          <w:p>
            <w:pPr>
              <w:spacing w:line="260"/>
            </w:pPr>
            <w:r>
              <w:rPr>
                <w:sz w:val="18"/>
                <w:szCs w:val="18"/>
              </w:rPr>
              <w:t xml:space="preserve">Confirm their role assignment; adjust if the access should be granted</w:t>
            </w:r>
          </w:p>
        </w:tc>
      </w:tr>
    </w:tbl>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FDF1E7" w:sz="2"/>
              <w:left w:val="single" w:color="B8590A" w:sz="24"/>
              <w:bottom w:val="single" w:color="FDF1E7" w:sz="2"/>
              <w:right w:val="single" w:color="FDF1E7" w:sz="2"/>
            </w:tcBorders>
            <w:shd w:fill="FDF1E7" w:val="clear"/>
            <w:tcMar>
              <w:top w:type="dxa" w:w="140"/>
              <w:left w:type="dxa" w:w="220"/>
              <w:bottom w:type="dxa" w:w="140"/>
              <w:right w:type="dxa" w:w="220"/>
            </w:tcMar>
          </w:tcPr>
          <w:p>
            <w:pPr>
              <w:spacing w:after="60"/>
            </w:pPr>
            <w:r>
              <w:rPr>
                <w:b/>
                <w:bCs/>
                <w:color w:val="B8590A"/>
                <w:sz w:val="19"/>
                <w:szCs w:val="19"/>
              </w:rPr>
              <w:t xml:space="preserve">⚠  WARNING</w:t>
            </w:r>
          </w:p>
          <w:p>
            <w:r>
              <w:rPr>
                <w:sz w:val="20"/>
                <w:szCs w:val="20"/>
              </w:rPr>
              <w:t xml:space="preserve">Never remove (soft-delete) a session as a way to "clear" a stuck or failed one — deletion hides it from the active list but does not restart, retry, or fix processing. Use the Retry action for failed jobs instead.</w:t>
            </w:r>
          </w:p>
        </w:tc>
      </w:tr>
    </w:tbl>
    <w:p>
      <w:pPr>
        <w:spacing w:after="160"/>
      </w:pPr>
    </w:p>
    <w:p>
      <w:pPr>
        <w:pBdr>
          <w:bottom w:val="single" w:color="C9A227" w:sz="6" w:space="1"/>
        </w:pBdr>
        <w:spacing w:after="200" w:before="200"/>
      </w:pPr>
    </w:p>
    <w:p>
      <w:pPr>
        <w:pStyle w:val="Heading1"/>
        <w:spacing w:after="160" w:before="420"/>
      </w:pPr>
      <w:bookmarkStart w:name="bm_5-routine-maintenance-tasks_4" w:id="1"/>
      <w:r>
        <w:t xml:space="preserve">5. Routine Maintenance Tasks</w:t>
      </w:r>
      <w:bookmarkEnd w:id="1"/>
    </w:p>
    <w:p>
      <w:pPr>
        <w:pStyle w:val="ListParagraph"/>
        <w:numPr>
          <w:ilvl w:val="0"/>
          <w:numId w:val="3"/>
        </w:numPr>
        <w:spacing w:after="90" w:line="268"/>
      </w:pPr>
      <w:r>
        <w:rPr>
          <w:b/>
          <w:bCs/>
        </w:rPr>
        <w:t xml:space="preserve">Weekly:</w:t>
      </w:r>
      <w:r>
        <w:t xml:space="preserve"> review the Processing Queue for any long-failed jobs that were never retried, and either retry or investigate them.</w:t>
      </w:r>
    </w:p>
    <w:p>
      <w:pPr>
        <w:pStyle w:val="ListParagraph"/>
        <w:numPr>
          <w:ilvl w:val="0"/>
          <w:numId w:val="3"/>
        </w:numPr>
        <w:spacing w:after="90" w:line="268"/>
      </w:pPr>
      <w:r>
        <w:rPr>
          <w:b/>
          <w:bCs/>
        </w:rPr>
        <w:t xml:space="preserve">Weekly:</w:t>
      </w:r>
      <w:r>
        <w:t xml:space="preserve"> spot-check the Analytics screen's "sessions failed" trend — a rising trend over several days (rather than an isolated spike) is worth escalating even if each individual failure was retried successfully.</w:t>
      </w:r>
    </w:p>
    <w:p>
      <w:pPr>
        <w:pStyle w:val="ListParagraph"/>
        <w:numPr>
          <w:ilvl w:val="0"/>
          <w:numId w:val="3"/>
        </w:numPr>
        <w:spacing w:after="90" w:line="268"/>
      </w:pPr>
      <w:r>
        <w:rPr>
          <w:b/>
          <w:bCs/>
        </w:rPr>
        <w:t xml:space="preserve">As needed:</w:t>
      </w:r>
      <w:r>
        <w:t xml:space="preserve"> remove (soft-delete) sessions that are no longer relevant to the active list, per the </w:t>
      </w:r>
      <w:r>
        <w:rPr>
          <w:b/>
          <w:bCs/>
          <w:color w:val="1A1D23"/>
        </w:rPr>
        <w:t xml:space="preserve">Administrator Guide §3</w:t>
      </w:r>
      <w:r>
        <w:t xml:space="preserve">. This does not delete the underlying recording, transcript, or summary.</w:t>
      </w:r>
    </w:p>
    <w:p>
      <w:pPr>
        <w:pStyle w:val="ListParagraph"/>
        <w:numPr>
          <w:ilvl w:val="0"/>
          <w:numId w:val="3"/>
        </w:numPr>
        <w:spacing w:after="90" w:line="268"/>
      </w:pPr>
      <w:r>
        <w:rPr>
          <w:b/>
          <w:bCs/>
        </w:rPr>
        <w:t xml:space="preserve">Periodically:</w:t>
      </w:r>
      <w:r>
        <w:t xml:space="preserve"> confirm with your technical team what audio retention and completion-notification behavior is currently active for your deployment, since the values on the Settings screen record your organization's intended policy but their enforcement should be periodically reconfirmed with the technical team (see </w:t>
      </w:r>
      <w:r>
        <w:rPr>
          <w:b/>
          <w:bCs/>
          <w:color w:val="1A1D23"/>
        </w:rPr>
        <w:t xml:space="preserve">Administrator Guide §4</w:t>
      </w:r>
      <w:r>
        <w:t xml:space="preserve">).</w:t>
      </w:r>
    </w:p>
    <w:p>
      <w:pPr>
        <w:pBdr>
          <w:bottom w:val="single" w:color="C9A227" w:sz="6" w:space="1"/>
        </w:pBdr>
        <w:spacing w:after="200" w:before="200"/>
      </w:pPr>
    </w:p>
    <w:p>
      <w:pPr>
        <w:pStyle w:val="Heading1"/>
        <w:spacing w:after="160" w:before="420"/>
      </w:pPr>
      <w:bookmarkStart w:name="bm_6-escalation-path_5" w:id="1"/>
      <w:r>
        <w:t xml:space="preserve">6. Escalation Path</w:t>
      </w:r>
      <w:bookmarkEnd w:id="1"/>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4770"/>
        <w:gridCol w:w="4770"/>
      </w:tblGrid>
      <w:tr>
        <w:trPr>
          <w:tblHeader/>
        </w:trPr>
        <w:tc>
          <w:tcPr>
            <w:tcW w:type="dxa" w:w="4770"/>
            <w:shd w:fill="1A1D23" w:val="clear"/>
            <w:tcMar>
              <w:top w:type="dxa" w:w="90"/>
              <w:left w:type="dxa" w:w="110"/>
              <w:bottom w:type="dxa" w:w="90"/>
              <w:right w:type="dxa" w:w="110"/>
            </w:tcMar>
          </w:tcPr>
          <w:p>
            <w:r>
              <w:rPr>
                <w:b/>
                <w:bCs/>
                <w:color w:val="FFFFFF"/>
                <w:sz w:val="18"/>
                <w:szCs w:val="18"/>
              </w:rPr>
              <w:t xml:space="preserve">Issue type</w:t>
            </w:r>
          </w:p>
        </w:tc>
        <w:tc>
          <w:tcPr>
            <w:tcW w:type="dxa" w:w="4770"/>
            <w:shd w:fill="1A1D23" w:val="clear"/>
            <w:tcMar>
              <w:top w:type="dxa" w:w="90"/>
              <w:left w:type="dxa" w:w="110"/>
              <w:bottom w:type="dxa" w:w="90"/>
              <w:right w:type="dxa" w:w="110"/>
            </w:tcMar>
          </w:tcPr>
          <w:p>
            <w:r>
              <w:rPr>
                <w:b/>
                <w:bCs/>
                <w:color w:val="FFFFFF"/>
                <w:sz w:val="18"/>
                <w:szCs w:val="18"/>
              </w:rPr>
              <w:t xml:space="preserve">Escalate to</w:t>
            </w:r>
          </w:p>
        </w:tc>
      </w:tr>
      <w:tr>
        <w:tc>
          <w:tcPr>
            <w:tcW w:type="dxa" w:w="4770"/>
            <w:shd w:fill="FFFFFF" w:val="clear"/>
            <w:tcMar>
              <w:top w:type="dxa" w:w="90"/>
              <w:left w:type="dxa" w:w="110"/>
              <w:bottom w:type="dxa" w:w="90"/>
              <w:right w:type="dxa" w:w="110"/>
            </w:tcMar>
          </w:tcPr>
          <w:p>
            <w:pPr>
              <w:spacing w:line="260"/>
            </w:pPr>
            <w:r>
              <w:rPr>
                <w:sz w:val="18"/>
                <w:szCs w:val="18"/>
              </w:rPr>
              <w:t xml:space="preserve">Access/role/permission questions</w:t>
            </w:r>
          </w:p>
        </w:tc>
        <w:tc>
          <w:tcPr>
            <w:tcW w:type="dxa" w:w="4770"/>
            <w:shd w:fill="FFFFFF" w:val="clear"/>
            <w:tcMar>
              <w:top w:type="dxa" w:w="90"/>
              <w:left w:type="dxa" w:w="110"/>
              <w:bottom w:type="dxa" w:w="90"/>
              <w:right w:type="dxa" w:w="110"/>
            </w:tcMar>
          </w:tcPr>
          <w:p>
            <w:pPr>
              <w:spacing w:line="260"/>
            </w:pPr>
            <w:r>
              <w:rPr>
                <w:sz w:val="18"/>
                <w:szCs w:val="18"/>
              </w:rPr>
              <w:t xml:space="preserve">Your organization's System Administrator</w:t>
            </w:r>
          </w:p>
        </w:tc>
      </w:tr>
      <w:tr>
        <w:tc>
          <w:tcPr>
            <w:tcW w:type="dxa" w:w="4770"/>
            <w:shd w:fill="F6F4EE" w:val="clear"/>
            <w:tcMar>
              <w:top w:type="dxa" w:w="90"/>
              <w:left w:type="dxa" w:w="110"/>
              <w:bottom w:type="dxa" w:w="90"/>
              <w:right w:type="dxa" w:w="110"/>
            </w:tcMar>
          </w:tcPr>
          <w:p>
            <w:pPr>
              <w:spacing w:line="260"/>
            </w:pPr>
            <w:r>
              <w:rPr>
                <w:sz w:val="18"/>
                <w:szCs w:val="18"/>
              </w:rPr>
              <w:t xml:space="preserve">A single job repeatedly failing with the same error</w:t>
            </w:r>
          </w:p>
        </w:tc>
        <w:tc>
          <w:tcPr>
            <w:tcW w:type="dxa" w:w="4770"/>
            <w:shd w:fill="F6F4EE" w:val="clear"/>
            <w:tcMar>
              <w:top w:type="dxa" w:w="90"/>
              <w:left w:type="dxa" w:w="110"/>
              <w:bottom w:type="dxa" w:w="90"/>
              <w:right w:type="dxa" w:w="110"/>
            </w:tcMar>
          </w:tcPr>
          <w:p>
            <w:pPr>
              <w:spacing w:line="260"/>
            </w:pPr>
            <w:r>
              <w:rPr>
                <w:sz w:val="18"/>
                <w:szCs w:val="18"/>
              </w:rPr>
              <w:t xml:space="preserve">Your technical/engineering team, with the exact error message from the Processing Queue row</w:t>
            </w:r>
          </w:p>
        </w:tc>
      </w:tr>
      <w:tr>
        <w:tc>
          <w:tcPr>
            <w:tcW w:type="dxa" w:w="4770"/>
            <w:shd w:fill="FFFFFF" w:val="clear"/>
            <w:tcMar>
              <w:top w:type="dxa" w:w="90"/>
              <w:left w:type="dxa" w:w="110"/>
              <w:bottom w:type="dxa" w:w="90"/>
              <w:right w:type="dxa" w:w="110"/>
            </w:tcMar>
          </w:tcPr>
          <w:p>
            <w:pPr>
              <w:spacing w:line="260"/>
            </w:pPr>
            <w:r>
              <w:rPr>
                <w:sz w:val="18"/>
                <w:szCs w:val="18"/>
              </w:rPr>
              <w:t xml:space="preserve">Provider badge shows demonstration mode unexpectedly</w:t>
            </w:r>
          </w:p>
        </w:tc>
        <w:tc>
          <w:tcPr>
            <w:tcW w:type="dxa" w:w="4770"/>
            <w:shd w:fill="FFFFFF" w:val="clear"/>
            <w:tcMar>
              <w:top w:type="dxa" w:w="90"/>
              <w:left w:type="dxa" w:w="110"/>
              <w:bottom w:type="dxa" w:w="90"/>
              <w:right w:type="dxa" w:w="110"/>
            </w:tcMar>
          </w:tcPr>
          <w:p>
            <w:pPr>
              <w:spacing w:line="260"/>
            </w:pPr>
            <w:r>
              <w:rPr>
                <w:sz w:val="18"/>
                <w:szCs w:val="18"/>
              </w:rPr>
              <w:t xml:space="preserve">Your technical/engineering team — this is a configuration issue, not something fixable from the CRM</w:t>
            </w:r>
          </w:p>
        </w:tc>
      </w:tr>
      <w:tr>
        <w:tc>
          <w:tcPr>
            <w:tcW w:type="dxa" w:w="4770"/>
            <w:shd w:fill="F6F4EE" w:val="clear"/>
            <w:tcMar>
              <w:top w:type="dxa" w:w="90"/>
              <w:left w:type="dxa" w:w="110"/>
              <w:bottom w:type="dxa" w:w="90"/>
              <w:right w:type="dxa" w:w="110"/>
            </w:tcMar>
          </w:tcPr>
          <w:p>
            <w:pPr>
              <w:spacing w:line="260"/>
            </w:pPr>
            <w:r>
              <w:rPr>
                <w:sz w:val="18"/>
                <w:szCs w:val="18"/>
              </w:rPr>
              <w:t xml:space="preserve">A session's recording did not finish saving</w:t>
            </w:r>
          </w:p>
        </w:tc>
        <w:tc>
          <w:tcPr>
            <w:tcW w:type="dxa" w:w="4770"/>
            <w:shd w:fill="F6F4EE" w:val="clear"/>
            <w:tcMar>
              <w:top w:type="dxa" w:w="90"/>
              <w:left w:type="dxa" w:w="110"/>
              <w:bottom w:type="dxa" w:w="90"/>
              <w:right w:type="dxa" w:w="110"/>
            </w:tcMar>
          </w:tcPr>
          <w:p>
            <w:pPr>
              <w:spacing w:line="260"/>
            </w:pPr>
            <w:r>
              <w:rPr>
                <w:sz w:val="18"/>
                <w:szCs w:val="18"/>
              </w:rPr>
              <w:t xml:space="preserve">Your technical/engineering team — do not delete or re-record the session first</w:t>
            </w:r>
          </w:p>
        </w:tc>
      </w:tr>
      <w:tr>
        <w:tc>
          <w:tcPr>
            <w:tcW w:type="dxa" w:w="4770"/>
            <w:shd w:fill="FFFFFF" w:val="clear"/>
            <w:tcMar>
              <w:top w:type="dxa" w:w="90"/>
              <w:left w:type="dxa" w:w="110"/>
              <w:bottom w:type="dxa" w:w="90"/>
              <w:right w:type="dxa" w:w="110"/>
            </w:tcMar>
          </w:tcPr>
          <w:p>
            <w:pPr>
              <w:spacing w:line="260"/>
            </w:pPr>
            <w:r>
              <w:rPr>
                <w:sz w:val="18"/>
                <w:szCs w:val="18"/>
              </w:rPr>
              <w:t xml:space="preserve">Broader platform outage (nothing loads, every session fails)</w:t>
            </w:r>
          </w:p>
        </w:tc>
        <w:tc>
          <w:tcPr>
            <w:tcW w:type="dxa" w:w="4770"/>
            <w:shd w:fill="FFFFFF" w:val="clear"/>
            <w:tcMar>
              <w:top w:type="dxa" w:w="90"/>
              <w:left w:type="dxa" w:w="110"/>
              <w:bottom w:type="dxa" w:w="90"/>
              <w:right w:type="dxa" w:w="110"/>
            </w:tcMar>
          </w:tcPr>
          <w:p>
            <w:pPr>
              <w:spacing w:line="260"/>
            </w:pPr>
            <w:r>
              <w:rPr>
                <w:sz w:val="18"/>
                <w:szCs w:val="18"/>
              </w:rPr>
              <w:t xml:space="preserve">Your technical/engineering team, treated as a priority incident</w:t>
            </w:r>
          </w:p>
        </w:tc>
      </w:tr>
    </w:tbl>
    <w:p>
      <w:pPr>
        <w:spacing w:after="160" w:line="276"/>
      </w:pPr>
      <w:r>
        <w:t xml:space="preserve">When escalating, always include: the session title and/or ID (visible in the page URL), the exact status/stage shown, and the exact error text if one is displayed.</w:t>
      </w:r>
    </w:p>
    <w:p>
      <w:pPr>
        <w:pBdr>
          <w:bottom w:val="single" w:color="C9A227" w:sz="6" w:space="1"/>
        </w:pBdr>
        <w:spacing w:after="200" w:before="200"/>
      </w:pPr>
    </w:p>
    <w:p>
      <w:pPr>
        <w:pStyle w:val="Heading1"/>
        <w:spacing w:after="160" w:before="420"/>
      </w:pPr>
      <w:bookmarkStart w:name="bm_7-backup-retention-notes_6" w:id="1"/>
      <w:r>
        <w:t xml:space="preserve">7. Backup &amp; Retention Notes</w:t>
      </w:r>
      <w:bookmarkEnd w:id="1"/>
    </w:p>
    <w:p>
      <w:pPr>
        <w:pStyle w:val="ListParagraph"/>
        <w:numPr>
          <w:ilvl w:val="0"/>
          <w:numId w:val="3"/>
        </w:numPr>
        <w:spacing w:after="90" w:line="268"/>
      </w:pPr>
      <w:r>
        <w:t xml:space="preserve">Removing (soft-deleting) a session from the Sessions list does not delete its recording, transcript, or summary — it only hides it from the active list.</w:t>
      </w:r>
    </w:p>
    <w:p>
      <w:pPr>
        <w:pStyle w:val="ListParagraph"/>
        <w:numPr>
          <w:ilvl w:val="0"/>
          <w:numId w:val="3"/>
        </w:numPr>
        <w:spacing w:after="90" w:line="268"/>
      </w:pPr>
      <w:r>
        <w:t xml:space="preserve">The Settings screen's audio retention value records your organization's intended retention policy. Confirm with your technical team what enforcement is currently active before relying on it for a compliance requirement.</w:t>
      </w:r>
    </w:p>
    <w:p>
      <w:pPr>
        <w:pStyle w:val="ListParagraph"/>
        <w:numPr>
          <w:ilvl w:val="0"/>
          <w:numId w:val="3"/>
        </w:numPr>
        <w:spacing w:after="90" w:line="268"/>
      </w:pPr>
      <w:r>
        <w:t xml:space="preserve">The organization's audit log records every session creation, recording-finalization, removal, settings change, and job retry, each with who performed it and when — useful for answering "who did what" during an incident review.</w:t>
      </w:r>
    </w:p>
    <w:p>
      <w:pPr>
        <w:pBdr>
          <w:bottom w:val="single" w:color="C9A227" w:sz="6" w:space="1"/>
        </w:pBdr>
        <w:spacing w:after="200" w:before="200"/>
      </w:pPr>
    </w:p>
    <w:p>
      <w:pPr>
        <w:pStyle w:val="Heading1"/>
        <w:spacing w:after="160" w:before="420"/>
      </w:pPr>
      <w:bookmarkStart w:name="bm_8-appendix-status-stage-reference_7" w:id="1"/>
      <w:r>
        <w:t xml:space="preserve">8. Appendix — Status &amp; Stage Reference</w:t>
      </w:r>
      <w:bookmarkEnd w:id="1"/>
    </w:p>
    <w:p>
      <w:pPr>
        <w:pStyle w:val="Heading2"/>
        <w:spacing w:after="160" w:before="300"/>
      </w:pPr>
      <w:bookmarkStart w:name="bm_session-status_8" w:id="1"/>
      <w:r>
        <w:t xml:space="preserve">Session status</w:t>
      </w:r>
      <w:bookmarkEnd w:id="1"/>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4770"/>
        <w:gridCol w:w="4770"/>
      </w:tblGrid>
      <w:tr>
        <w:trPr>
          <w:tblHeader/>
        </w:trPr>
        <w:tc>
          <w:tcPr>
            <w:tcW w:type="dxa" w:w="4770"/>
            <w:shd w:fill="1A1D23" w:val="clear"/>
            <w:tcMar>
              <w:top w:type="dxa" w:w="90"/>
              <w:left w:type="dxa" w:w="110"/>
              <w:bottom w:type="dxa" w:w="90"/>
              <w:right w:type="dxa" w:w="110"/>
            </w:tcMar>
          </w:tcPr>
          <w:p>
            <w:r>
              <w:rPr>
                <w:b/>
                <w:bCs/>
                <w:color w:val="FFFFFF"/>
                <w:sz w:val="18"/>
                <w:szCs w:val="18"/>
              </w:rPr>
              <w:t xml:space="preserve">Status</w:t>
            </w:r>
          </w:p>
        </w:tc>
        <w:tc>
          <w:tcPr>
            <w:tcW w:type="dxa" w:w="4770"/>
            <w:shd w:fill="1A1D23" w:val="clear"/>
            <w:tcMar>
              <w:top w:type="dxa" w:w="90"/>
              <w:left w:type="dxa" w:w="110"/>
              <w:bottom w:type="dxa" w:w="90"/>
              <w:right w:type="dxa" w:w="110"/>
            </w:tcMar>
          </w:tcPr>
          <w:p>
            <w:r>
              <w:rPr>
                <w:b/>
                <w:bCs/>
                <w:color w:val="FFFFFF"/>
                <w:sz w:val="18"/>
                <w:szCs w:val="18"/>
              </w:rPr>
              <w:t xml:space="preserve">Meaning</w:t>
            </w:r>
          </w:p>
        </w:tc>
      </w:tr>
      <w:tr>
        <w:tc>
          <w:tcPr>
            <w:tcW w:type="dxa" w:w="4770"/>
            <w:shd w:fill="FFFFFF" w:val="clear"/>
            <w:tcMar>
              <w:top w:type="dxa" w:w="90"/>
              <w:left w:type="dxa" w:w="110"/>
              <w:bottom w:type="dxa" w:w="90"/>
              <w:right w:type="dxa" w:w="110"/>
            </w:tcMar>
          </w:tcPr>
          <w:p>
            <w:pPr>
              <w:spacing w:line="260"/>
            </w:pPr>
            <w:r>
              <w:rPr>
                <w:sz w:val="18"/>
                <w:szCs w:val="18"/>
              </w:rPr>
              <w:t xml:space="preserve">Draft</w:t>
            </w:r>
          </w:p>
        </w:tc>
        <w:tc>
          <w:tcPr>
            <w:tcW w:type="dxa" w:w="4770"/>
            <w:shd w:fill="FFFFFF" w:val="clear"/>
            <w:tcMar>
              <w:top w:type="dxa" w:w="90"/>
              <w:left w:type="dxa" w:w="110"/>
              <w:bottom w:type="dxa" w:w="90"/>
              <w:right w:type="dxa" w:w="110"/>
            </w:tcMar>
          </w:tcPr>
          <w:p>
            <w:pPr>
              <w:spacing w:line="260"/>
            </w:pPr>
            <w:r>
              <w:rPr>
                <w:sz w:val="18"/>
                <w:szCs w:val="18"/>
              </w:rPr>
              <w:t xml:space="preserve">Session created, recording hasn't started</w:t>
            </w:r>
          </w:p>
        </w:tc>
      </w:tr>
      <w:tr>
        <w:tc>
          <w:tcPr>
            <w:tcW w:type="dxa" w:w="4770"/>
            <w:shd w:fill="F6F4EE" w:val="clear"/>
            <w:tcMar>
              <w:top w:type="dxa" w:w="90"/>
              <w:left w:type="dxa" w:w="110"/>
              <w:bottom w:type="dxa" w:w="90"/>
              <w:right w:type="dxa" w:w="110"/>
            </w:tcMar>
          </w:tcPr>
          <w:p>
            <w:pPr>
              <w:spacing w:line="260"/>
            </w:pPr>
            <w:r>
              <w:rPr>
                <w:sz w:val="18"/>
                <w:szCs w:val="18"/>
              </w:rPr>
              <w:t xml:space="preserve">Recording</w:t>
            </w:r>
          </w:p>
        </w:tc>
        <w:tc>
          <w:tcPr>
            <w:tcW w:type="dxa" w:w="4770"/>
            <w:shd w:fill="F6F4EE" w:val="clear"/>
            <w:tcMar>
              <w:top w:type="dxa" w:w="90"/>
              <w:left w:type="dxa" w:w="110"/>
              <w:bottom w:type="dxa" w:w="90"/>
              <w:right w:type="dxa" w:w="110"/>
            </w:tcMar>
          </w:tcPr>
          <w:p>
            <w:pPr>
              <w:spacing w:line="260"/>
            </w:pPr>
            <w:r>
              <w:rPr>
                <w:sz w:val="18"/>
                <w:szCs w:val="18"/>
              </w:rPr>
              <w:t xml:space="preserve">Actively capturing audio</w:t>
            </w:r>
          </w:p>
        </w:tc>
      </w:tr>
      <w:tr>
        <w:tc>
          <w:tcPr>
            <w:tcW w:type="dxa" w:w="4770"/>
            <w:shd w:fill="FFFFFF" w:val="clear"/>
            <w:tcMar>
              <w:top w:type="dxa" w:w="90"/>
              <w:left w:type="dxa" w:w="110"/>
              <w:bottom w:type="dxa" w:w="90"/>
              <w:right w:type="dxa" w:w="110"/>
            </w:tcMar>
          </w:tcPr>
          <w:p>
            <w:pPr>
              <w:spacing w:line="260"/>
            </w:pPr>
            <w:r>
              <w:rPr>
                <w:sz w:val="18"/>
                <w:szCs w:val="18"/>
              </w:rPr>
              <w:t xml:space="preserve">Processing</w:t>
            </w:r>
          </w:p>
        </w:tc>
        <w:tc>
          <w:tcPr>
            <w:tcW w:type="dxa" w:w="4770"/>
            <w:shd w:fill="FFFFFF" w:val="clear"/>
            <w:tcMar>
              <w:top w:type="dxa" w:w="90"/>
              <w:left w:type="dxa" w:w="110"/>
              <w:bottom w:type="dxa" w:w="90"/>
              <w:right w:type="dxa" w:w="110"/>
            </w:tcMar>
          </w:tcPr>
          <w:p>
            <w:pPr>
              <w:spacing w:line="260"/>
            </w:pPr>
            <w:r>
              <w:rPr>
                <w:sz w:val="18"/>
                <w:szCs w:val="18"/>
              </w:rPr>
              <w:t xml:space="preserve">Recording finished; transcription and AI analysis running</w:t>
            </w:r>
          </w:p>
        </w:tc>
      </w:tr>
      <w:tr>
        <w:tc>
          <w:tcPr>
            <w:tcW w:type="dxa" w:w="4770"/>
            <w:shd w:fill="F6F4EE" w:val="clear"/>
            <w:tcMar>
              <w:top w:type="dxa" w:w="90"/>
              <w:left w:type="dxa" w:w="110"/>
              <w:bottom w:type="dxa" w:w="90"/>
              <w:right w:type="dxa" w:w="110"/>
            </w:tcMar>
          </w:tcPr>
          <w:p>
            <w:pPr>
              <w:spacing w:line="260"/>
            </w:pPr>
            <w:r>
              <w:rPr>
                <w:sz w:val="18"/>
                <w:szCs w:val="18"/>
              </w:rPr>
              <w:t xml:space="preserve">Completed</w:t>
            </w:r>
          </w:p>
        </w:tc>
        <w:tc>
          <w:tcPr>
            <w:tcW w:type="dxa" w:w="4770"/>
            <w:shd w:fill="F6F4EE" w:val="clear"/>
            <w:tcMar>
              <w:top w:type="dxa" w:w="90"/>
              <w:left w:type="dxa" w:w="110"/>
              <w:bottom w:type="dxa" w:w="90"/>
              <w:right w:type="dxa" w:w="110"/>
            </w:tcMar>
          </w:tcPr>
          <w:p>
            <w:pPr>
              <w:spacing w:line="260"/>
            </w:pPr>
            <w:r>
              <w:rPr>
                <w:sz w:val="18"/>
                <w:szCs w:val="18"/>
              </w:rPr>
              <w:t xml:space="preserve">Transcript and summary are ready</w:t>
            </w:r>
          </w:p>
        </w:tc>
      </w:tr>
      <w:tr>
        <w:tc>
          <w:tcPr>
            <w:tcW w:type="dxa" w:w="4770"/>
            <w:shd w:fill="FFFFFF" w:val="clear"/>
            <w:tcMar>
              <w:top w:type="dxa" w:w="90"/>
              <w:left w:type="dxa" w:w="110"/>
              <w:bottom w:type="dxa" w:w="90"/>
              <w:right w:type="dxa" w:w="110"/>
            </w:tcMar>
          </w:tcPr>
          <w:p>
            <w:pPr>
              <w:spacing w:line="260"/>
            </w:pPr>
            <w:r>
              <w:rPr>
                <w:sz w:val="18"/>
                <w:szCs w:val="18"/>
              </w:rPr>
              <w:t xml:space="preserve">Failed</w:t>
            </w:r>
          </w:p>
        </w:tc>
        <w:tc>
          <w:tcPr>
            <w:tcW w:type="dxa" w:w="4770"/>
            <w:shd w:fill="FFFFFF" w:val="clear"/>
            <w:tcMar>
              <w:top w:type="dxa" w:w="90"/>
              <w:left w:type="dxa" w:w="110"/>
              <w:bottom w:type="dxa" w:w="90"/>
              <w:right w:type="dxa" w:w="110"/>
            </w:tcMar>
          </w:tcPr>
          <w:p>
            <w:pPr>
              <w:spacing w:line="260"/>
            </w:pPr>
            <w:r>
              <w:rPr>
                <w:sz w:val="18"/>
                <w:szCs w:val="18"/>
              </w:rPr>
              <w:t xml:space="preserve">Processing hit an error</w:t>
            </w:r>
          </w:p>
        </w:tc>
      </w:tr>
    </w:tbl>
    <w:p>
      <w:pPr>
        <w:pStyle w:val="Heading2"/>
        <w:spacing w:after="160" w:before="300"/>
      </w:pPr>
      <w:bookmarkStart w:name="bm_processing-stage_9" w:id="1"/>
      <w:r>
        <w:t xml:space="preserve">Processing stage</w:t>
      </w:r>
      <w:bookmarkEnd w:id="1"/>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4770"/>
        <w:gridCol w:w="4770"/>
      </w:tblGrid>
      <w:tr>
        <w:trPr>
          <w:tblHeader/>
        </w:trPr>
        <w:tc>
          <w:tcPr>
            <w:tcW w:type="dxa" w:w="4770"/>
            <w:shd w:fill="1A1D23" w:val="clear"/>
            <w:tcMar>
              <w:top w:type="dxa" w:w="90"/>
              <w:left w:type="dxa" w:w="110"/>
              <w:bottom w:type="dxa" w:w="90"/>
              <w:right w:type="dxa" w:w="110"/>
            </w:tcMar>
          </w:tcPr>
          <w:p>
            <w:r>
              <w:rPr>
                <w:b/>
                <w:bCs/>
                <w:color w:val="FFFFFF"/>
                <w:sz w:val="18"/>
                <w:szCs w:val="18"/>
              </w:rPr>
              <w:t xml:space="preserve">Stage</w:t>
            </w:r>
          </w:p>
        </w:tc>
        <w:tc>
          <w:tcPr>
            <w:tcW w:type="dxa" w:w="4770"/>
            <w:shd w:fill="1A1D23" w:val="clear"/>
            <w:tcMar>
              <w:top w:type="dxa" w:w="90"/>
              <w:left w:type="dxa" w:w="110"/>
              <w:bottom w:type="dxa" w:w="90"/>
              <w:right w:type="dxa" w:w="110"/>
            </w:tcMar>
          </w:tcPr>
          <w:p>
            <w:r>
              <w:rPr>
                <w:b/>
                <w:bCs/>
                <w:color w:val="FFFFFF"/>
                <w:sz w:val="18"/>
                <w:szCs w:val="18"/>
              </w:rPr>
              <w:t xml:space="preserve">Meaning</w:t>
            </w:r>
          </w:p>
        </w:tc>
      </w:tr>
      <w:tr>
        <w:tc>
          <w:tcPr>
            <w:tcW w:type="dxa" w:w="4770"/>
            <w:shd w:fill="FFFFFF" w:val="clear"/>
            <w:tcMar>
              <w:top w:type="dxa" w:w="90"/>
              <w:left w:type="dxa" w:w="110"/>
              <w:bottom w:type="dxa" w:w="90"/>
              <w:right w:type="dxa" w:w="110"/>
            </w:tcMar>
          </w:tcPr>
          <w:p>
            <w:pPr>
              <w:spacing w:line="260"/>
            </w:pPr>
            <w:r>
              <w:rPr>
                <w:sz w:val="18"/>
                <w:szCs w:val="18"/>
              </w:rPr>
              <w:t xml:space="preserve">Queued</w:t>
            </w:r>
          </w:p>
        </w:tc>
        <w:tc>
          <w:tcPr>
            <w:tcW w:type="dxa" w:w="4770"/>
            <w:shd w:fill="FFFFFF" w:val="clear"/>
            <w:tcMar>
              <w:top w:type="dxa" w:w="90"/>
              <w:left w:type="dxa" w:w="110"/>
              <w:bottom w:type="dxa" w:w="90"/>
              <w:right w:type="dxa" w:w="110"/>
            </w:tcMar>
          </w:tcPr>
          <w:p>
            <w:pPr>
              <w:spacing w:line="260"/>
            </w:pPr>
            <w:r>
              <w:rPr>
                <w:sz w:val="18"/>
                <w:szCs w:val="18"/>
              </w:rPr>
              <w:t xml:space="preserve">Waiting to begin</w:t>
            </w:r>
          </w:p>
        </w:tc>
      </w:tr>
      <w:tr>
        <w:tc>
          <w:tcPr>
            <w:tcW w:type="dxa" w:w="4770"/>
            <w:shd w:fill="F6F4EE" w:val="clear"/>
            <w:tcMar>
              <w:top w:type="dxa" w:w="90"/>
              <w:left w:type="dxa" w:w="110"/>
              <w:bottom w:type="dxa" w:w="90"/>
              <w:right w:type="dxa" w:w="110"/>
            </w:tcMar>
          </w:tcPr>
          <w:p>
            <w:pPr>
              <w:spacing w:line="260"/>
            </w:pPr>
            <w:r>
              <w:rPr>
                <w:sz w:val="18"/>
                <w:szCs w:val="18"/>
              </w:rPr>
              <w:t xml:space="preserve">Transcribing</w:t>
            </w:r>
          </w:p>
        </w:tc>
        <w:tc>
          <w:tcPr>
            <w:tcW w:type="dxa" w:w="4770"/>
            <w:shd w:fill="F6F4EE" w:val="clear"/>
            <w:tcMar>
              <w:top w:type="dxa" w:w="90"/>
              <w:left w:type="dxa" w:w="110"/>
              <w:bottom w:type="dxa" w:w="90"/>
              <w:right w:type="dxa" w:w="110"/>
            </w:tcMar>
          </w:tcPr>
          <w:p>
            <w:pPr>
              <w:spacing w:line="260"/>
            </w:pPr>
            <w:r>
              <w:rPr>
                <w:sz w:val="18"/>
                <w:szCs w:val="18"/>
              </w:rPr>
              <w:t xml:space="preserve">Converting the recording to text, segment by segment</w:t>
            </w:r>
          </w:p>
        </w:tc>
      </w:tr>
      <w:tr>
        <w:tc>
          <w:tcPr>
            <w:tcW w:type="dxa" w:w="4770"/>
            <w:shd w:fill="FFFFFF" w:val="clear"/>
            <w:tcMar>
              <w:top w:type="dxa" w:w="90"/>
              <w:left w:type="dxa" w:w="110"/>
              <w:bottom w:type="dxa" w:w="90"/>
              <w:right w:type="dxa" w:w="110"/>
            </w:tcMar>
          </w:tcPr>
          <w:p>
            <w:pPr>
              <w:spacing w:line="260"/>
            </w:pPr>
            <w:r>
              <w:rPr>
                <w:sz w:val="18"/>
                <w:szCs w:val="18"/>
              </w:rPr>
              <w:t xml:space="preserve">Merging transcript</w:t>
            </w:r>
          </w:p>
        </w:tc>
        <w:tc>
          <w:tcPr>
            <w:tcW w:type="dxa" w:w="4770"/>
            <w:shd w:fill="FFFFFF" w:val="clear"/>
            <w:tcMar>
              <w:top w:type="dxa" w:w="90"/>
              <w:left w:type="dxa" w:w="110"/>
              <w:bottom w:type="dxa" w:w="90"/>
              <w:right w:type="dxa" w:w="110"/>
            </w:tcMar>
          </w:tcPr>
          <w:p>
            <w:pPr>
              <w:spacing w:line="260"/>
            </w:pPr>
            <w:r>
              <w:rPr>
                <w:sz w:val="18"/>
                <w:szCs w:val="18"/>
              </w:rPr>
              <w:t xml:space="preserve">Combining all segments into one session transcript</w:t>
            </w:r>
          </w:p>
        </w:tc>
      </w:tr>
      <w:tr>
        <w:tc>
          <w:tcPr>
            <w:tcW w:type="dxa" w:w="4770"/>
            <w:shd w:fill="F6F4EE" w:val="clear"/>
            <w:tcMar>
              <w:top w:type="dxa" w:w="90"/>
              <w:left w:type="dxa" w:w="110"/>
              <w:bottom w:type="dxa" w:w="90"/>
              <w:right w:type="dxa" w:w="110"/>
            </w:tcMar>
          </w:tcPr>
          <w:p>
            <w:pPr>
              <w:spacing w:line="260"/>
            </w:pPr>
            <w:r>
              <w:rPr>
                <w:sz w:val="18"/>
                <w:szCs w:val="18"/>
              </w:rPr>
              <w:t xml:space="preserve">AI analysis</w:t>
            </w:r>
          </w:p>
        </w:tc>
        <w:tc>
          <w:tcPr>
            <w:tcW w:type="dxa" w:w="4770"/>
            <w:shd w:fill="F6F4EE" w:val="clear"/>
            <w:tcMar>
              <w:top w:type="dxa" w:w="90"/>
              <w:left w:type="dxa" w:w="110"/>
              <w:bottom w:type="dxa" w:w="90"/>
              <w:right w:type="dxa" w:w="110"/>
            </w:tcMar>
          </w:tcPr>
          <w:p>
            <w:pPr>
              <w:spacing w:line="260"/>
            </w:pPr>
            <w:r>
              <w:rPr>
                <w:sz w:val="18"/>
                <w:szCs w:val="18"/>
              </w:rPr>
              <w:t xml:space="preserve">Generating the executive summary, key points, questions, and action items</w:t>
            </w:r>
          </w:p>
        </w:tc>
      </w:tr>
      <w:tr>
        <w:tc>
          <w:tcPr>
            <w:tcW w:type="dxa" w:w="4770"/>
            <w:shd w:fill="FFFFFF" w:val="clear"/>
            <w:tcMar>
              <w:top w:type="dxa" w:w="90"/>
              <w:left w:type="dxa" w:w="110"/>
              <w:bottom w:type="dxa" w:w="90"/>
              <w:right w:type="dxa" w:w="110"/>
            </w:tcMar>
          </w:tcPr>
          <w:p>
            <w:pPr>
              <w:spacing w:line="260"/>
            </w:pPr>
            <w:r>
              <w:rPr>
                <w:sz w:val="18"/>
                <w:szCs w:val="18"/>
              </w:rPr>
              <w:t xml:space="preserve">Saving</w:t>
            </w:r>
          </w:p>
        </w:tc>
        <w:tc>
          <w:tcPr>
            <w:tcW w:type="dxa" w:w="4770"/>
            <w:shd w:fill="FFFFFF" w:val="clear"/>
            <w:tcMar>
              <w:top w:type="dxa" w:w="90"/>
              <w:left w:type="dxa" w:w="110"/>
              <w:bottom w:type="dxa" w:w="90"/>
              <w:right w:type="dxa" w:w="110"/>
            </w:tcMar>
          </w:tcPr>
          <w:p>
            <w:pPr>
              <w:spacing w:line="260"/>
            </w:pPr>
            <w:r>
              <w:rPr>
                <w:sz w:val="18"/>
                <w:szCs w:val="18"/>
              </w:rPr>
              <w:t xml:space="preserve">Writing the final results</w:t>
            </w:r>
          </w:p>
        </w:tc>
      </w:tr>
      <w:tr>
        <w:tc>
          <w:tcPr>
            <w:tcW w:type="dxa" w:w="4770"/>
            <w:shd w:fill="F6F4EE" w:val="clear"/>
            <w:tcMar>
              <w:top w:type="dxa" w:w="90"/>
              <w:left w:type="dxa" w:w="110"/>
              <w:bottom w:type="dxa" w:w="90"/>
              <w:right w:type="dxa" w:w="110"/>
            </w:tcMar>
          </w:tcPr>
          <w:p>
            <w:pPr>
              <w:spacing w:line="260"/>
            </w:pPr>
            <w:r>
              <w:rPr>
                <w:sz w:val="18"/>
                <w:szCs w:val="18"/>
              </w:rPr>
              <w:t xml:space="preserve">Completed</w:t>
            </w:r>
          </w:p>
        </w:tc>
        <w:tc>
          <w:tcPr>
            <w:tcW w:type="dxa" w:w="4770"/>
            <w:shd w:fill="F6F4EE" w:val="clear"/>
            <w:tcMar>
              <w:top w:type="dxa" w:w="90"/>
              <w:left w:type="dxa" w:w="110"/>
              <w:bottom w:type="dxa" w:w="90"/>
              <w:right w:type="dxa" w:w="110"/>
            </w:tcMar>
          </w:tcPr>
          <w:p>
            <w:pPr>
              <w:spacing w:line="260"/>
            </w:pPr>
            <w:r>
              <w:rPr>
                <w:sz w:val="18"/>
                <w:szCs w:val="18"/>
              </w:rPr>
              <w:t xml:space="preserve">Finished</w:t>
            </w:r>
          </w:p>
        </w:tc>
      </w:tr>
      <w:tr>
        <w:tc>
          <w:tcPr>
            <w:tcW w:type="dxa" w:w="4770"/>
            <w:shd w:fill="FFFFFF" w:val="clear"/>
            <w:tcMar>
              <w:top w:type="dxa" w:w="90"/>
              <w:left w:type="dxa" w:w="110"/>
              <w:bottom w:type="dxa" w:w="90"/>
              <w:right w:type="dxa" w:w="110"/>
            </w:tcMar>
          </w:tcPr>
          <w:p>
            <w:pPr>
              <w:spacing w:line="260"/>
            </w:pPr>
            <w:r>
              <w:rPr>
                <w:sz w:val="18"/>
                <w:szCs w:val="18"/>
              </w:rPr>
              <w:t xml:space="preserve">Failed</w:t>
            </w:r>
          </w:p>
        </w:tc>
        <w:tc>
          <w:tcPr>
            <w:tcW w:type="dxa" w:w="4770"/>
            <w:shd w:fill="FFFFFF" w:val="clear"/>
            <w:tcMar>
              <w:top w:type="dxa" w:w="90"/>
              <w:left w:type="dxa" w:w="110"/>
              <w:bottom w:type="dxa" w:w="90"/>
              <w:right w:type="dxa" w:w="110"/>
            </w:tcMar>
          </w:tcPr>
          <w:p>
            <w:pPr>
              <w:spacing w:line="260"/>
            </w:pPr>
            <w:r>
              <w:rPr>
                <w:sz w:val="18"/>
                <w:szCs w:val="18"/>
              </w:rPr>
              <w:t xml:space="preserve">An error occurred</w:t>
            </w:r>
          </w:p>
        </w:tc>
      </w:tr>
    </w:tbl>
    <w:sectPr>
      <w:headerReference w:type="default" r:id="rId7"/>
      <w:headerReference w:type="first" r:id="rId8"/>
      <w:footerReference w:type="default" r:id="rId9"/>
      <w:footerReference w:type="first" r:id="rId10"/>
      <w:pgSz w:w="12240" w:h="15840" w:orient="portrait"/>
      <w:pgMar w:top="1440" w:right="1350" w:bottom="1440" w:left="135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3C4" w:sz="4" w:space="4"/>
      </w:pBdr>
      <w:tabs>
        <w:tab w:val="right" w:pos="9026"/>
      </w:tabs>
    </w:pPr>
    <w:r>
      <w:rPr>
        <w:color w:val="4A4F58"/>
        <w:sz w:val="14"/>
        <w:szCs w:val="14"/>
      </w:rPr>
      <w:t xml:space="preserve">CONFIDENTIAL — Prepared exclusively for TerraNext Global Ventures</w:t>
    </w:r>
    <w:r>
      <w:t xml:space="preserve">	</w:t>
    </w:r>
    <w:r>
      <w:rPr>
        <w:color w:val="4A4F58"/>
        <w:sz w:val="14"/>
        <w:szCs w:val="14"/>
      </w:rPr>
      <w:t xml:space="preserve">Page </w:t>
    </w:r>
    <w:r>
      <w:rPr>
        <w:color w:val="4A4F58"/>
        <w:sz w:val="14"/>
        <w:szCs w:val="14"/>
      </w:rPr>
      <w:fldChar w:fldCharType="begin"/>
      <w:instrText xml:space="preserve">PAGE</w:instrText>
      <w:fldChar w:fldCharType="separate"/>
      <w:fldChar w:fldCharType="end"/>
    </w:r>
    <w:r>
      <w:rPr>
        <w:color w:val="4A4F58"/>
        <w:sz w:val="14"/>
        <w:szCs w:val="14"/>
      </w:rPr>
      <w:t xml:space="preserve"> of </w:t>
    </w:r>
    <w:r>
      <w:rPr>
        <w:color w:val="4A4F58"/>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4"/>
      </w:pBdr>
      <w:jc w:val="right"/>
    </w:pPr>
    <w:r>
      <w:rPr>
        <w:b/>
        <w:bCs/>
        <w:color w:val="1A1D23"/>
        <w:sz w:val="16"/>
        <w:szCs w:val="16"/>
      </w:rPr>
      <w:t xml:space="preserve">AI Intelligence Platform </w:t>
    </w:r>
    <w:r>
      <w:rPr>
        <w:color w:val="4A4F58"/>
        <w:sz w:val="16"/>
        <w:szCs w:val="16"/>
      </w:rPr>
      <w:t xml:space="preserve">— Operations Manual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27" w:sz="8" w:space="6"/>
      </w:pBdr>
      <w:spacing w:after="180" w:before="420"/>
    </w:pPr>
    <w:rPr>
      <w:rFonts w:ascii="Calibri" w:cs="Calibri" w:eastAsia="Calibri" w:hAnsi="Calibri"/>
      <w:b/>
      <w:bCs/>
      <w:color w:val="1A1D23"/>
      <w:sz w:val="34"/>
      <w:szCs w:val="34"/>
    </w:rPr>
  </w:style>
  <w:style w:type="paragraph" w:styleId="Heading2">
    <w:name w:val="Heading 2"/>
    <w:basedOn w:val="Normal"/>
    <w:next w:val="Normal"/>
    <w:qFormat/>
    <w:pPr>
      <w:spacing w:after="140" w:before="320"/>
    </w:pPr>
    <w:rPr>
      <w:rFonts w:ascii="Calibri" w:cs="Calibri" w:eastAsia="Calibri" w:hAnsi="Calibri"/>
      <w:b/>
      <w:bCs/>
      <w:color w:val="1A1D23"/>
      <w:sz w:val="27"/>
      <w:szCs w:val="27"/>
    </w:rPr>
  </w:style>
  <w:style w:type="paragraph" w:styleId="Heading3">
    <w:name w:val="Heading 3"/>
    <w:basedOn w:val="Normal"/>
    <w:next w:val="Normal"/>
    <w:qFormat/>
    <w:pPr>
      <w:spacing w:after="100" w:before="260"/>
    </w:pPr>
    <w:rPr>
      <w:rFonts w:ascii="Calibri" w:cs="Calibri" w:eastAsia="Calibri" w:hAnsi="Calibri"/>
      <w:b/>
      <w:bCs/>
      <w:color w:val="8A6D1D"/>
      <w:sz w:val="23"/>
      <w:szCs w:val="23"/>
    </w:rPr>
  </w:style>
  <w:style w:type="paragraph" w:styleId="Heading4">
    <w:name w:val="Heading 4"/>
    <w:basedOn w:val="Normal"/>
    <w:next w:val="Normal"/>
    <w:qFormat/>
    <w:pPr>
      <w:spacing w:after="90" w:before="200"/>
    </w:pPr>
    <w:rPr>
      <w:rFonts w:ascii="Calibri" w:cs="Calibri" w:eastAsia="Calibri" w:hAnsi="Calibri"/>
      <w:b/>
      <w:bCs/>
      <w:i/>
      <w:iCs/>
      <w:color w:val="4A4F58"/>
      <w:sz w:val="21"/>
      <w:szCs w:val="21"/>
    </w:rPr>
  </w:style>
  <w:style w:type="paragraph" w:styleId="Hyperlink">
    <w:name w:val="Hyperlink"/>
    <w:basedOn w:val="Normal"/>
    <w:rPr>
      <w:color w:val="C9A227"/>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f521d2052d9a946d035456f82cebdf02d1e7a0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Intelligence Platform — Operations Manual</dc:title>
  <dc:creator>TerraNext Global Ventures</dc:creator>
  <dc:description>AI Intelligence Platform documentation, prepared for TerraNext Global Ventures.</dc:description>
  <cp:lastModifiedBy>Un-named</cp:lastModifiedBy>
  <cp:revision>1</cp:revision>
  <dcterms:created xsi:type="dcterms:W3CDTF">2026-08-02T14:23:17.170Z</dcterms:created>
  <dcterms:modified xsi:type="dcterms:W3CDTF">2026-08-02T14:23:17.170Z</dcterms:modified>
</cp:coreProperties>
</file>

<file path=docProps/custom.xml><?xml version="1.0" encoding="utf-8"?>
<Properties xmlns="http://schemas.openxmlformats.org/officeDocument/2006/custom-properties" xmlns:vt="http://schemas.openxmlformats.org/officeDocument/2006/docPropsVTypes"/>
</file>