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rPr>
          <w:trHeight w:val="12800" w:hRule="exact"/>
        </w:trPr>
        <w:tc>
          <w:tcPr>
            <w:tcW w:type="dxa" w:w="9540"/>
            <w:shd w:fill="1A1D23" w:val="clear"/>
            <w:tcMar>
              <w:top w:type="dxa" w:w="200"/>
              <w:left w:type="dxa" w:w="500"/>
              <w:bottom w:type="dxa" w:w="200"/>
              <w:right w:type="dxa" w:w="500"/>
            </w:tcMar>
            <w:vAlign w:val="center"/>
          </w:tcPr>
          <w:p>
            <w:pPr>
              <w:spacing w:after="900"/>
            </w:pP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pacing w:val="20"/>
                <w:sz w:val="22"/>
                <w:szCs w:val="22"/>
              </w:rPr>
              <w:t xml:space="preserve">TERRANEXT GLOBAL VENTURES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2"/>
                <w:szCs w:val="62"/>
              </w:rPr>
              <w:t xml:space="preserve">AI Intelligence Platform</w:t>
            </w:r>
          </w:p>
          <w:p>
            <w:pPr>
              <w:spacing w:after="7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8B64C"/>
                <w:sz w:val="34"/>
                <w:szCs w:val="34"/>
              </w:rPr>
              <w:t xml:space="preserve">Technical Architecture Guide</w:t>
            </w:r>
          </w:p>
          <w:p>
            <w:pPr>
              <w:pBdr>
                <w:top w:val="single" w:color="C9A227" w:sz="4" w:space="8"/>
              </w:pBdr>
              <w:spacing w:after="40"/>
              <w:jc w:val="center"/>
            </w:pPr>
            <w:r>
              <w:rPr>
                <w:color w:val="FFFFFF"/>
                <w:sz w:val="20"/>
                <w:szCs w:val="20"/>
              </w:rPr>
              <w:t xml:space="preserve">Document 3 of 8  ·  Version 1.0</w:t>
            </w:r>
          </w:p>
          <w:p>
            <w:pPr>
              <w:spacing w:after="700"/>
              <w:jc w:val="center"/>
            </w:pPr>
            <w:r>
              <w:rPr>
                <w:color w:val="B9BCC2"/>
                <w:sz w:val="20"/>
                <w:szCs w:val="20"/>
              </w:rPr>
              <w:t xml:space="preserve">August 2, 2026</w:t>
            </w:r>
          </w:p>
          <w:p>
            <w:pPr>
              <w:jc w:val="center"/>
            </w:pPr>
            <w:r>
              <w:rPr>
                <w:i/>
                <w:iCs/>
                <w:color w:val="8A8E97"/>
                <w:sz w:val="18"/>
                <w:szCs w:val="18"/>
              </w:rPr>
              <w:t xml:space="preserve">CONFIDENTIAL — Prepared exclusively for TerraNext Global Ventures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bookmarkStart w:name="bm_document-control_11" w:id="1"/>
      <w:r>
        <w:t xml:space="preserve">Document Control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40"/>
      </w:tblGrid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AI Intelligence Platform — Technical Architecture Guide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Business OS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Confidential — Client Delivery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TerraNext Global Ventures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Engineering Documentation Team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Final</w:t>
            </w:r>
          </w:p>
        </w:tc>
      </w:tr>
      <w:tr>
        <w:tc>
          <w:tcPr>
            <w:tcW w:type="dxa" w:w="2600"/>
            <w:shd w:fill="F6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4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Developer Guide; API &amp; AI Workflow Guide; Known Limitations &amp; Engineering Notes</w:t>
            </w:r>
          </w:p>
        </w:tc>
      </w:tr>
    </w:tbl>
    <w:p>
      <w:pPr>
        <w:spacing w:before="300"/>
      </w:pPr>
    </w:p>
    <w:p>
      <w:pPr>
        <w:pStyle w:val="Heading1"/>
        <w:spacing w:after="160" w:before="420"/>
      </w:pPr>
      <w:bookmarkStart w:name="bm_version-history_12" w:id="1"/>
      <w:r>
        <w:t xml:space="preserve">Version History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940"/>
      </w:tblGrid>
      <w:tr>
        <w:trPr>
          <w:tblHeader/>
        </w:trPr>
        <w:tc>
          <w:tcPr>
            <w:tcW w:type="dxa" w:w="12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80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940"/>
            <w:shd w:fill="1A1D2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 of Changes</w:t>
            </w:r>
          </w:p>
        </w:tc>
      </w:tr>
      <w:tr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2026-08-02</w:t>
            </w:r>
          </w:p>
        </w:tc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Engineering Documentation Team</w:t>
            </w:r>
          </w:p>
        </w:tc>
        <w:tc>
          <w:tcPr>
            <w:tcW w:type="dxa" w:w="394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Initial release — converted from the Markdown source of truth for client handover.</w:t>
            </w:r>
          </w:p>
        </w:tc>
      </w:tr>
    </w:tbl>
    <w:p>
      <w:pPr>
        <w:spacing w:before="300"/>
      </w:pPr>
      <w:r>
        <w:br w:type="page"/>
      </w:r>
    </w:p>
    <w:p>
      <w:pPr>
        <w:pStyle w:val="Heading1"/>
        <w:spacing w:after="160" w:before="420"/>
      </w:pPr>
      <w:bookmarkStart w:name="bm_table-of-contents_13" w:id="1"/>
      <w:r>
        <w:t xml:space="preserve">Table of Contents</w:t>
      </w:r>
      <w:bookmarkEnd w:id="1"/>
    </w:p>
    <w:p>
      <w:pPr>
        <w:spacing w:after="200"/>
      </w:pPr>
      <w:r>
        <w:rPr>
          <w:i/>
          <w:iCs/>
          <w:color w:val="4A4F58"/>
          <w:sz w:val="18"/>
          <w:szCs w:val="18"/>
        </w:rPr>
        <w:t xml:space="preserve">Right-click this table and choose "Update Field" → "Update entire table" to populate page numbers after opening this document in Word.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60" w:line="276"/>
      </w:pPr>
      <w:r>
        <w:t xml:space="preserve">Every diagram and claim below is derived from the current implementation, not a design intent. Implementation gaps, trade-offs, and forward-looking notes are deliberately kept out of this document — they are consolidated in </w:t>
      </w:r>
      <w:r>
        <w:rPr>
          <w:b/>
          <w:bCs/>
          <w:color w:val="1A1D23"/>
        </w:rPr>
        <w:t xml:space="preserve">04 — Known Limitations &amp; Engineering Notes</w:t>
      </w:r>
      <w:r>
        <w:t xml:space="preserve">, referenced by ID (e.g. </w:t>
      </w:r>
      <w:r>
        <w:rPr>
          <w:b/>
          <w:bCs/>
        </w:rPr>
        <w:t xml:space="preserve">L1</w:t>
      </w:r>
      <w:r>
        <w:t xml:space="preserve">, </w:t>
      </w:r>
      <w:r>
        <w:rPr>
          <w:b/>
          <w:bCs/>
        </w:rPr>
        <w:t xml:space="preserve">P2</w:t>
      </w:r>
      <w:r>
        <w:t xml:space="preserve">, </w:t>
      </w:r>
      <w:r>
        <w:rPr>
          <w:b/>
          <w:bCs/>
        </w:rPr>
        <w:t xml:space="preserve">R1</w:t>
      </w:r>
      <w:r>
        <w:t xml:space="preserve">) wherever relevant below.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1-module-boundary-and-code-layout_0" w:id="1"/>
      <w:r>
        <w:t xml:space="preserve">1. Module boundary and code layout</w:t>
      </w:r>
      <w:bookmarkEnd w:id="1"/>
    </w:p>
    <w:p>
      <w:pPr>
        <w:spacing w:after="160" w:line="276"/>
      </w:pPr>
      <w:r>
        <w:t xml:space="preserve">The module is a self-contained "feature" following the repo's standard feature-slice pattern (Doc 02), plus a small Cloud Functions package for the parts of the pipeline that must run server-side, unattended, and outside the request/response lifecycle of the web app.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D8D3C4" w:sz="2"/>
              <w:left w:val="single" w:color="D8D3C4" w:sz="2"/>
              <w:bottom w:val="single" w:color="D8D3C4" w:sz="2"/>
              <w:right w:val="single" w:color="D8D3C4" w:sz="2"/>
            </w:tcBorders>
            <w:shd w:fill="F6F4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src/features/ai-intelligence/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schema.ts            — Zod schemas, constants, TypeScript read-model types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logic.ts             — pure functions (chunk planning, storage paths, labels, formatting)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repository.ts        — all Firestore reads/writes (Admin SDK)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queries.ts           — read-only query façade used by Server Components (pages)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actions/             — 'use server' mutations (create, delete, record-audio, retry, settings)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components/          — client + server UI components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index.ts             — the only import surface other code is meant to use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src/app/(app)/ai/       — 7 Next.js pages (thin: permission check + data fetch + render)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functions/src/ai/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process-session-job.ts     — the one Cloud Function (Firestore trigger)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chunk-pipeline.ts          — pure merge/selection logic, unit-tested independently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retry-with-backoff.ts      — generic retry helper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F2328"/>
                <w:sz w:val="18"/>
                <w:szCs w:val="18"/>
              </w:rPr>
              <w:t xml:space="preserve">  providers/                 — provider abstraction (types, factory, mock, gemini, openai, json)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Everything outside </w:t>
      </w:r>
      <w:r>
        <w:rPr>
          <w:rFonts w:ascii="Consolas" w:cs="Consolas" w:eastAsia="Consolas" w:hAnsi="Consolas"/>
          <w:shd w:fill="F1EFE6" w:val="clear"/>
        </w:rPr>
        <w:t xml:space="preserve">src/features/ai-intelligence/index.ts</w:t>
      </w:r>
      <w:r>
        <w:t xml:space="preserve">'s exports is private to the module by convention (lint-enforced import boundaries per Doc 02). The Next.js app and the Cloud Functions package never call each other directly — they communicate exclusively by writing and watching Firestore documents.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2-system-architecture_1" w:id="1"/>
      <w:r>
        <w:t xml:space="preserve">2. System architecture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3952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1. System architecture — component and data-flow overview.</w:t>
      </w:r>
    </w:p>
    <w:p>
      <w:pPr>
        <w:pStyle w:val="Heading2"/>
        <w:spacing w:after="160" w:before="300"/>
      </w:pPr>
      <w:bookmarkStart w:name="bm_key-architectural-facts_2" w:id="1"/>
      <w:r>
        <w:t xml:space="preserve">Key architectural facts</w:t>
      </w:r>
      <w:bookmarkEnd w:id="1"/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No client-side Firestore SDK reads.</w:t>
      </w:r>
      <w:r>
        <w:t xml:space="preserve"> "Live" UI updates are implemented via a client component (</w:t>
      </w:r>
      <w:r>
        <w:rPr>
          <w:rFonts w:ascii="Consolas" w:cs="Consolas" w:eastAsia="Consolas" w:hAnsi="Consolas"/>
          <w:shd w:fill="F1EFE6" w:val="clear"/>
        </w:rPr>
        <w:t xml:space="preserve">AutoRefresh</w:t>
      </w:r>
      <w:r>
        <w:t xml:space="preserve">) calling </w:t>
      </w:r>
      <w:r>
        <w:rPr>
          <w:rFonts w:ascii="Consolas" w:cs="Consolas" w:eastAsia="Consolas" w:hAnsi="Consolas"/>
          <w:shd w:fill="F1EFE6" w:val="clear"/>
        </w:rPr>
        <w:t xml:space="preserve">router.refresh()</w:t>
      </w:r>
      <w:r>
        <w:t xml:space="preserve"> on a </w:t>
      </w:r>
      <w:r>
        <w:rPr>
          <w:rFonts w:ascii="Consolas" w:cs="Consolas" w:eastAsia="Consolas" w:hAnsi="Consolas"/>
          <w:shd w:fill="F1EFE6" w:val="clear"/>
        </w:rPr>
        <w:t xml:space="preserve">setInterval</w:t>
      </w:r>
      <w:r>
        <w:t xml:space="preserve">, not </w:t>
      </w:r>
      <w:r>
        <w:rPr>
          <w:rFonts w:ascii="Consolas" w:cs="Consolas" w:eastAsia="Consolas" w:hAnsi="Consolas"/>
          <w:shd w:fill="F1EFE6" w:val="clear"/>
        </w:rPr>
        <w:t xml:space="preserve">onSnapshot</w:t>
      </w:r>
      <w:r>
        <w:t xml:space="preserve"> realtime listeners (see </w:t>
      </w:r>
      <w:r>
        <w:rPr>
          <w:b/>
          <w:bCs/>
        </w:rPr>
        <w:t xml:space="preserve">L10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Every Firestore write to an AI collection is `allow write: if false`.</w:t>
      </w:r>
      <w:r>
        <w:t xml:space="preserve"> All writes happen exclusively through the Admin SDK: Next.js Server Actions (</w:t>
      </w:r>
      <w:r>
        <w:rPr>
          <w:rFonts w:ascii="Consolas" w:cs="Consolas" w:eastAsia="Consolas" w:hAnsi="Consolas"/>
          <w:shd w:fill="F1EFE6" w:val="clear"/>
        </w:rPr>
        <w:t xml:space="preserve">adminDb()</w:t>
      </w:r>
      <w:r>
        <w:t xml:space="preserve">) or the Cloud Function. No browser can write directly to any AI collection, regardless of role.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Audio never passes through the Next.js server.</w:t>
      </w:r>
      <w:r>
        <w:t xml:space="preserve"> The browser uploads chunks directly to Cloud Storage via a short-lived (30-minute) v4 signed URL minted by a server action.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The Next.js app and the Cloud Function never call each other's code.</w:t>
      </w:r>
      <w:r>
        <w:t xml:space="preserve"> The only coupling is the </w:t>
      </w:r>
      <w:r>
        <w:rPr>
          <w:rFonts w:ascii="Consolas" w:cs="Consolas" w:eastAsia="Consolas" w:hAnsi="Consolas"/>
          <w:shd w:fill="F1EFE6" w:val="clear"/>
        </w:rPr>
        <w:t xml:space="preserve">aiProcessingJobs</w:t>
      </w:r>
      <w:r>
        <w:t xml:space="preserve"> collection: the app creates a job document with </w:t>
      </w:r>
      <w:r>
        <w:rPr>
          <w:rFonts w:ascii="Consolas" w:cs="Consolas" w:eastAsia="Consolas" w:hAnsi="Consolas"/>
          <w:shd w:fill="F1EFE6" w:val="clear"/>
        </w:rPr>
        <w:t xml:space="preserve">stage: 'queued'</w:t>
      </w:r>
      <w:r>
        <w:t xml:space="preserve">; the function's Firestore trigger reacts to that write. Either side could be redeployed or rewritten independently as long as the job/session document contract is preserved.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3-workflow-diagram-end-to-end_3" w:id="1"/>
      <w:r>
        <w:t xml:space="preserve">3. Workflow diagram (end to end)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5495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2. End-to-end recording and processing workflow.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4-sequence-diagram-one-full-session_4" w:id="1"/>
      <w:r>
        <w:t xml:space="preserve">4. Sequence diagram — one full session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3. Sequence diagram — one full session, client through provider.</w:t>
      </w:r>
    </w:p>
    <w:p>
      <w:pPr>
        <w:spacing w:after="160" w:line="276"/>
      </w:pPr>
      <w:r>
        <w:t xml:space="preserve">Chunks are transcribed strictly sequentially, not concurrently — see </w:t>
      </w:r>
      <w:r>
        <w:rPr>
          <w:b/>
          <w:bCs/>
        </w:rPr>
        <w:t xml:space="preserve">R1</w:t>
      </w:r>
      <w:r>
        <w:t xml:space="preserve">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5-processing-pipeline-stage-state-machine_5" w:id="1"/>
      <w:r>
        <w:t xml:space="preserve">5. Processing pipeline (stage state machine)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4. Processing pipeline stage state machine.</w:t>
      </w:r>
    </w:p>
    <w:p>
      <w:pPr>
        <w:spacing w:after="160" w:line="276"/>
      </w:pPr>
      <w:r>
        <w:rPr>
          <w:rFonts w:ascii="Consolas" w:cs="Consolas" w:eastAsia="Consolas" w:hAnsi="Consolas"/>
          <w:shd w:fill="F1EFE6" w:val="clear"/>
        </w:rPr>
        <w:t xml:space="preserve">progressPercent</w:t>
      </w:r>
      <w:r>
        <w:t xml:space="preserve"> shown in the UI is a fixed mapping, not a continuous measure: </w:t>
      </w:r>
      <w:r>
        <w:rPr>
          <w:rFonts w:ascii="Consolas" w:cs="Consolas" w:eastAsia="Consolas" w:hAnsi="Consolas"/>
          <w:shd w:fill="F1EFE6" w:val="clear"/>
        </w:rPr>
        <w:t xml:space="preserve">queued=0, transcribing=15, merging=60, analyzing=70, saving=90, completed=100, failed=0</w:t>
      </w:r>
      <w:r>
        <w:t xml:space="preserve"> (the failed state resets the bar rather than freezing it at its last value).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6-database-diagram_6" w:id="1"/>
      <w:r>
        <w:t xml:space="preserve">6. Database diagram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5. Database entity-relationship diagram.</w:t>
      </w:r>
    </w:p>
    <w:p>
      <w:pPr>
        <w:spacing w:after="160" w:line="276"/>
      </w:pPr>
      <w:r>
        <w:t xml:space="preserve">Full field-by-field detail (exact types as coded) is in </w:t>
      </w:r>
      <w:r>
        <w:rPr>
          <w:b/>
          <w:bCs/>
          <w:color w:val="1A1D23"/>
        </w:rPr>
        <w:t xml:space="preserve">02 — Developer Guide §3</w:t>
      </w:r>
      <w:r>
        <w:t xml:space="preserve">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7-cloud-function-internal-flow_7" w:id="1"/>
      <w:r>
        <w:t xml:space="preserve">7. Cloud Function internal flow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708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6. processAiSessionJob internal control flow.</w:t>
      </w:r>
    </w:p>
    <w:p>
      <w:pPr>
        <w:spacing w:after="160" w:line="276"/>
      </w:pPr>
      <w:r>
        <w:t xml:space="preserve">Config on this function: </w:t>
      </w:r>
      <w:r>
        <w:rPr>
          <w:rFonts w:ascii="Consolas" w:cs="Consolas" w:eastAsia="Consolas" w:hAnsi="Consolas"/>
          <w:shd w:fill="F1EFE6" w:val="clear"/>
        </w:rPr>
        <w:t xml:space="preserve">secrets: [GEMINI_API_KEY, OPENAI_API_KEY]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memory: '1GiB'</w:t>
      </w:r>
      <w:r>
        <w:t xml:space="preserve">, </w:t>
      </w:r>
      <w:r>
        <w:rPr>
          <w:rFonts w:ascii="Consolas" w:cs="Consolas" w:eastAsia="Consolas" w:hAnsi="Consolas"/>
          <w:shd w:fill="F1EFE6" w:val="clear"/>
        </w:rPr>
        <w:t xml:space="preserve">timeoutSeconds: 540</w:t>
      </w:r>
      <w:r>
        <w:t xml:space="preserve"> (9 minutes), region </w:t>
      </w:r>
      <w:r>
        <w:rPr>
          <w:rFonts w:ascii="Consolas" w:cs="Consolas" w:eastAsia="Consolas" w:hAnsi="Consolas"/>
          <w:shd w:fill="F1EFE6" w:val="clear"/>
        </w:rPr>
        <w:t xml:space="preserve">asia-south1</w:t>
      </w:r>
      <w:r>
        <w:t xml:space="preserve"> (global default, </w:t>
      </w:r>
      <w:r>
        <w:rPr>
          <w:rFonts w:ascii="Consolas" w:cs="Consolas" w:eastAsia="Consolas" w:hAnsi="Consolas"/>
          <w:shd w:fill="F1EFE6" w:val="clear"/>
        </w:rPr>
        <w:t xml:space="preserve">maxInstances: 10</w:t>
      </w:r>
      <w:r>
        <w:t xml:space="preserve">). See </w:t>
      </w:r>
      <w:r>
        <w:rPr>
          <w:b/>
          <w:bCs/>
        </w:rPr>
        <w:t xml:space="preserve">R2</w:t>
      </w:r>
      <w:r>
        <w:t xml:space="preserve">, </w:t>
      </w:r>
      <w:r>
        <w:rPr>
          <w:b/>
          <w:bCs/>
        </w:rPr>
        <w:t xml:space="preserve">R3</w:t>
      </w:r>
      <w:r>
        <w:t xml:space="preserve">, </w:t>
      </w:r>
      <w:r>
        <w:rPr>
          <w:b/>
          <w:bCs/>
        </w:rPr>
        <w:t xml:space="preserve">R4</w:t>
      </w:r>
      <w:r>
        <w:t xml:space="preserve"> for the performance implications of this configuration.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8-recording-flow-client-side-state-machine_8" w:id="1"/>
      <w:r>
        <w:t xml:space="preserve">8. Recording flow (client-side state machine)</w:t>
      </w:r>
      <w:bookmarkEnd w:id="1"/>
    </w:p>
    <w:p>
      <w:pPr>
        <w:spacing w:after="60" w:before="160"/>
        <w:jc w:val="center"/>
      </w:pPr>
      <w:r>
        <w:drawing>
          <wp:inline distT="0" distB="0" distL="0" distR="0">
            <wp:extent cx="5934075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A4F58"/>
          <w:sz w:val="17"/>
          <w:szCs w:val="17"/>
        </w:rPr>
        <w:t xml:space="preserve">Figure 7. Client-side recording state machine.</w:t>
      </w:r>
    </w:p>
    <w:p>
      <w:pPr>
        <w:spacing w:after="160" w:line="276"/>
      </w:pPr>
      <w:r>
        <w:t xml:space="preserve">The recorder does not use one continuous </w:t>
      </w:r>
      <w:r>
        <w:rPr>
          <w:rFonts w:ascii="Consolas" w:cs="Consolas" w:eastAsia="Consolas" w:hAnsi="Consolas"/>
          <w:shd w:fill="F1EFE6" w:val="clear"/>
        </w:rPr>
        <w:t xml:space="preserve">MediaRecorder</w:t>
      </w:r>
      <w:r>
        <w:t xml:space="preserve"> instance for the whole session. It deliberately stops and restarts a new </w:t>
      </w:r>
      <w:r>
        <w:rPr>
          <w:rFonts w:ascii="Consolas" w:cs="Consolas" w:eastAsia="Consolas" w:hAnsi="Consolas"/>
          <w:shd w:fill="F1EFE6" w:val="clear"/>
        </w:rPr>
        <w:t xml:space="preserve">MediaRecorder</w:t>
      </w:r>
      <w:r>
        <w:t xml:space="preserve"> on the same </w:t>
      </w:r>
      <w:r>
        <w:rPr>
          <w:rFonts w:ascii="Consolas" w:cs="Consolas" w:eastAsia="Consolas" w:hAnsi="Consolas"/>
          <w:shd w:fill="F1EFE6" w:val="clear"/>
        </w:rPr>
        <w:t xml:space="preserve">MediaStream</w:t>
      </w:r>
      <w:r>
        <w:t xml:space="preserve"> at each 10-minute boundary, because concatenated </w:t>
      </w:r>
      <w:r>
        <w:rPr>
          <w:rFonts w:ascii="Consolas" w:cs="Consolas" w:eastAsia="Consolas" w:hAnsi="Consolas"/>
          <w:shd w:fill="F1EFE6" w:val="clear"/>
        </w:rPr>
        <w:t xml:space="preserve">ondataavailable</w:t>
      </w:r>
      <w:r>
        <w:t xml:space="preserve"> blobs from one continuous recorder are not independently decodable audio files, while stop/restart produces genuinely independent, valid files per chunk — at the cost of a sub-100ms audio gap at each boundary. The last allowed chunk (index 8, the 9th chunk) receives no rollover timer of its own, only the whole-session 90-minute cap or a manual Stop — this avoids a rollover and the auto-stop firing in the same instant and producing a 10th, over-the-limit chunk. See </w:t>
      </w:r>
      <w:r>
        <w:rPr>
          <w:b/>
          <w:bCs/>
        </w:rPr>
        <w:t xml:space="preserve">L9</w:t>
      </w:r>
      <w:r>
        <w:t xml:space="preserve"> for what happens if the tab closes mid-recording.</w:t>
      </w: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9-security-architecture-summary_9" w:id="1"/>
      <w:r>
        <w:t xml:space="preserve">9. Security architecture summary</w:t>
      </w:r>
      <w:bookmarkEnd w:id="1"/>
    </w:p>
    <w:p>
      <w:pPr>
        <w:spacing w:after="160" w:line="276"/>
      </w:pPr>
      <w:r>
        <w:t xml:space="preserve">Full detail in </w:t>
      </w:r>
      <w:r>
        <w:rPr>
          <w:b/>
          <w:bCs/>
          <w:color w:val="1A1D23"/>
        </w:rPr>
        <w:t xml:space="preserve">02 — Developer Guide §5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Firestore:</w:t>
      </w:r>
      <w:r>
        <w:t xml:space="preserve"> all 6 AI collections/subcollection are read-gated by role (generated </w:t>
      </w:r>
      <w:r>
        <w:rPr>
          <w:rFonts w:ascii="Consolas" w:cs="Consolas" w:eastAsia="Consolas" w:hAnsi="Consolas"/>
          <w:shd w:fill="F1EFE6" w:val="clear"/>
        </w:rPr>
        <w:t xml:space="preserve">can_aiIntelligence_view()</w:t>
      </w:r>
      <w:r>
        <w:t xml:space="preserve"> and sibling predicates, sourced from the same </w:t>
      </w:r>
      <w:r>
        <w:rPr>
          <w:rFonts w:ascii="Consolas" w:cs="Consolas" w:eastAsia="Consolas" w:hAnsi="Consolas"/>
          <w:shd w:fill="F1EFE6" w:val="clear"/>
        </w:rPr>
        <w:t xml:space="preserve">ROLE_PERMISSIONS</w:t>
      </w:r>
      <w:r>
        <w:t xml:space="preserve"> map that drives the app) and </w:t>
      </w:r>
      <w:r>
        <w:rPr>
          <w:b/>
          <w:bCs/>
        </w:rPr>
        <w:t xml:space="preserve">write-denied to every client unconditionally</w:t>
      </w:r>
      <w:r>
        <w:t xml:space="preserve"> (</w:t>
      </w:r>
      <w:r>
        <w:rPr>
          <w:rFonts w:ascii="Consolas" w:cs="Consolas" w:eastAsia="Consolas" w:hAnsi="Consolas"/>
          <w:shd w:fill="F1EFE6" w:val="clear"/>
        </w:rPr>
        <w:t xml:space="preserve">allow write: if false</w:t>
      </w:r>
      <w:r>
        <w:t xml:space="preserve">). Authorization for who can do what is enforced entirely in the Server Actions, not in rules. See </w:t>
      </w:r>
      <w:r>
        <w:rPr>
          <w:b/>
          <w:bCs/>
        </w:rPr>
        <w:t xml:space="preserve">L1</w:t>
      </w:r>
      <w:r>
        <w:t xml:space="preserve">/</w:t>
      </w:r>
      <w:r>
        <w:rPr>
          <w:b/>
          <w:bCs/>
        </w:rPr>
        <w:t xml:space="preserve">L2</w:t>
      </w:r>
      <w:r>
        <w:t xml:space="preserve"> for the scope of what "role-gated" does and does not restrict today.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Storage:</w:t>
      </w:r>
      <w:r>
        <w:t xml:space="preserve"> </w:t>
      </w:r>
      <w:r>
        <w:rPr>
          <w:rFonts w:ascii="Consolas" w:cs="Consolas" w:eastAsia="Consolas" w:hAnsi="Consolas"/>
          <w:shd w:fill="F1EFE6" w:val="clear"/>
        </w:rPr>
        <w:t xml:space="preserve">storage.rules</w:t>
      </w:r>
      <w:r>
        <w:t xml:space="preserve"> is a single blanket </w:t>
      </w:r>
      <w:r>
        <w:rPr>
          <w:rFonts w:ascii="Consolas" w:cs="Consolas" w:eastAsia="Consolas" w:hAnsi="Consolas"/>
          <w:shd w:fill="F1EFE6" w:val="clear"/>
        </w:rPr>
        <w:t xml:space="preserve">allow read, write: if false</w:t>
      </w:r>
      <w:r>
        <w:t xml:space="preserve"> across the entire bucket, for every path in the app, not just AI audio. All object access goes through server-minted v4 signed URLs whose signature — not a rule — is the authorization.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Cloud Function trust model:</w:t>
      </w:r>
      <w:r>
        <w:t xml:space="preserve"> </w:t>
      </w:r>
      <w:r>
        <w:rPr>
          <w:rFonts w:ascii="Consolas" w:cs="Consolas" w:eastAsia="Consolas" w:hAnsi="Consolas"/>
          <w:shd w:fill="F1EFE6" w:val="clear"/>
        </w:rPr>
        <w:t xml:space="preserve">processAiSessionJob</w:t>
      </w:r>
      <w:r>
        <w:t xml:space="preserve"> performs no authentication/authorization checks of its own. It relies entirely on being unreachable by any client (it is a Firestore trigger, not an HTTP/callable endpoint) and on the Firestore/Storage rules above blocking any client from forging the job document that triggers it.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b/>
          <w:bCs/>
        </w:rPr>
        <w:t xml:space="preserve">Audit trail:</w:t>
      </w:r>
      <w:r>
        <w:t xml:space="preserve"> every session-lifecycle mutation initiated from the Next.js app (create, finalize/status-change, soft-delete, settings update, job retry) writes an immutable </w:t>
      </w:r>
      <w:r>
        <w:rPr>
          <w:rFonts w:ascii="Consolas" w:cs="Consolas" w:eastAsia="Consolas" w:hAnsi="Consolas"/>
          <w:shd w:fill="F1EFE6" w:val="clear"/>
        </w:rPr>
        <w:t xml:space="preserve">auditLogs</w:t>
      </w:r>
      <w:r>
        <w:t xml:space="preserve"> entry. The Cloud Function itself never writes to </w:t>
      </w:r>
      <w:r>
        <w:rPr>
          <w:rFonts w:ascii="Consolas" w:cs="Consolas" w:eastAsia="Consolas" w:hAnsi="Consolas"/>
          <w:shd w:fill="F1EFE6" w:val="clear"/>
        </w:rPr>
        <w:t xml:space="preserve">auditLogs</w:t>
      </w:r>
      <w:r>
        <w:t xml:space="preserve"> — its failure signal is a separate </w:t>
      </w:r>
      <w:r>
        <w:rPr>
          <w:rFonts w:ascii="Consolas" w:cs="Consolas" w:eastAsia="Consolas" w:hAnsi="Consolas"/>
          <w:shd w:fill="F1EFE6" w:val="clear"/>
        </w:rPr>
        <w:t xml:space="preserve">systemEvents</w:t>
      </w:r>
      <w:r>
        <w:t xml:space="preserve"> collection plus Cloud Error Reporting.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40"/>
      </w:tblGrid>
      <w:tr>
        <w:tc>
          <w:tcPr>
            <w:tcW w:type="dxa" w:w="9540"/>
            <w:tcBorders>
              <w:top w:val="single" w:color="F2F4F7" w:sz="2"/>
              <w:left w:val="single" w:color="2F6FED" w:sz="24"/>
              <w:bottom w:val="single" w:color="F2F4F7" w:sz="2"/>
              <w:right w:val="single" w:color="F2F4F7" w:sz="2"/>
            </w:tcBorders>
            <w:shd w:fill="F2F4F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2F6FED"/>
                <w:sz w:val="19"/>
                <w:szCs w:val="19"/>
              </w:rPr>
              <w:t xml:space="preserve">ℹ  NOTE</w:t>
            </w:r>
          </w:p>
          <w:p>
            <w:r>
              <w:rPr>
                <w:sz w:val="20"/>
                <w:szCs w:val="20"/>
              </w:rPr>
              <w:t xml:space="preserve">Firestore rules for this module are read-gated by role only — they do not scope by branch or by session ownership. Any engineer extending this module should treat that as a deliberate, documented boundary (see </w:t>
            </w:r>
            <w:r>
              <w:rPr>
                <w:b/>
                <w:bCs/>
                <w:sz w:val="20"/>
                <w:szCs w:val="20"/>
              </w:rPr>
              <w:t xml:space="preserve">L1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b/>
                <w:bCs/>
                <w:sz w:val="20"/>
                <w:szCs w:val="20"/>
              </w:rPr>
              <w:t xml:space="preserve">L2</w:t>
            </w:r>
            <w:r>
              <w:rPr>
                <w:sz w:val="20"/>
                <w:szCs w:val="20"/>
              </w:rPr>
              <w:t xml:space="preserve"> in the Known Limitations guide) rather than an oversight to silently "fix" without a corresponding product decision.</w:t>
            </w:r>
          </w:p>
        </w:tc>
      </w:tr>
    </w:tbl>
    <w:p>
      <w:pPr>
        <w:spacing w:after="160"/>
      </w:pPr>
    </w:p>
    <w:p>
      <w:pPr>
        <w:pBdr>
          <w:bottom w:val="single" w:color="C9A227" w:sz="6" w:space="1"/>
        </w:pBdr>
        <w:spacing w:after="200" w:before="200"/>
      </w:pPr>
    </w:p>
    <w:p>
      <w:pPr>
        <w:pStyle w:val="Heading1"/>
        <w:spacing w:after="160" w:before="420"/>
      </w:pPr>
      <w:bookmarkStart w:name="bm_10-implementation-status-matrix_10" w:id="1"/>
      <w:r>
        <w:t xml:space="preserve">10. Implementation status matrix</w:t>
      </w:r>
      <w:bookmarkEnd w:id="1"/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3180"/>
        <w:gridCol w:w="3180"/>
      </w:tblGrid>
      <w:tr>
        <w:trPr>
          <w:tblHeader/>
        </w:trPr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80"/>
            <w:shd w:fill="1A1D2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Browser-based recording (any input device)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Standard Web Audio/MediaRecorder APIs; no dedicated hardware SDK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Automatic chunking for long sessions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10-minute chunks, 90-minute session cap, 9 chunks max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Background chunk upload with retry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3 attempts, linear backoff, direct-to-Storage via signed URL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Resume an interrupted recording after a crash/reload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L9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Resume a partially-processed job on retry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Skips chunks already marked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transcribed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Live/realtime UI updates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Partial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Polling, not realtime listeners — </w:t>
            </w:r>
            <w:r>
              <w:rPr>
                <w:b/>
                <w:bCs/>
                <w:sz w:val="18"/>
                <w:szCs w:val="18"/>
              </w:rPr>
              <w:t xml:space="preserve">L10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Speaker classification (trainer/student)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Provider-dependent quality/mechanism — </w:t>
            </w:r>
            <w:r>
              <w:rPr>
                <w:b/>
                <w:bCs/>
                <w:sz w:val="18"/>
                <w:szCs w:val="18"/>
              </w:rPr>
              <w:t xml:space="preserve">P6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Transcript full-text search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Substring filter only — </w:t>
            </w:r>
            <w:r>
              <w:rPr>
                <w:b/>
                <w:bCs/>
                <w:sz w:val="18"/>
                <w:szCs w:val="18"/>
              </w:rPr>
              <w:t xml:space="preserve">L11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Transcript filter by speaker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L11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Jump to timestamp / play audio inline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L11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Fixed 30-day window, 4 totals + 2 bar charts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Branch-scoped access control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Per-trainer session privacy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L2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Audio retention/auto-purge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L7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Completion notifications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L8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Export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L6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Multiple concurrent AI providers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Speech and summary providers chosen independently via configuration</w:t>
            </w:r>
          </w:p>
        </w:tc>
      </w:tr>
      <w:tr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Manual job retry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Implemented</w:t>
            </w:r>
          </w:p>
        </w:tc>
        <w:tc>
          <w:tcPr>
            <w:tcW w:type="dxa" w:w="3180"/>
            <w:shd w:fill="F6F4EE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Owner or </w:t>
            </w:r>
            <w:r>
              <w:rPr>
                <w:rFonts w:ascii="Consolas" w:cs="Consolas" w:eastAsia="Consolas" w:hAnsi="Consolas"/>
                <w:sz w:val="18"/>
                <w:szCs w:val="18"/>
                <w:shd w:fill="F1EFE6" w:val="clear"/>
              </w:rPr>
              <w:t xml:space="preserve">aiIntelligence:configure</w:t>
            </w:r>
            <w:r>
              <w:rPr>
                <w:sz w:val="18"/>
                <w:szCs w:val="18"/>
              </w:rPr>
              <w:t xml:space="preserve">; resumes rather than restarts</w:t>
            </w:r>
          </w:p>
        </w:tc>
      </w:tr>
      <w:tr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Bulk/automatic job retry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  <w:tc>
          <w:tcPr>
            <w:tcW w:type="dxa" w:w="3180"/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line="260"/>
            </w:pPr>
            <w:r>
              <w:rPr>
                <w:b/>
                <w:bCs/>
                <w:sz w:val="18"/>
                <w:szCs w:val="18"/>
              </w:rPr>
              <w:t xml:space="preserve">L13, L14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440" w:right="1350" w:bottom="1440" w:left="13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3C4" w:sz="4" w:space="4"/>
      </w:pBdr>
      <w:tabs>
        <w:tab w:val="right" w:pos="9026"/>
      </w:tabs>
    </w:pPr>
    <w:r>
      <w:rPr>
        <w:color w:val="4A4F58"/>
        <w:sz w:val="14"/>
        <w:szCs w:val="14"/>
      </w:rPr>
      <w:t xml:space="preserve">CONFIDENTIAL — Prepared exclusively for TerraNext Global Ventures</w:t>
    </w:r>
    <w:r>
      <w:t xml:space="preserve">	</w:t>
    </w:r>
    <w:r>
      <w:rPr>
        <w:color w:val="4A4F58"/>
        <w:sz w:val="14"/>
        <w:szCs w:val="14"/>
      </w:rPr>
      <w:t xml:space="preserve">Page </w:t>
    </w:r>
    <w:r>
      <w:rPr>
        <w:color w:val="4A4F5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4A4F58"/>
        <w:sz w:val="14"/>
        <w:szCs w:val="14"/>
      </w:rPr>
      <w:t xml:space="preserve"> of </w:t>
    </w:r>
    <w:r>
      <w:rPr>
        <w:color w:val="4A4F5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6" w:space="4"/>
      </w:pBdr>
      <w:jc w:val="right"/>
    </w:pPr>
    <w:r>
      <w:rPr>
        <w:b/>
        <w:bCs/>
        <w:color w:val="1A1D23"/>
        <w:sz w:val="16"/>
        <w:szCs w:val="16"/>
      </w:rPr>
      <w:t xml:space="preserve">AI Intelligence Platform </w:t>
    </w:r>
    <w:r>
      <w:rPr>
        <w:color w:val="4A4F58"/>
        <w:sz w:val="16"/>
        <w:szCs w:val="16"/>
      </w:rPr>
      <w:t xml:space="preserve">— Technical Architecture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6"/>
      </w:pBdr>
      <w:spacing w:after="180" w:before="420"/>
    </w:pPr>
    <w:rPr>
      <w:rFonts w:ascii="Calibri" w:cs="Calibri" w:eastAsia="Calibri" w:hAnsi="Calibri"/>
      <w:b/>
      <w:bCs/>
      <w:color w:val="1A1D23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1A1D2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60"/>
    </w:pPr>
    <w:rPr>
      <w:rFonts w:ascii="Calibri" w:cs="Calibri" w:eastAsia="Calibri" w:hAnsi="Calibri"/>
      <w:b/>
      <w:bCs/>
      <w:color w:val="8A6D1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90" w:before="200"/>
    </w:pPr>
    <w:rPr>
      <w:rFonts w:ascii="Calibri" w:cs="Calibri" w:eastAsia="Calibri" w:hAnsi="Calibri"/>
      <w:b/>
      <w:bCs/>
      <w:i/>
      <w:iCs/>
      <w:color w:val="4A4F58"/>
      <w:sz w:val="21"/>
      <w:szCs w:val="21"/>
    </w:rPr>
  </w:style>
  <w:style w:type="paragraph" w:styleId="Hyperlink">
    <w:name w:val="Hyperlink"/>
    <w:basedOn w:val="Normal"/>
    <w:rPr>
      <w:color w:val="C9A227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864a87c8916e20d572adde2dd46d70a669fad31a.png"/><Relationship Id="rId12" Type="http://schemas.openxmlformats.org/officeDocument/2006/relationships/image" Target="media/b4016eb712a33f94377b5f10c5e9ad3f30c140bd.png"/><Relationship Id="rId13" Type="http://schemas.openxmlformats.org/officeDocument/2006/relationships/image" Target="media/dac9e83977b21e55b6e955671cd60cd294d5da17.png"/><Relationship Id="rId14" Type="http://schemas.openxmlformats.org/officeDocument/2006/relationships/image" Target="media/a88514cdb6f1afbdbb84da82ef11f5b18cfb4197.png"/><Relationship Id="rId15" Type="http://schemas.openxmlformats.org/officeDocument/2006/relationships/image" Target="media/4f3e4a372fbc50e2d7812853b9f268a4ee0f0b24.png"/><Relationship Id="rId16" Type="http://schemas.openxmlformats.org/officeDocument/2006/relationships/image" Target="media/19e5ed152ff9cc55b6989e0db3195fc031417ce1.png"/><Relationship Id="rId17" Type="http://schemas.openxmlformats.org/officeDocument/2006/relationships/image" Target="media/1597c7f8ca8ed8d80c69dac72a9212de6c3f9d8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Intelligence Platform — Technical Architecture Guide</dc:title>
  <dc:creator>TerraNext Global Ventures</dc:creator>
  <dc:description>AI Intelligence Platform documentation, prepared for TerraNext Global Ventures.</dc:description>
  <cp:lastModifiedBy>Un-named</cp:lastModifiedBy>
  <cp:revision>1</cp:revision>
  <dcterms:created xsi:type="dcterms:W3CDTF">2026-08-02T14:23:16.995Z</dcterms:created>
  <dcterms:modified xsi:type="dcterms:W3CDTF">2026-08-02T14:23:16.995Z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