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21695" w14:textId="7275FF99" w:rsidR="007F3BBC" w:rsidRPr="007F3BBC" w:rsidRDefault="007F3BBC">
      <w:pPr>
        <w:rPr>
          <w:rFonts w:hint="cs"/>
          <w:b/>
          <w:bCs/>
          <w:sz w:val="42"/>
          <w:szCs w:val="42"/>
          <w:rtl/>
          <w:lang w:bidi="ar-JO"/>
        </w:rPr>
      </w:pPr>
      <w:r w:rsidRPr="007F3BBC">
        <w:rPr>
          <w:b/>
          <w:bCs/>
          <w:sz w:val="42"/>
          <w:szCs w:val="42"/>
          <w:lang w:bidi="ar-JO"/>
        </w:rPr>
        <w:t>Information about the Sea of Galilee</w:t>
      </w:r>
    </w:p>
    <w:p w14:paraId="3DF53537" w14:textId="24454703" w:rsidR="008F4C69" w:rsidRDefault="007F3BBC">
      <w:pPr>
        <w:rPr>
          <w:sz w:val="28"/>
          <w:szCs w:val="28"/>
        </w:rPr>
      </w:pPr>
      <w:r w:rsidRPr="007F3BBC">
        <w:rPr>
          <w:sz w:val="28"/>
          <w:szCs w:val="28"/>
        </w:rPr>
        <w:t>The view of Tiberias is located in the north of the city of Irbid, overlooking Lake Kinneret on the edge of the Umm Qais Mountains on a southern elevation of the Golan Heights and Yarmouk and near Lake Kinneret. There is also a group of restaurants, cafes and hotels with wonderful views, in addition to the ruins of the city of Umm Qais. In addition, it offers a charming panoramic view of Lake Kinneret, the Galilee Mountains, the summit of Mount Hermon, the fields of the Jordan Valley, the summit of Tabor, and the Yarmouk River.</w:t>
      </w:r>
    </w:p>
    <w:p w14:paraId="07303100" w14:textId="5ED4839F" w:rsidR="007F3BBC" w:rsidRPr="007F3BBC" w:rsidRDefault="007F3BBC" w:rsidP="007F3BBC">
      <w:pPr>
        <w:rPr>
          <w:b/>
          <w:bCs/>
          <w:sz w:val="28"/>
          <w:szCs w:val="28"/>
          <w:lang w:bidi="ar-JO"/>
        </w:rPr>
      </w:pPr>
      <w:r w:rsidRPr="007F3BBC">
        <w:rPr>
          <w:b/>
          <w:bCs/>
          <w:sz w:val="28"/>
          <w:szCs w:val="28"/>
          <w:lang w:bidi="ar-JO"/>
        </w:rPr>
        <w:t>Features of Tiberias View</w:t>
      </w:r>
    </w:p>
    <w:p w14:paraId="021ADE13" w14:textId="64238F06" w:rsidR="007F3BBC" w:rsidRDefault="007F3BBC" w:rsidP="007F3BBC">
      <w:pPr>
        <w:pStyle w:val="ListParagraph"/>
        <w:numPr>
          <w:ilvl w:val="0"/>
          <w:numId w:val="1"/>
        </w:numPr>
        <w:rPr>
          <w:sz w:val="28"/>
          <w:szCs w:val="28"/>
          <w:lang w:bidi="ar-JO"/>
        </w:rPr>
      </w:pPr>
      <w:r w:rsidRPr="007F3BBC">
        <w:rPr>
          <w:sz w:val="28"/>
          <w:szCs w:val="28"/>
          <w:lang w:bidi="ar-JO"/>
        </w:rPr>
        <w:t>Accommodations available</w:t>
      </w:r>
    </w:p>
    <w:p w14:paraId="302EAFC2" w14:textId="19CA5490" w:rsidR="007F3BBC" w:rsidRPr="007F3BBC" w:rsidRDefault="007F3BBC" w:rsidP="007F3BBC">
      <w:pPr>
        <w:pStyle w:val="ListParagraph"/>
        <w:numPr>
          <w:ilvl w:val="0"/>
          <w:numId w:val="1"/>
        </w:numPr>
        <w:rPr>
          <w:sz w:val="28"/>
          <w:szCs w:val="28"/>
          <w:lang w:bidi="ar-JO"/>
        </w:rPr>
      </w:pPr>
      <w:r w:rsidRPr="007F3BBC">
        <w:rPr>
          <w:sz w:val="28"/>
          <w:szCs w:val="28"/>
          <w:lang w:bidi="ar-JO"/>
        </w:rPr>
        <w:t>Outdoor yards</w:t>
      </w:r>
    </w:p>
    <w:p w14:paraId="0A196B17" w14:textId="77777777" w:rsidR="007F3BBC" w:rsidRPr="007F3BBC" w:rsidRDefault="007F3BBC" w:rsidP="007F3BBC">
      <w:pPr>
        <w:pStyle w:val="ListParagraph"/>
        <w:numPr>
          <w:ilvl w:val="0"/>
          <w:numId w:val="1"/>
        </w:numPr>
        <w:rPr>
          <w:sz w:val="28"/>
          <w:szCs w:val="28"/>
          <w:lang w:bidi="ar-JO"/>
        </w:rPr>
      </w:pPr>
      <w:r w:rsidRPr="007F3BBC">
        <w:rPr>
          <w:sz w:val="28"/>
          <w:szCs w:val="28"/>
          <w:lang w:bidi="ar-JO"/>
        </w:rPr>
        <w:t>Parking available</w:t>
      </w:r>
    </w:p>
    <w:p w14:paraId="0C2DFB05" w14:textId="77777777" w:rsidR="007F3BBC" w:rsidRPr="007F3BBC" w:rsidRDefault="007F3BBC" w:rsidP="007F3BBC">
      <w:pPr>
        <w:pStyle w:val="ListParagraph"/>
        <w:numPr>
          <w:ilvl w:val="0"/>
          <w:numId w:val="1"/>
        </w:numPr>
        <w:rPr>
          <w:sz w:val="28"/>
          <w:szCs w:val="28"/>
          <w:lang w:bidi="ar-JO"/>
        </w:rPr>
      </w:pPr>
      <w:r w:rsidRPr="007F3BBC">
        <w:rPr>
          <w:sz w:val="28"/>
          <w:szCs w:val="28"/>
          <w:lang w:bidi="ar-JO"/>
        </w:rPr>
        <w:t>Suitable for children</w:t>
      </w:r>
    </w:p>
    <w:p w14:paraId="5B03A1FE" w14:textId="77777777" w:rsidR="007F3BBC" w:rsidRPr="007F3BBC" w:rsidRDefault="007F3BBC" w:rsidP="007F3BBC">
      <w:pPr>
        <w:pStyle w:val="ListParagraph"/>
        <w:numPr>
          <w:ilvl w:val="0"/>
          <w:numId w:val="1"/>
        </w:numPr>
        <w:rPr>
          <w:sz w:val="28"/>
          <w:szCs w:val="28"/>
          <w:lang w:bidi="ar-JO"/>
        </w:rPr>
      </w:pPr>
      <w:r w:rsidRPr="007F3BBC">
        <w:rPr>
          <w:sz w:val="28"/>
          <w:szCs w:val="28"/>
          <w:lang w:bidi="ar-JO"/>
        </w:rPr>
        <w:t>Suitable for families</w:t>
      </w:r>
    </w:p>
    <w:p w14:paraId="356A6970" w14:textId="77777777" w:rsidR="007F3BBC" w:rsidRPr="007F3BBC" w:rsidRDefault="007F3BBC" w:rsidP="007F3BBC">
      <w:pPr>
        <w:pStyle w:val="ListParagraph"/>
        <w:numPr>
          <w:ilvl w:val="0"/>
          <w:numId w:val="1"/>
        </w:numPr>
        <w:rPr>
          <w:sz w:val="28"/>
          <w:szCs w:val="28"/>
          <w:lang w:bidi="ar-JO"/>
        </w:rPr>
      </w:pPr>
      <w:r w:rsidRPr="007F3BBC">
        <w:rPr>
          <w:sz w:val="28"/>
          <w:szCs w:val="28"/>
          <w:lang w:bidi="ar-JO"/>
        </w:rPr>
        <w:t>Suitable for groups</w:t>
      </w:r>
    </w:p>
    <w:p w14:paraId="06EB6C4A" w14:textId="4E5BB133" w:rsidR="007F3BBC" w:rsidRDefault="007F3BBC" w:rsidP="007F3BBC">
      <w:pPr>
        <w:pStyle w:val="ListParagraph"/>
        <w:numPr>
          <w:ilvl w:val="0"/>
          <w:numId w:val="1"/>
        </w:numPr>
        <w:rPr>
          <w:sz w:val="28"/>
          <w:szCs w:val="28"/>
          <w:lang w:bidi="ar-JO"/>
        </w:rPr>
      </w:pPr>
      <w:r w:rsidRPr="007F3BBC">
        <w:rPr>
          <w:sz w:val="28"/>
          <w:szCs w:val="28"/>
          <w:lang w:bidi="ar-JO"/>
        </w:rPr>
        <w:t>Suitable for camping</w:t>
      </w:r>
    </w:p>
    <w:p w14:paraId="66AE3837" w14:textId="77777777" w:rsidR="007F3BBC" w:rsidRPr="007F3BBC" w:rsidRDefault="007F3BBC" w:rsidP="007F3BBC">
      <w:pPr>
        <w:ind w:left="360"/>
        <w:rPr>
          <w:b/>
          <w:bCs/>
          <w:sz w:val="28"/>
          <w:szCs w:val="28"/>
          <w:lang w:bidi="ar-JO"/>
        </w:rPr>
      </w:pPr>
      <w:r w:rsidRPr="007F3BBC">
        <w:rPr>
          <w:b/>
          <w:bCs/>
          <w:sz w:val="28"/>
          <w:szCs w:val="28"/>
          <w:lang w:bidi="ar-JO"/>
        </w:rPr>
        <w:t>Categories</w:t>
      </w:r>
    </w:p>
    <w:p w14:paraId="44AF885C" w14:textId="77777777" w:rsidR="007F3BBC" w:rsidRPr="007F3BBC" w:rsidRDefault="007F3BBC" w:rsidP="007F3BBC">
      <w:pPr>
        <w:pStyle w:val="ListParagraph"/>
        <w:numPr>
          <w:ilvl w:val="0"/>
          <w:numId w:val="2"/>
        </w:numPr>
        <w:rPr>
          <w:sz w:val="28"/>
          <w:szCs w:val="28"/>
          <w:lang w:bidi="ar-JO"/>
        </w:rPr>
      </w:pPr>
      <w:r w:rsidRPr="007F3BBC">
        <w:rPr>
          <w:sz w:val="28"/>
          <w:szCs w:val="28"/>
          <w:lang w:bidi="ar-JO"/>
        </w:rPr>
        <w:t>monitoring platforms</w:t>
      </w:r>
    </w:p>
    <w:p w14:paraId="1D0F02A6" w14:textId="77777777" w:rsidR="007F3BBC" w:rsidRPr="007F3BBC" w:rsidRDefault="007F3BBC" w:rsidP="007F3BBC">
      <w:pPr>
        <w:pStyle w:val="ListParagraph"/>
        <w:numPr>
          <w:ilvl w:val="0"/>
          <w:numId w:val="2"/>
        </w:numPr>
        <w:rPr>
          <w:sz w:val="28"/>
          <w:szCs w:val="28"/>
          <w:lang w:bidi="ar-JO"/>
        </w:rPr>
      </w:pPr>
      <w:r w:rsidRPr="007F3BBC">
        <w:rPr>
          <w:sz w:val="28"/>
          <w:szCs w:val="28"/>
          <w:lang w:bidi="ar-JO"/>
        </w:rPr>
        <w:t>Distinctive landmarks</w:t>
      </w:r>
    </w:p>
    <w:p w14:paraId="6A388D38" w14:textId="63E549E2" w:rsidR="007F3BBC" w:rsidRDefault="007F3BBC" w:rsidP="007F3BBC">
      <w:pPr>
        <w:pStyle w:val="ListParagraph"/>
        <w:numPr>
          <w:ilvl w:val="0"/>
          <w:numId w:val="2"/>
        </w:numPr>
        <w:rPr>
          <w:sz w:val="28"/>
          <w:szCs w:val="28"/>
          <w:lang w:bidi="ar-JO"/>
        </w:rPr>
      </w:pPr>
      <w:r w:rsidRPr="007F3BBC">
        <w:rPr>
          <w:sz w:val="28"/>
          <w:szCs w:val="28"/>
          <w:lang w:bidi="ar-JO"/>
        </w:rPr>
        <w:t>Overhangs</w:t>
      </w:r>
    </w:p>
    <w:p w14:paraId="70BAB8E4" w14:textId="2DFB6CEC" w:rsidR="007F3BBC" w:rsidRPr="007F3BBC" w:rsidRDefault="007F3BBC" w:rsidP="007F3BBC">
      <w:pPr>
        <w:ind w:left="720"/>
        <w:rPr>
          <w:b/>
          <w:bCs/>
          <w:sz w:val="28"/>
          <w:szCs w:val="28"/>
          <w:lang w:bidi="ar-JO"/>
        </w:rPr>
      </w:pPr>
      <w:r w:rsidRPr="007F3BBC">
        <w:rPr>
          <w:b/>
          <w:bCs/>
          <w:sz w:val="28"/>
          <w:szCs w:val="28"/>
          <w:lang w:bidi="ar-JO"/>
        </w:rPr>
        <w:t>Jordan - Irbid</w:t>
      </w:r>
    </w:p>
    <w:p w14:paraId="1D294287" w14:textId="77777777" w:rsidR="007F3BBC" w:rsidRDefault="007F3BBC" w:rsidP="007F3BBC">
      <w:pPr>
        <w:ind w:left="720"/>
        <w:rPr>
          <w:sz w:val="28"/>
          <w:szCs w:val="28"/>
          <w:lang w:bidi="ar-JO"/>
        </w:rPr>
      </w:pPr>
    </w:p>
    <w:p w14:paraId="7586A596" w14:textId="77777777" w:rsidR="007F3BBC" w:rsidRDefault="007F3BBC" w:rsidP="007F3BBC">
      <w:pPr>
        <w:ind w:left="720"/>
        <w:rPr>
          <w:sz w:val="28"/>
          <w:szCs w:val="28"/>
          <w:lang w:bidi="ar-JO"/>
        </w:rPr>
      </w:pPr>
    </w:p>
    <w:p w14:paraId="01510436" w14:textId="77777777" w:rsidR="007F3BBC" w:rsidRDefault="007F3BBC" w:rsidP="007F3BBC">
      <w:pPr>
        <w:ind w:left="720"/>
        <w:rPr>
          <w:sz w:val="28"/>
          <w:szCs w:val="28"/>
          <w:lang w:bidi="ar-JO"/>
        </w:rPr>
      </w:pPr>
    </w:p>
    <w:p w14:paraId="5E97D323" w14:textId="77777777" w:rsidR="007F3BBC" w:rsidRDefault="007F3BBC" w:rsidP="007F3BBC">
      <w:pPr>
        <w:ind w:left="720"/>
        <w:rPr>
          <w:sz w:val="28"/>
          <w:szCs w:val="28"/>
          <w:lang w:bidi="ar-JO"/>
        </w:rPr>
      </w:pPr>
    </w:p>
    <w:p w14:paraId="6C050C57" w14:textId="77777777" w:rsidR="007F3BBC" w:rsidRDefault="007F3BBC" w:rsidP="007F3BBC">
      <w:pPr>
        <w:ind w:left="720"/>
        <w:rPr>
          <w:sz w:val="28"/>
          <w:szCs w:val="28"/>
          <w:lang w:bidi="ar-JO"/>
        </w:rPr>
      </w:pPr>
    </w:p>
    <w:p w14:paraId="4B70FA06" w14:textId="77777777" w:rsidR="007F3BBC" w:rsidRDefault="007F3BBC" w:rsidP="007F3BBC">
      <w:pPr>
        <w:ind w:left="720"/>
        <w:rPr>
          <w:sz w:val="28"/>
          <w:szCs w:val="28"/>
          <w:lang w:bidi="ar-JO"/>
        </w:rPr>
      </w:pPr>
    </w:p>
    <w:p w14:paraId="3475EBDB" w14:textId="77777777" w:rsidR="007F3BBC" w:rsidRDefault="007F3BBC" w:rsidP="007F3BBC">
      <w:pPr>
        <w:ind w:left="720"/>
        <w:rPr>
          <w:sz w:val="28"/>
          <w:szCs w:val="28"/>
          <w:lang w:bidi="ar-JO"/>
        </w:rPr>
      </w:pPr>
    </w:p>
    <w:p w14:paraId="24B5B146" w14:textId="77777777" w:rsidR="007F3BBC" w:rsidRDefault="007F3BBC" w:rsidP="007F3BBC">
      <w:pPr>
        <w:ind w:left="720"/>
        <w:rPr>
          <w:sz w:val="28"/>
          <w:szCs w:val="28"/>
          <w:lang w:bidi="ar-JO"/>
        </w:rPr>
      </w:pPr>
    </w:p>
    <w:p w14:paraId="315B192E" w14:textId="77777777" w:rsidR="007F3BBC" w:rsidRPr="007F3BBC" w:rsidRDefault="007F3BBC" w:rsidP="007F3BBC">
      <w:pPr>
        <w:ind w:left="720"/>
        <w:jc w:val="right"/>
        <w:rPr>
          <w:b/>
          <w:bCs/>
          <w:sz w:val="42"/>
          <w:szCs w:val="42"/>
          <w:lang w:bidi="ar-JO"/>
        </w:rPr>
      </w:pPr>
      <w:r w:rsidRPr="007F3BBC">
        <w:rPr>
          <w:rFonts w:cs="Arial"/>
          <w:b/>
          <w:bCs/>
          <w:sz w:val="42"/>
          <w:szCs w:val="42"/>
          <w:rtl/>
          <w:lang w:bidi="ar-JO"/>
        </w:rPr>
        <w:t>معلومات عن بحيرة طبريا</w:t>
      </w:r>
    </w:p>
    <w:p w14:paraId="00BC6384" w14:textId="0EE1C2EB" w:rsidR="007F3BBC" w:rsidRDefault="007F3BBC" w:rsidP="007F3BBC">
      <w:pPr>
        <w:ind w:left="720"/>
        <w:jc w:val="right"/>
        <w:rPr>
          <w:sz w:val="28"/>
          <w:szCs w:val="28"/>
          <w:lang w:bidi="ar-JO"/>
        </w:rPr>
      </w:pPr>
      <w:r w:rsidRPr="007F3BBC">
        <w:rPr>
          <w:rFonts w:cs="Arial"/>
          <w:sz w:val="28"/>
          <w:szCs w:val="28"/>
          <w:rtl/>
          <w:lang w:bidi="ar-JO"/>
        </w:rPr>
        <w:t>يقع مطل طبريا في شمال مدينة اربد ، المطل على بحيرة طبريا على حافة جبال ام قيس على مرتفع جنوبي من مرتفعات الجولان واليرموك وبالقرب من بحيرة طبريا، كما يوجد بالقرب منه مجموعة من المطاعم والكافيهات والفنادق ذات الأطلالة الرائعه، وذلك إلى جانب اثار مدينة ام قيس ، فضلاً عن أنه يُوفّر إطلالة بانورامية ساحرة على كل من بحيرة طبريا وجبال الجليل وقمة جبل الشيخ وحقول وادي الأردن وقمة طابور ونهر اليرموك</w:t>
      </w:r>
      <w:r w:rsidRPr="007F3BBC">
        <w:rPr>
          <w:sz w:val="28"/>
          <w:szCs w:val="28"/>
          <w:lang w:bidi="ar-JO"/>
        </w:rPr>
        <w:t>.</w:t>
      </w:r>
    </w:p>
    <w:p w14:paraId="4BBCDBB5" w14:textId="77777777" w:rsidR="007F3BBC" w:rsidRPr="007F3BBC" w:rsidRDefault="007F3BBC" w:rsidP="007F3BBC">
      <w:pPr>
        <w:ind w:left="720"/>
        <w:jc w:val="right"/>
        <w:rPr>
          <w:b/>
          <w:bCs/>
          <w:sz w:val="28"/>
          <w:szCs w:val="28"/>
          <w:lang w:bidi="ar-JO"/>
        </w:rPr>
      </w:pPr>
      <w:r w:rsidRPr="007F3BBC">
        <w:rPr>
          <w:rFonts w:cs="Arial"/>
          <w:b/>
          <w:bCs/>
          <w:sz w:val="28"/>
          <w:szCs w:val="28"/>
          <w:rtl/>
          <w:lang w:bidi="ar-JO"/>
        </w:rPr>
        <w:t>مميزات مطل طبريا</w:t>
      </w:r>
      <w:r w:rsidRPr="007F3BBC">
        <w:rPr>
          <w:b/>
          <w:bCs/>
          <w:sz w:val="28"/>
          <w:szCs w:val="28"/>
          <w:lang w:bidi="ar-JO"/>
        </w:rPr>
        <w:t xml:space="preserve"> </w:t>
      </w:r>
    </w:p>
    <w:p w14:paraId="274595B5" w14:textId="77777777" w:rsidR="007F3BBC" w:rsidRPr="007F3BBC" w:rsidRDefault="007F3BBC" w:rsidP="007F3BBC">
      <w:pPr>
        <w:pStyle w:val="ListParagraph"/>
        <w:numPr>
          <w:ilvl w:val="0"/>
          <w:numId w:val="3"/>
        </w:numPr>
        <w:jc w:val="right"/>
        <w:rPr>
          <w:sz w:val="28"/>
          <w:szCs w:val="28"/>
          <w:lang w:bidi="ar-JO"/>
        </w:rPr>
      </w:pPr>
      <w:r w:rsidRPr="007F3BBC">
        <w:rPr>
          <w:rFonts w:cs="Arial"/>
          <w:sz w:val="28"/>
          <w:szCs w:val="28"/>
          <w:rtl/>
          <w:lang w:bidi="ar-JO"/>
        </w:rPr>
        <w:t>أماكن إقامة متاحة</w:t>
      </w:r>
    </w:p>
    <w:p w14:paraId="338D0A42" w14:textId="77777777" w:rsidR="007F3BBC" w:rsidRPr="007F3BBC" w:rsidRDefault="007F3BBC" w:rsidP="007F3BBC">
      <w:pPr>
        <w:pStyle w:val="ListParagraph"/>
        <w:numPr>
          <w:ilvl w:val="0"/>
          <w:numId w:val="3"/>
        </w:numPr>
        <w:jc w:val="right"/>
        <w:rPr>
          <w:sz w:val="28"/>
          <w:szCs w:val="28"/>
          <w:lang w:bidi="ar-JO"/>
        </w:rPr>
      </w:pPr>
      <w:r w:rsidRPr="007F3BBC">
        <w:rPr>
          <w:rFonts w:cs="Arial"/>
          <w:sz w:val="28"/>
          <w:szCs w:val="28"/>
          <w:rtl/>
          <w:lang w:bidi="ar-JO"/>
        </w:rPr>
        <w:t>ساحات خارجية</w:t>
      </w:r>
    </w:p>
    <w:p w14:paraId="44CF6715" w14:textId="77777777" w:rsidR="007F3BBC" w:rsidRPr="007F3BBC" w:rsidRDefault="007F3BBC" w:rsidP="007F3BBC">
      <w:pPr>
        <w:pStyle w:val="ListParagraph"/>
        <w:numPr>
          <w:ilvl w:val="0"/>
          <w:numId w:val="3"/>
        </w:numPr>
        <w:jc w:val="right"/>
        <w:rPr>
          <w:sz w:val="28"/>
          <w:szCs w:val="28"/>
          <w:lang w:bidi="ar-JO"/>
        </w:rPr>
      </w:pPr>
      <w:r w:rsidRPr="007F3BBC">
        <w:rPr>
          <w:rFonts w:cs="Arial"/>
          <w:sz w:val="28"/>
          <w:szCs w:val="28"/>
          <w:rtl/>
          <w:lang w:bidi="ar-JO"/>
        </w:rPr>
        <w:t>مواقف سيارات متاحة</w:t>
      </w:r>
    </w:p>
    <w:p w14:paraId="63B27A0D" w14:textId="77777777" w:rsidR="007F3BBC" w:rsidRPr="007F3BBC" w:rsidRDefault="007F3BBC" w:rsidP="007F3BBC">
      <w:pPr>
        <w:pStyle w:val="ListParagraph"/>
        <w:numPr>
          <w:ilvl w:val="0"/>
          <w:numId w:val="3"/>
        </w:numPr>
        <w:jc w:val="right"/>
        <w:rPr>
          <w:sz w:val="28"/>
          <w:szCs w:val="28"/>
          <w:lang w:bidi="ar-JO"/>
        </w:rPr>
      </w:pPr>
      <w:r w:rsidRPr="007F3BBC">
        <w:rPr>
          <w:rFonts w:cs="Arial"/>
          <w:sz w:val="28"/>
          <w:szCs w:val="28"/>
          <w:rtl/>
          <w:lang w:bidi="ar-JO"/>
        </w:rPr>
        <w:t>مناسب للأطفال</w:t>
      </w:r>
    </w:p>
    <w:p w14:paraId="5101345D" w14:textId="77777777" w:rsidR="007F3BBC" w:rsidRPr="007F3BBC" w:rsidRDefault="007F3BBC" w:rsidP="007F3BBC">
      <w:pPr>
        <w:pStyle w:val="ListParagraph"/>
        <w:numPr>
          <w:ilvl w:val="0"/>
          <w:numId w:val="3"/>
        </w:numPr>
        <w:jc w:val="right"/>
        <w:rPr>
          <w:sz w:val="28"/>
          <w:szCs w:val="28"/>
          <w:lang w:bidi="ar-JO"/>
        </w:rPr>
      </w:pPr>
      <w:r w:rsidRPr="007F3BBC">
        <w:rPr>
          <w:rFonts w:cs="Arial"/>
          <w:sz w:val="28"/>
          <w:szCs w:val="28"/>
          <w:rtl/>
          <w:lang w:bidi="ar-JO"/>
        </w:rPr>
        <w:t>مناسب للعائلات</w:t>
      </w:r>
    </w:p>
    <w:p w14:paraId="3642C65A" w14:textId="77777777" w:rsidR="007F3BBC" w:rsidRPr="007F3BBC" w:rsidRDefault="007F3BBC" w:rsidP="007F3BBC">
      <w:pPr>
        <w:pStyle w:val="ListParagraph"/>
        <w:numPr>
          <w:ilvl w:val="0"/>
          <w:numId w:val="3"/>
        </w:numPr>
        <w:jc w:val="right"/>
        <w:rPr>
          <w:sz w:val="28"/>
          <w:szCs w:val="28"/>
          <w:lang w:bidi="ar-JO"/>
        </w:rPr>
      </w:pPr>
      <w:r w:rsidRPr="007F3BBC">
        <w:rPr>
          <w:rFonts w:cs="Arial"/>
          <w:sz w:val="28"/>
          <w:szCs w:val="28"/>
          <w:rtl/>
          <w:lang w:bidi="ar-JO"/>
        </w:rPr>
        <w:t>مناسب للمجموعات</w:t>
      </w:r>
    </w:p>
    <w:p w14:paraId="5374FBE5" w14:textId="3AC03A1F" w:rsidR="007F3BBC" w:rsidRDefault="007F3BBC" w:rsidP="007F3BBC">
      <w:pPr>
        <w:pStyle w:val="ListParagraph"/>
        <w:numPr>
          <w:ilvl w:val="0"/>
          <w:numId w:val="3"/>
        </w:numPr>
        <w:jc w:val="right"/>
        <w:rPr>
          <w:rFonts w:cs="Arial"/>
          <w:sz w:val="28"/>
          <w:szCs w:val="28"/>
          <w:lang w:bidi="ar-JO"/>
        </w:rPr>
      </w:pPr>
      <w:r w:rsidRPr="007F3BBC">
        <w:rPr>
          <w:rFonts w:cs="Arial"/>
          <w:sz w:val="28"/>
          <w:szCs w:val="28"/>
          <w:rtl/>
          <w:lang w:bidi="ar-JO"/>
        </w:rPr>
        <w:t>مناسب للتخيم</w:t>
      </w:r>
    </w:p>
    <w:p w14:paraId="1E4CC5DE" w14:textId="77777777" w:rsidR="007F3BBC" w:rsidRPr="007F3BBC" w:rsidRDefault="007F3BBC" w:rsidP="007F3BBC">
      <w:pPr>
        <w:ind w:left="1080"/>
        <w:jc w:val="right"/>
        <w:rPr>
          <w:rFonts w:cs="Arial"/>
          <w:b/>
          <w:bCs/>
          <w:sz w:val="28"/>
          <w:szCs w:val="28"/>
          <w:lang w:bidi="ar-JO"/>
        </w:rPr>
      </w:pPr>
      <w:r w:rsidRPr="007F3BBC">
        <w:rPr>
          <w:rFonts w:cs="Arial"/>
          <w:b/>
          <w:bCs/>
          <w:sz w:val="28"/>
          <w:szCs w:val="28"/>
          <w:rtl/>
          <w:lang w:bidi="ar-JO"/>
        </w:rPr>
        <w:t>التصنيفات</w:t>
      </w:r>
    </w:p>
    <w:p w14:paraId="024FA4A0" w14:textId="77777777" w:rsidR="007F3BBC" w:rsidRPr="007F3BBC" w:rsidRDefault="007F3BBC" w:rsidP="007F3BBC">
      <w:pPr>
        <w:pStyle w:val="ListParagraph"/>
        <w:numPr>
          <w:ilvl w:val="0"/>
          <w:numId w:val="4"/>
        </w:numPr>
        <w:jc w:val="right"/>
        <w:rPr>
          <w:rFonts w:cs="Arial"/>
          <w:sz w:val="28"/>
          <w:szCs w:val="28"/>
          <w:lang w:bidi="ar-JO"/>
        </w:rPr>
      </w:pPr>
      <w:r w:rsidRPr="007F3BBC">
        <w:rPr>
          <w:rFonts w:cs="Arial"/>
          <w:sz w:val="28"/>
          <w:szCs w:val="28"/>
          <w:rtl/>
          <w:lang w:bidi="ar-JO"/>
        </w:rPr>
        <w:t>منصات مراقبة</w:t>
      </w:r>
    </w:p>
    <w:p w14:paraId="446B52D6" w14:textId="77777777" w:rsidR="007F3BBC" w:rsidRPr="007F3BBC" w:rsidRDefault="007F3BBC" w:rsidP="007F3BBC">
      <w:pPr>
        <w:pStyle w:val="ListParagraph"/>
        <w:numPr>
          <w:ilvl w:val="0"/>
          <w:numId w:val="4"/>
        </w:numPr>
        <w:jc w:val="right"/>
        <w:rPr>
          <w:rFonts w:cs="Arial"/>
          <w:sz w:val="28"/>
          <w:szCs w:val="28"/>
          <w:lang w:bidi="ar-JO"/>
        </w:rPr>
      </w:pPr>
      <w:r w:rsidRPr="007F3BBC">
        <w:rPr>
          <w:rFonts w:cs="Arial"/>
          <w:sz w:val="28"/>
          <w:szCs w:val="28"/>
          <w:rtl/>
          <w:lang w:bidi="ar-JO"/>
        </w:rPr>
        <w:t>معالم مميزة</w:t>
      </w:r>
    </w:p>
    <w:p w14:paraId="374A6E7A" w14:textId="6455A4DF" w:rsidR="007F3BBC" w:rsidRPr="007F3BBC" w:rsidRDefault="007F3BBC" w:rsidP="007F3BBC">
      <w:pPr>
        <w:pStyle w:val="ListParagraph"/>
        <w:numPr>
          <w:ilvl w:val="0"/>
          <w:numId w:val="4"/>
        </w:numPr>
        <w:jc w:val="right"/>
        <w:rPr>
          <w:rFonts w:cs="Arial"/>
          <w:sz w:val="28"/>
          <w:szCs w:val="28"/>
          <w:lang w:bidi="ar-JO"/>
        </w:rPr>
      </w:pPr>
      <w:r w:rsidRPr="007F3BBC">
        <w:rPr>
          <w:rFonts w:cs="Arial"/>
          <w:sz w:val="28"/>
          <w:szCs w:val="28"/>
          <w:rtl/>
          <w:lang w:bidi="ar-JO"/>
        </w:rPr>
        <w:t>مطلات</w:t>
      </w:r>
    </w:p>
    <w:p w14:paraId="585F02A3" w14:textId="485A9438" w:rsidR="007F3BBC" w:rsidRPr="007F3BBC" w:rsidRDefault="007F3BBC" w:rsidP="007F3BBC">
      <w:pPr>
        <w:ind w:left="720"/>
        <w:jc w:val="right"/>
        <w:rPr>
          <w:rFonts w:hint="cs"/>
          <w:b/>
          <w:bCs/>
          <w:sz w:val="28"/>
          <w:szCs w:val="28"/>
          <w:rtl/>
          <w:lang w:bidi="ar-JO"/>
        </w:rPr>
      </w:pPr>
      <w:r w:rsidRPr="007F3BBC">
        <w:rPr>
          <w:rFonts w:hint="cs"/>
          <w:b/>
          <w:bCs/>
          <w:sz w:val="28"/>
          <w:szCs w:val="28"/>
          <w:rtl/>
          <w:lang w:bidi="ar-JO"/>
        </w:rPr>
        <w:t>الأردن - أربد</w:t>
      </w:r>
    </w:p>
    <w:sectPr w:rsidR="007F3BBC" w:rsidRPr="007F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867"/>
    <w:multiLevelType w:val="hybridMultilevel"/>
    <w:tmpl w:val="04688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DF0D7A"/>
    <w:multiLevelType w:val="hybridMultilevel"/>
    <w:tmpl w:val="7C542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C925BE1"/>
    <w:multiLevelType w:val="hybridMultilevel"/>
    <w:tmpl w:val="3F7A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D06C7"/>
    <w:multiLevelType w:val="hybridMultilevel"/>
    <w:tmpl w:val="6EB2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5126958">
    <w:abstractNumId w:val="2"/>
  </w:num>
  <w:num w:numId="2" w16cid:durableId="1052996906">
    <w:abstractNumId w:val="0"/>
  </w:num>
  <w:num w:numId="3" w16cid:durableId="926841026">
    <w:abstractNumId w:val="3"/>
  </w:num>
  <w:num w:numId="4" w16cid:durableId="1723551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11"/>
    <w:rsid w:val="00074B11"/>
    <w:rsid w:val="007F3BBC"/>
    <w:rsid w:val="008F4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1C0F"/>
  <w15:chartTrackingRefBased/>
  <w15:docId w15:val="{E1ADA623-69FC-4A74-856F-87553C56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AlJamal</dc:creator>
  <cp:keywords/>
  <dc:description/>
  <cp:lastModifiedBy>Hamza, AlJamal</cp:lastModifiedBy>
  <cp:revision>2</cp:revision>
  <dcterms:created xsi:type="dcterms:W3CDTF">2023-06-05T07:48:00Z</dcterms:created>
  <dcterms:modified xsi:type="dcterms:W3CDTF">2023-06-05T07:55:00Z</dcterms:modified>
</cp:coreProperties>
</file>