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70"/>
        <w:jc w:val="both"/>
        <w:rPr>
          <w:rFonts w:ascii="Times New Roman" w:hAnsi="Times New Roman"/>
          <w:sz w:val="20"/>
          <w:szCs w:val="20"/>
          <w:lang w:val="en-US" w:eastAsia="zh-CN" w:bidi="hi-IN"/>
        </w:rPr>
      </w:pPr>
      <w:r>
        <w:rPr>
          <w:rFonts w:ascii="Times New Roman" w:hAnsi="Times New Roman"/>
          <w:sz w:val="20"/>
          <w:szCs w:val="20"/>
          <w:lang w:val="en-US" w:eastAsia="zh-CN" w:bidi="hi-IN"/>
        </w:rPr>
        <w:t>Underwater sensor networks (UWSNs) are multipurpose grids of autonomous acoustic transmitter-receiver nodes with interdisciplinary applications ranging from bathymetry, hydrographic surveys, disaster prevention, to military reconnaissance. Acoustic transmission is the only viable option as of now as radio waves suffer from severe attenuation and optical transmission suffers from severe scattering.</w:t>
      </w:r>
    </w:p>
    <w:p>
      <w:pPr>
        <w:pStyle w:val="Normal"/>
        <w:spacing w:before="0" w:after="170"/>
        <w:jc w:val="both"/>
        <w:rPr>
          <w:rFonts w:ascii="Times New Roman" w:hAnsi="Times New Roman"/>
          <w:sz w:val="20"/>
          <w:szCs w:val="20"/>
          <w:lang w:val="en-US" w:eastAsia="zh-CN" w:bidi="hi-IN"/>
        </w:rPr>
      </w:pPr>
      <w:r>
        <w:rPr>
          <w:rFonts w:ascii="Times New Roman" w:hAnsi="Times New Roman"/>
          <w:sz w:val="20"/>
          <w:szCs w:val="20"/>
          <w:lang w:val="en-US" w:eastAsia="zh-CN" w:bidi="hi-IN"/>
        </w:rPr>
        <w:t>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characteristics and transmission frequency. Unlike terrestrial networks, stability in location cannot be guaranteed and geolocation is restricted to inertial positioning based on externally predefined references.</w:t>
      </w:r>
    </w:p>
    <w:p>
      <w:pPr>
        <w:pStyle w:val="Normal"/>
        <w:spacing w:before="0" w:after="170"/>
        <w:jc w:val="both"/>
        <w:rPr>
          <w:rFonts w:ascii="Times New Roman" w:hAnsi="Times New Roman"/>
          <w:sz w:val="20"/>
          <w:szCs w:val="20"/>
          <w:lang w:val="en-US" w:eastAsia="zh-CN" w:bidi="hi-IN"/>
        </w:rPr>
      </w:pPr>
      <w:r>
        <w:rPr>
          <w:rFonts w:ascii="Times New Roman" w:hAnsi="Times New Roman"/>
          <w:sz w:val="20"/>
          <w:szCs w:val="20"/>
          <w:lang w:val="en-US" w:eastAsia="zh-CN" w:bidi="hi-IN"/>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hi-IN"/>
        </w:rPr>
        <w:t>The transmission range (</w:t>
      </w:r>
      <w:r>
        <w:rPr>
          <w:rFonts w:ascii="Times New Roman" w:hAnsi="Times New Roman"/>
          <w:i/>
          <w:iCs/>
          <w:sz w:val="20"/>
          <w:szCs w:val="20"/>
          <w:lang w:val="en-US" w:eastAsia="zh-CN" w:bidi="hi-IN"/>
        </w:rPr>
        <w:t>R</w:t>
      </w:r>
      <w:r>
        <w:rPr>
          <w:rFonts w:ascii="Times New Roman" w:hAnsi="Times New Roman"/>
          <w:sz w:val="20"/>
          <w:szCs w:val="20"/>
          <w:lang w:val="en-US" w:eastAsia="zh-CN" w:bidi="hi-IN"/>
        </w:rPr>
        <w:t xml:space="preserve">) of acoustic waves in seawater depend on a variety of factors. </w:t>
      </w:r>
      <w:r>
        <w:rPr>
          <w:rFonts w:ascii="Times New Roman" w:hAnsi="Times New Roman"/>
          <w:sz w:val="20"/>
          <w:szCs w:val="20"/>
          <w:lang w:val="en-US" w:eastAsia="zh-CN" w:bidi="ar-SA"/>
        </w:rPr>
        <w:t>Loss in transmission intensity due to spherical spreading is inversely proportional to the square of the distance traveled by the wavefront in a particular direction from the point source.</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Attenuation in underwater acoustic propagation is influenced by several factors.</w:t>
      </w:r>
      <w:r>
        <w:rPr>
          <w:rFonts w:ascii="Times New Roman" w:hAnsi="Times New Roman"/>
          <w:sz w:val="20"/>
          <w:szCs w:val="20"/>
          <w:lang w:val="en-US" w:eastAsia="zh-CN" w:bidi="hi-IN"/>
        </w:rPr>
        <w:t xml:space="preserve"> The ones that are of utmost importance are </w:t>
      </w:r>
      <w:r>
        <w:rPr>
          <w:rFonts w:ascii="Times New Roman" w:hAnsi="Times New Roman"/>
          <w:sz w:val="20"/>
          <w:szCs w:val="20"/>
          <w:lang w:val="en-US" w:eastAsia="zh-CN" w:bidi="ar-SA"/>
        </w:rPr>
        <w:t>temperature (</w:t>
      </w:r>
      <w:r>
        <w:rPr>
          <w:rFonts w:ascii="Times New Roman" w:hAnsi="Times New Roman"/>
          <w:i/>
          <w:iCs/>
          <w:sz w:val="20"/>
          <w:szCs w:val="20"/>
          <w:lang w:val="en-US" w:eastAsia="zh-CN" w:bidi="ar-SA"/>
        </w:rPr>
        <w:t>T</w:t>
      </w:r>
      <w:r>
        <w:rPr>
          <w:rFonts w:ascii="Times New Roman" w:hAnsi="Times New Roman"/>
          <w:sz w:val="20"/>
          <w:szCs w:val="20"/>
          <w:lang w:val="en-US" w:eastAsia="zh-CN" w:bidi="ar-SA"/>
        </w:rPr>
        <w:t>), salinity (</w:t>
      </w:r>
      <w:r>
        <w:rPr>
          <w:rFonts w:ascii="Times New Roman" w:hAnsi="Times New Roman"/>
          <w:i/>
          <w:iCs/>
          <w:sz w:val="20"/>
          <w:szCs w:val="20"/>
          <w:lang w:val="en-US" w:eastAsia="zh-CN" w:bidi="ar-SA"/>
        </w:rPr>
        <w:t>S</w:t>
      </w:r>
      <w:r>
        <w:rPr>
          <w:rFonts w:ascii="Times New Roman" w:hAnsi="Times New Roman"/>
          <w:sz w:val="20"/>
          <w:szCs w:val="20"/>
          <w:lang w:val="en-US" w:eastAsia="zh-CN" w:bidi="ar-SA"/>
        </w:rPr>
        <w:t>), depth (</w:t>
      </w:r>
      <w:r>
        <w:rPr>
          <w:rFonts w:ascii="Times New Roman" w:hAnsi="Times New Roman"/>
          <w:i/>
          <w:iCs/>
          <w:sz w:val="20"/>
          <w:szCs w:val="20"/>
          <w:lang w:val="en-US" w:eastAsia="zh-CN" w:bidi="ar-SA"/>
        </w:rPr>
        <w:t>z</w:t>
      </w:r>
      <w:r>
        <w:rPr>
          <w:rFonts w:ascii="Times New Roman" w:hAnsi="Times New Roman"/>
          <w:sz w:val="20"/>
          <w:szCs w:val="20"/>
          <w:lang w:val="en-US" w:eastAsia="zh-CN" w:bidi="ar-SA"/>
        </w:rPr>
        <w:t>), pH (</w:t>
      </w:r>
      <w:r>
        <w:rPr>
          <w:rFonts w:ascii="Times New Roman" w:hAnsi="Times New Roman"/>
          <w:i/>
          <w:iCs/>
          <w:sz w:val="20"/>
          <w:szCs w:val="20"/>
          <w:lang w:val="en-US" w:eastAsia="zh-CN" w:bidi="ar-SA"/>
        </w:rPr>
        <w:t>pH</w:t>
      </w:r>
      <w:r>
        <w:rPr>
          <w:rFonts w:ascii="Times New Roman" w:hAnsi="Times New Roman"/>
          <w:sz w:val="20"/>
          <w:szCs w:val="20"/>
          <w:lang w:val="en-US" w:eastAsia="zh-CN" w:bidi="ar-SA"/>
        </w:rPr>
        <w:t>), and transmission frequency (</w:t>
      </w:r>
      <w:r>
        <w:rPr>
          <w:rFonts w:ascii="Times New Roman" w:hAnsi="Times New Roman"/>
          <w:i/>
          <w:iCs/>
          <w:sz w:val="20"/>
          <w:szCs w:val="20"/>
          <w:lang w:val="en-US" w:eastAsia="zh-CN" w:bidi="ar-SA"/>
        </w:rPr>
        <w:t>f</w:t>
      </w:r>
      <w:r>
        <w:rPr>
          <w:rFonts w:ascii="Times New Roman" w:hAnsi="Times New Roman"/>
          <w:sz w:val="20"/>
          <w:szCs w:val="20"/>
          <w:lang w:val="en-US" w:eastAsia="zh-CN" w:bidi="ar-SA"/>
        </w:rPr>
        <w:t>). According to the currently accepted model of Francois-Garrison, the viscosity of pure water and the molecular relaxation processes of magnesium sulphate  and boric acid cause varying degrees of losses in intensity can be expressed as the absorption coefficient (</w:t>
      </w:r>
      <w:r>
        <w:rPr>
          <w:rFonts w:ascii="Symbol" w:hAnsi="Symbol"/>
          <w:sz w:val="20"/>
          <w:szCs w:val="20"/>
          <w:lang w:val="en-US" w:eastAsia="zh-CN" w:bidi="ar-SA"/>
        </w:rPr>
        <w:t>a</w:t>
      </w:r>
      <w:r>
        <w:rPr>
          <w:rFonts w:ascii="Times New Roman" w:hAnsi="Times New Roman"/>
          <w:sz w:val="20"/>
          <w:szCs w:val="20"/>
          <w:lang w:val="en-US" w:eastAsia="zh-CN" w:bidi="ar-SA"/>
        </w:rPr>
        <w:t>)</w:t>
      </w:r>
      <w:r>
        <w:rPr>
          <w:rFonts w:ascii="Times New Roman" w:hAnsi="Times New Roman"/>
          <w:i w:val="false"/>
          <w:iCs w:val="false"/>
          <w:sz w:val="20"/>
          <w:szCs w:val="20"/>
          <w:lang w:val="en-US" w:eastAsia="zh-CN" w:bidi="ar-SA"/>
        </w:rPr>
        <w:t xml:space="preserve"> as follows</w:t>
      </w:r>
      <w:r>
        <w:rPr>
          <w:rFonts w:ascii="Times New Roman" w:hAnsi="Times New Roman"/>
          <w:sz w:val="20"/>
          <w:szCs w:val="20"/>
          <w:lang w:val="en-US" w:eastAsia="zh-CN" w:bidi="ar-SA"/>
        </w:rPr>
        <w:t>:</w:t>
      </w:r>
    </w:p>
    <w:p>
      <w:pPr>
        <w:pStyle w:val="Normal"/>
        <w:spacing w:before="0" w:after="170"/>
        <w:jc w:val="center"/>
        <w:rPr/>
      </w:pPr>
      <w:r>
        <w:rPr/>
      </w:r>
      <m:oMath xmlns:m="http://schemas.openxmlformats.org/officeDocument/2006/math">
        <m:eqAr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e>
          <m:e>
            <m:r>
              <m:rPr>
                <m:lit/>
                <m:nor/>
              </m:rPr>
              <w:rPr>
                <w:rFonts w:ascii="Cambria Math" w:hAnsi="Cambria Math"/>
              </w:rPr>
              <m:t xml:space="preserve">where,</m:t>
            </m:r>
          </m:e>
          <m:e>
            <m:r>
              <m:rPr>
                <m:lit/>
                <m:nor/>
              </m:rPr>
              <w:rPr>
                <w:rFonts w:ascii="Cambria Math" w:hAnsi="Cambria Math"/>
              </w:rPr>
              <m:t xml:space="preserve">for boric acid:</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e>
          <m:e>
            <m:r>
              <m:rPr>
                <m:lit/>
                <m:nor/>
              </m:rPr>
              <w:rPr>
                <w:rFonts w:ascii="Cambria Math" w:hAnsi="Cambria Math"/>
              </w:rPr>
              <m:t xml:space="preserve">for magnesium sulphate:</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e>
          <m:e>
            <m:r>
              <m:rPr>
                <m:lit/>
                <m:nor/>
              </m:rPr>
              <w:rPr>
                <w:rFonts w:ascii="Cambria Math" w:hAnsi="Cambria Math"/>
              </w:rPr>
              <m:t xml:space="preserve">for pure water:</m:t>
            </m:r>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d>
              <m:dPr>
                <m:begChr m:val="{"/>
                <m:endChr m:val=""/>
              </m:dPr>
              <m:e>
                <m:eqArr>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e>
        </m:eqArr>
      </m:oMath>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As temperature </w:t>
      </w:r>
      <w:r>
        <w:rPr>
          <w:rFonts w:ascii="Times New Roman" w:hAnsi="Times New Roman"/>
          <w:i/>
          <w:iCs/>
          <w:sz w:val="20"/>
          <w:szCs w:val="20"/>
          <w:lang w:val="en-US" w:eastAsia="zh-CN" w:bidi="ar-SA"/>
        </w:rPr>
        <w:t>T</w:t>
      </w:r>
      <w:r>
        <w:rPr>
          <w:rFonts w:ascii="Times New Roman" w:hAnsi="Times New Roman"/>
          <w:sz w:val="20"/>
          <w:szCs w:val="20"/>
          <w:lang w:val="en-US" w:eastAsia="zh-CN" w:bidi="ar-SA"/>
        </w:rPr>
        <w:t xml:space="preserve">, </w:t>
      </w:r>
      <w:r>
        <w:rPr>
          <w:rFonts w:ascii="Times New Roman" w:hAnsi="Times New Roman"/>
          <w:i/>
          <w:iCs/>
          <w:sz w:val="20"/>
          <w:szCs w:val="20"/>
          <w:lang w:val="en-US" w:eastAsia="zh-CN" w:bidi="ar-SA"/>
        </w:rPr>
        <w:t>S</w:t>
      </w:r>
      <w:r>
        <w:rPr>
          <w:rFonts w:ascii="Times New Roman" w:hAnsi="Times New Roman"/>
          <w:sz w:val="20"/>
          <w:szCs w:val="20"/>
          <w:lang w:val="en-US" w:eastAsia="zh-CN" w:bidi="ar-SA"/>
        </w:rPr>
        <w:t xml:space="preserve">, </w:t>
      </w:r>
      <w:r>
        <w:rPr>
          <w:rFonts w:ascii="Times New Roman" w:hAnsi="Times New Roman"/>
          <w:i/>
          <w:iCs/>
          <w:sz w:val="20"/>
          <w:szCs w:val="20"/>
          <w:lang w:val="en-US" w:eastAsia="zh-CN" w:bidi="ar-SA"/>
        </w:rPr>
        <w:t>z</w:t>
      </w:r>
      <w:r>
        <w:rPr>
          <w:rFonts w:ascii="Times New Roman" w:hAnsi="Times New Roman"/>
          <w:sz w:val="20"/>
          <w:szCs w:val="20"/>
          <w:lang w:val="en-US" w:eastAsia="zh-CN" w:bidi="ar-SA"/>
        </w:rPr>
        <w:t xml:space="preserve">, and </w:t>
      </w:r>
      <w:r>
        <w:rPr>
          <w:rFonts w:ascii="Times New Roman" w:hAnsi="Times New Roman"/>
          <w:i/>
          <w:iCs/>
          <w:sz w:val="20"/>
          <w:szCs w:val="20"/>
          <w:lang w:val="en-US" w:eastAsia="zh-CN" w:bidi="ar-SA"/>
        </w:rPr>
        <w:t>pH</w:t>
      </w:r>
      <w:r>
        <w:rPr>
          <w:rFonts w:ascii="Times New Roman" w:hAnsi="Times New Roman"/>
          <w:sz w:val="20"/>
          <w:szCs w:val="20"/>
          <w:lang w:val="en-US" w:eastAsia="zh-CN" w:bidi="ar-SA"/>
        </w:rPr>
        <w:t xml:space="preserve"> tend to vary over a given region of interest, </w:t>
      </w:r>
      <w:r>
        <w:rPr>
          <w:rFonts w:ascii="Symbol" w:hAnsi="Symbol"/>
          <w:sz w:val="20"/>
          <w:szCs w:val="20"/>
          <w:lang w:val="en-US" w:eastAsia="zh-CN" w:bidi="ar-SA"/>
        </w:rPr>
        <w:t>a</w:t>
      </w:r>
      <w:r>
        <w:rPr>
          <w:rFonts w:ascii="Times New Roman" w:hAnsi="Times New Roman"/>
          <w:sz w:val="20"/>
          <w:szCs w:val="20"/>
          <w:lang w:val="en-US" w:eastAsia="zh-CN" w:bidi="ar-SA"/>
        </w:rPr>
        <w:t xml:space="preserve"> – and by extension the attenuation – also varies. This non-linear variation needs to be accounted for with suitable granularity in a dynamic simulation to preconfigure a stable physical network layout of nodes.</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Underwater sensors 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the available resources, for the general problem of maximizing coverage in three dimensions for a fixed number and specification of sensors, a dynamic network simulation is required in addition to deriving an optimal arrangement by modeling all vital characteristics.</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The modeling of an optimal solution with reproducible accuracy in real life situations requires the following minimal set of data as input:</w:t>
      </w:r>
    </w:p>
    <w:p>
      <w:pPr>
        <w:pStyle w:val="Normal"/>
        <w:numPr>
          <w:ilvl w:val="0"/>
          <w:numId w:val="1"/>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Of sensors:</w:t>
      </w:r>
    </w:p>
    <w:p>
      <w:pPr>
        <w:pStyle w:val="Normal"/>
        <w:numPr>
          <w:ilvl w:val="1"/>
          <w:numId w:val="1"/>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Transmission frequency (</w:t>
      </w:r>
      <w:r>
        <w:rPr>
          <w:rFonts w:ascii="Times New Roman" w:hAnsi="Times New Roman"/>
          <w:i/>
          <w:iCs/>
          <w:sz w:val="20"/>
          <w:szCs w:val="20"/>
          <w:lang w:val="en-US" w:eastAsia="zh-CN" w:bidi="ar-SA"/>
        </w:rPr>
        <w:t>f</w:t>
      </w:r>
      <w:r>
        <w:rPr>
          <w:rFonts w:ascii="Times New Roman" w:hAnsi="Times New Roman"/>
          <w:sz w:val="20"/>
          <w:szCs w:val="20"/>
          <w:lang w:val="en-US" w:eastAsia="zh-CN" w:bidi="ar-SA"/>
        </w:rPr>
        <w:t>)</w:t>
      </w:r>
    </w:p>
    <w:p>
      <w:pPr>
        <w:pStyle w:val="Normal"/>
        <w:numPr>
          <w:ilvl w:val="1"/>
          <w:numId w:val="1"/>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Source level intensity (</w:t>
      </w:r>
      <w:r>
        <w:rPr>
          <w:rFonts w:ascii="Times New Roman" w:hAnsi="Times New Roman"/>
          <w:i/>
          <w:iCs/>
          <w:sz w:val="20"/>
          <w:szCs w:val="20"/>
          <w:lang w:val="en-US" w:eastAsia="zh-CN" w:bidi="ar-SA"/>
        </w:rPr>
        <w:t>SL</w:t>
      </w:r>
      <w:r>
        <w:rPr>
          <w:rFonts w:ascii="Times New Roman" w:hAnsi="Times New Roman"/>
          <w:sz w:val="20"/>
          <w:szCs w:val="20"/>
          <w:lang w:val="en-US" w:eastAsia="zh-CN" w:bidi="ar-SA"/>
        </w:rPr>
        <w:t>)</w:t>
      </w:r>
    </w:p>
    <w:p>
      <w:pPr>
        <w:pStyle w:val="Normal"/>
        <w:numPr>
          <w:ilvl w:val="1"/>
          <w:numId w:val="1"/>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Detection threshold intensity (</w:t>
      </w:r>
      <w:r>
        <w:rPr>
          <w:rFonts w:ascii="Times New Roman" w:hAnsi="Times New Roman"/>
          <w:i/>
          <w:iCs/>
          <w:sz w:val="20"/>
          <w:szCs w:val="20"/>
          <w:lang w:val="en-US" w:eastAsia="zh-CN" w:bidi="ar-SA"/>
        </w:rPr>
        <w:t>DT</w:t>
      </w:r>
      <w:r>
        <w:rPr>
          <w:rFonts w:ascii="Times New Roman" w:hAnsi="Times New Roman"/>
          <w:sz w:val="20"/>
          <w:szCs w:val="20"/>
          <w:lang w:val="en-US" w:eastAsia="zh-CN" w:bidi="ar-SA"/>
        </w:rPr>
        <w:t>)</w:t>
      </w:r>
    </w:p>
    <w:p>
      <w:pPr>
        <w:pStyle w:val="Normal"/>
        <w:numPr>
          <w:ilvl w:val="0"/>
          <w:numId w:val="1"/>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Of seawater:</w:t>
      </w:r>
    </w:p>
    <w:p>
      <w:pPr>
        <w:pStyle w:val="Normal"/>
        <w:numPr>
          <w:ilvl w:val="1"/>
          <w:numId w:val="2"/>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Temperature (</w:t>
      </w:r>
      <w:r>
        <w:rPr>
          <w:rFonts w:ascii="Times New Roman" w:hAnsi="Times New Roman"/>
          <w:i/>
          <w:iCs/>
          <w:sz w:val="20"/>
          <w:szCs w:val="20"/>
          <w:lang w:val="en-US" w:eastAsia="zh-CN" w:bidi="ar-SA"/>
        </w:rPr>
        <w:t>T</w:t>
      </w:r>
      <w:r>
        <w:rPr>
          <w:rFonts w:ascii="Times New Roman" w:hAnsi="Times New Roman"/>
          <w:sz w:val="20"/>
          <w:szCs w:val="20"/>
          <w:lang w:val="en-US" w:eastAsia="zh-CN" w:bidi="ar-SA"/>
        </w:rPr>
        <w:t>)</w:t>
      </w:r>
    </w:p>
    <w:p>
      <w:pPr>
        <w:pStyle w:val="Normal"/>
        <w:numPr>
          <w:ilvl w:val="1"/>
          <w:numId w:val="2"/>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Salinity (</w:t>
      </w:r>
      <w:r>
        <w:rPr>
          <w:rFonts w:ascii="Times New Roman" w:hAnsi="Times New Roman"/>
          <w:i/>
          <w:iCs/>
          <w:sz w:val="20"/>
          <w:szCs w:val="20"/>
          <w:lang w:val="en-US" w:eastAsia="zh-CN" w:bidi="ar-SA"/>
        </w:rPr>
        <w:t>S</w:t>
      </w:r>
      <w:r>
        <w:rPr>
          <w:rFonts w:ascii="Times New Roman" w:hAnsi="Times New Roman"/>
          <w:sz w:val="20"/>
          <w:szCs w:val="20"/>
          <w:lang w:val="en-US" w:eastAsia="zh-CN" w:bidi="ar-SA"/>
        </w:rPr>
        <w:t>)</w:t>
      </w:r>
    </w:p>
    <w:p>
      <w:pPr>
        <w:pStyle w:val="Normal"/>
        <w:numPr>
          <w:ilvl w:val="1"/>
          <w:numId w:val="2"/>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Depth (</w:t>
      </w:r>
      <w:r>
        <w:rPr>
          <w:rFonts w:ascii="Times New Roman" w:hAnsi="Times New Roman"/>
          <w:i/>
          <w:iCs/>
          <w:sz w:val="20"/>
          <w:szCs w:val="20"/>
          <w:lang w:val="en-US" w:eastAsia="zh-CN" w:bidi="ar-SA"/>
        </w:rPr>
        <w:t>z</w:t>
      </w:r>
      <w:r>
        <w:rPr>
          <w:rFonts w:ascii="Times New Roman" w:hAnsi="Times New Roman"/>
          <w:sz w:val="20"/>
          <w:szCs w:val="20"/>
          <w:lang w:val="en-US" w:eastAsia="zh-CN" w:bidi="ar-SA"/>
        </w:rPr>
        <w:t>)</w:t>
      </w:r>
    </w:p>
    <w:p>
      <w:pPr>
        <w:pStyle w:val="Normal"/>
        <w:numPr>
          <w:ilvl w:val="1"/>
          <w:numId w:val="2"/>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pH (</w:t>
      </w:r>
      <w:r>
        <w:rPr>
          <w:rFonts w:ascii="Times New Roman" w:hAnsi="Times New Roman"/>
          <w:i/>
          <w:iCs/>
          <w:sz w:val="20"/>
          <w:szCs w:val="20"/>
          <w:lang w:val="en-US" w:eastAsia="zh-CN" w:bidi="ar-SA"/>
        </w:rPr>
        <w:t>pH</w:t>
      </w:r>
      <w:r>
        <w:rPr>
          <w:rFonts w:ascii="Times New Roman" w:hAnsi="Times New Roman"/>
          <w:sz w:val="20"/>
          <w:szCs w:val="20"/>
          <w:lang w:val="en-US" w:eastAsia="zh-CN" w:bidi="ar-SA"/>
        </w:rPr>
        <w:t>)</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For identical sensors or for echo-based detection scenarios, the difference between </w:t>
      </w:r>
      <w:r>
        <w:rPr>
          <w:rFonts w:ascii="Times New Roman" w:hAnsi="Times New Roman"/>
          <w:i/>
          <w:iCs/>
          <w:sz w:val="20"/>
          <w:szCs w:val="20"/>
          <w:lang w:val="en-US" w:eastAsia="zh-CN" w:bidi="ar-SA"/>
        </w:rPr>
        <w:t>SL</w:t>
      </w:r>
      <w:r>
        <w:rPr>
          <w:rFonts w:ascii="Times New Roman" w:hAnsi="Times New Roman"/>
          <w:sz w:val="20"/>
          <w:szCs w:val="20"/>
          <w:lang w:val="en-US" w:eastAsia="zh-CN" w:bidi="ar-SA"/>
        </w:rPr>
        <w:t xml:space="preserve"> and </w:t>
      </w:r>
      <w:r>
        <w:rPr>
          <w:rFonts w:ascii="Times New Roman" w:hAnsi="Times New Roman"/>
          <w:i/>
          <w:iCs/>
          <w:sz w:val="20"/>
          <w:szCs w:val="20"/>
          <w:lang w:val="en-US" w:eastAsia="zh-CN" w:bidi="ar-SA"/>
        </w:rPr>
        <w:t>DT</w:t>
      </w:r>
      <w:r>
        <w:rPr>
          <w:rFonts w:ascii="Times New Roman" w:hAnsi="Times New Roman"/>
          <w:sz w:val="20"/>
          <w:szCs w:val="20"/>
          <w:lang w:val="en-US" w:eastAsia="zh-CN" w:bidi="ar-SA"/>
        </w:rPr>
        <w:t xml:space="preserve"> may be thought of as the maximum acceptable loss in intensity (</w:t>
      </w:r>
      <w:r>
        <w:rPr>
          <w:rFonts w:ascii="Times New Roman" w:hAnsi="Times New Roman"/>
          <w:i/>
          <w:iCs/>
          <w:sz w:val="20"/>
          <w:szCs w:val="20"/>
          <w:lang w:val="en-US" w:eastAsia="zh-CN" w:bidi="ar-SA"/>
        </w:rPr>
        <w:t>TL</w:t>
      </w:r>
      <w:r>
        <w:rPr>
          <w:rFonts w:ascii="Times New Roman" w:hAnsi="Times New Roman"/>
          <w:sz w:val="20"/>
          <w:szCs w:val="20"/>
          <w:lang w:val="en-US" w:eastAsia="zh-CN" w:bidi="ar-SA"/>
        </w:rPr>
        <w:t>).</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In deriving an optimal spatial arrangement of nodes for this scenario, an intelligent strategy needs to be implemented to maximize the total volume enclosed, while eliminating or at least minimizing possible shadow zones in the coverage shell. Genetic algorithms provide an evolutionary approach towards solving such problems by aiming to improve the fitness of each successive generation. They do so by mixing and matching the best characteristics from the fittest individuals of the current generation, with an added mutation factor for introducing randomness to reduce the chances of convergence towards a local maximum.</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In our deployment strategy, we model a given set of sensor nodes as point sources with specified characteristics, and allow them to spread the spatial arrangement using a genetic algorithm. As the genetic algorithm requires an initial population, we randomly scatter the nodes in three dimensions such that every node is initially within range of every other node. In a real life situation, given the upper and lower depth bounds, the goal would be to secure the maximum horizontal chunk in the slab of the water body. Which each successive population generation, the node arrangement is allowed to expand laterally in the desired aspect ratio to maximize the volume of the ovoid polyhedron formed with the nodes as its vertices. The volume thus enclosed serves as the score of the current individual.</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highlight nodes surplus to requirements in achieving the given objective. Such nodes lie inside the polyhedron, and at best contribute to face coverage and the number of  alternate communication routes. In the case of the ultimate best-fit individual, a cost-benefit analysis of the solution might serve to decide the involvement of these nodes in the actual deployment.</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The ranges of sensor nodes vary anisotropically with respect to the aforementioned medium characteristics. To ensure total coverage in the face of disruptive influences like undercurrents over time, a minimum overlap factor (</w:t>
      </w:r>
      <w:r>
        <w:rPr>
          <w:rFonts w:ascii="Times New Roman" w:hAnsi="Times New Roman"/>
          <w:i/>
          <w:iCs/>
          <w:sz w:val="20"/>
          <w:szCs w:val="20"/>
          <w:lang w:val="en-US" w:eastAsia="zh-CN" w:bidi="ar-SA"/>
        </w:rPr>
        <w:t>OL</w:t>
      </w:r>
      <w:r>
        <w:rPr>
          <w:rFonts w:ascii="Times New Roman" w:hAnsi="Times New Roman"/>
          <w:sz w:val="20"/>
          <w:szCs w:val="20"/>
          <w:lang w:val="en-US" w:eastAsia="zh-CN" w:bidi="ar-SA"/>
        </w:rPr>
        <w:t>) may also be defined as an additional constraint, which has the added benefit of redundancy in detection. There are two cases for determining the range of a point source in a particular direction:</w:t>
      </w:r>
    </w:p>
    <w:p>
      <w:pPr>
        <w:pStyle w:val="Normal"/>
        <w:numPr>
          <w:ilvl w:val="0"/>
          <w:numId w:val="3"/>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Node communication:</w:t>
      </w:r>
    </w:p>
    <w:p>
      <w:pPr>
        <w:pStyle w:val="Normal"/>
        <w:numPr>
          <w:ilvl w:val="1"/>
          <w:numId w:val="3"/>
        </w:numPr>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Two-way communication between a pair of nodes requires each node to be in the other's one-way transmission range in the respective directions:</w:t>
      </w:r>
    </w:p>
    <w:p>
      <w:pPr>
        <w:pStyle w:val="Normal"/>
        <w:numPr>
          <w:ilvl w:val="2"/>
          <w:numId w:val="3"/>
        </w:numPr>
        <w:spacing w:before="0" w:after="170"/>
        <w:jc w:val="center"/>
        <w:rPr/>
      </w:pPr>
      <w:r>
        <w:rPr/>
      </w:r>
      <m:oMath xmlns:m="http://schemas.openxmlformats.org/officeDocument/2006/math">
        <m:sSub>
          <m:e>
            <m:r>
              <w:rPr>
                <w:rFonts w:ascii="Cambria Math" w:hAnsi="Cambria Math"/>
              </w:rPr>
              <m:t xml:space="preserve">TL</m:t>
            </m:r>
          </m:e>
          <m:sub>
            <m:r>
              <w:rPr>
                <w:rFonts w:ascii="Cambria Math" w:hAnsi="Cambria Math"/>
              </w:rPr>
              <m:t xml:space="preserve">comm</m:t>
            </m:r>
          </m:sub>
        </m:sSub>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oMath>
    </w:p>
    <w:p>
      <w:pPr>
        <w:pStyle w:val="Normal"/>
        <w:numPr>
          <w:ilvl w:val="0"/>
          <w:numId w:val="3"/>
        </w:numPr>
        <w:spacing w:before="0" w:after="170"/>
        <w:jc w:val="both"/>
        <w:rPr>
          <w:rFonts w:ascii="Times New Roman" w:hAnsi="Times New Roman"/>
          <w:sz w:val="20"/>
          <w:szCs w:val="20"/>
          <w:lang w:val="en-US" w:eastAsia="zh-CN"/>
        </w:rPr>
      </w:pPr>
      <w:r>
        <w:rPr>
          <w:rFonts w:ascii="Times New Roman" w:hAnsi="Times New Roman"/>
          <w:sz w:val="20"/>
          <w:szCs w:val="20"/>
          <w:lang w:val="en-US" w:eastAsia="zh-CN"/>
        </w:rPr>
        <w:t>Echo-based detection:</w:t>
      </w:r>
    </w:p>
    <w:p>
      <w:pPr>
        <w:pStyle w:val="Normal"/>
        <w:numPr>
          <w:ilvl w:val="1"/>
          <w:numId w:val="3"/>
        </w:numPr>
        <w:spacing w:before="0" w:after="170"/>
        <w:jc w:val="both"/>
        <w:rPr>
          <w:rFonts w:ascii="Times New Roman" w:hAnsi="Times New Roman"/>
          <w:sz w:val="20"/>
          <w:szCs w:val="20"/>
          <w:lang w:val="en-US" w:eastAsia="zh-CN"/>
        </w:rPr>
      </w:pPr>
      <w:r>
        <w:rPr>
          <w:rFonts w:ascii="Times New Roman" w:hAnsi="Times New Roman"/>
          <w:sz w:val="20"/>
          <w:szCs w:val="20"/>
          <w:lang w:val="en-US" w:eastAsia="zh-CN"/>
        </w:rPr>
        <w:t>Echo-based detection requires taking into consideration the two-way transmission losses in a particular direction and back:</w:t>
      </w:r>
    </w:p>
    <w:p>
      <w:pPr>
        <w:pStyle w:val="Normal"/>
        <w:numPr>
          <w:ilvl w:val="2"/>
          <w:numId w:val="3"/>
        </w:numPr>
        <w:spacing w:before="0" w:after="170"/>
        <w:jc w:val="center"/>
        <w:rPr/>
      </w:pPr>
      <w:r>
        <w:rPr/>
      </w:r>
      <m:oMath xmlns:m="http://schemas.openxmlformats.org/officeDocument/2006/math">
        <m:sSub>
          <m:e>
            <m:r>
              <w:rPr>
                <w:rFonts w:ascii="Cambria Math" w:hAnsi="Cambria Math"/>
              </w:rPr>
              <m:t xml:space="preserve">TL</m:t>
            </m:r>
          </m:e>
          <m:sub>
            <m:r>
              <w:rPr>
                <w:rFonts w:ascii="Cambria Math" w:hAnsi="Cambria Math"/>
              </w:rPr>
              <m:t xml:space="preserve">echo</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e>
        </m:d>
      </m:oMath>
    </w:p>
    <w:p>
      <w:pPr>
        <w:pStyle w:val="Normal"/>
        <w:spacing w:before="0" w:after="170"/>
        <w:rPr>
          <w:rFonts w:ascii="Times New Roman" w:hAnsi="Times New Roman"/>
          <w:sz w:val="20"/>
          <w:szCs w:val="20"/>
          <w:lang w:val="en-US" w:eastAsia="zh-CN"/>
        </w:rPr>
      </w:pPr>
      <w:r>
        <w:rPr>
          <w:rFonts w:ascii="Times New Roman" w:hAnsi="Times New Roman"/>
          <w:sz w:val="20"/>
          <w:szCs w:val="20"/>
          <w:lang w:val="en-US" w:eastAsia="zh-CN"/>
        </w:rPr>
        <w:t>Achieving echo-based detection while maintaining total edge coverage accounted for overlap satisfies communication ranges between the involved pair of nodes. For this, the edge length (</w:t>
      </w:r>
      <w:r>
        <w:rPr>
          <w:rFonts w:ascii="Times New Roman" w:hAnsi="Times New Roman"/>
          <w:i/>
          <w:iCs/>
          <w:sz w:val="20"/>
          <w:szCs w:val="20"/>
          <w:lang w:val="en-US" w:eastAsia="zh-CN"/>
        </w:rPr>
        <w:t>e</w:t>
      </w:r>
      <w:r>
        <w:rPr>
          <w:rFonts w:ascii="Times New Roman" w:hAnsi="Times New Roman"/>
          <w:sz w:val="20"/>
          <w:szCs w:val="20"/>
          <w:lang w:val="en-US" w:eastAsia="zh-CN"/>
        </w:rPr>
        <w:t>) must fit both ranges with the specified overlap:</w:t>
      </w:r>
    </w:p>
    <w:p>
      <w:pPr>
        <w:pStyle w:val="Normal"/>
        <w:spacing w:before="0" w:after="170"/>
        <w:jc w:val="center"/>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OL</m:t>
            </m:r>
          </m:e>
        </m:d>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2</m:t>
                </m:r>
              </m:sub>
            </m:sSub>
          </m:sub>
        </m:sSub>
      </m:oMath>
    </w:p>
    <w:p>
      <w:pPr>
        <w:pStyle w:val="Normal"/>
        <w:spacing w:before="0" w:after="170"/>
        <w:jc w:val="both"/>
        <w:rPr>
          <w:rFonts w:ascii="Times New Roman" w:hAnsi="Times New Roman"/>
          <w:i w:val="false"/>
          <w:iCs w:val="false"/>
          <w:sz w:val="20"/>
          <w:szCs w:val="20"/>
          <w:lang w:val="en-US" w:eastAsia="zh-CN"/>
        </w:rPr>
      </w:pPr>
      <w:r>
        <w:rPr>
          <w:rFonts w:ascii="Times New Roman" w:hAnsi="Times New Roman"/>
          <w:sz w:val="20"/>
          <w:szCs w:val="20"/>
          <w:lang w:val="en-US" w:eastAsia="zh-CN"/>
        </w:rPr>
        <w:t xml:space="preserve">For a given edge, ranges are calculated by calculating </w:t>
      </w:r>
      <w:r>
        <w:rPr>
          <w:rFonts w:ascii="Symbol" w:hAnsi="Symbol"/>
          <w:sz w:val="20"/>
          <w:szCs w:val="20"/>
          <w:lang w:val="en-US" w:eastAsia="zh-CN"/>
        </w:rPr>
        <w:t>a</w:t>
      </w:r>
      <w:r>
        <w:rPr>
          <w:rFonts w:ascii="Times New Roman" w:hAnsi="Times New Roman"/>
          <w:sz w:val="20"/>
          <w:szCs w:val="20"/>
          <w:lang w:val="en-US" w:eastAsia="zh-CN"/>
        </w:rPr>
        <w:t xml:space="preserve"> at intermediate points over its length and integrating the attenuation piecewise with a suitable granularity from both ends. As the two-way transmission losses approach </w:t>
      </w:r>
      <w:r>
        <w:rPr>
          <w:rFonts w:ascii="Times New Roman" w:hAnsi="Times New Roman"/>
          <w:i/>
          <w:iCs/>
          <w:sz w:val="20"/>
          <w:szCs w:val="20"/>
          <w:lang w:val="en-US" w:eastAsia="zh-CN"/>
        </w:rPr>
        <w:t>TL</w:t>
      </w:r>
      <w:r>
        <w:rPr>
          <w:rFonts w:ascii="Times New Roman" w:hAnsi="Times New Roman"/>
          <w:i w:val="false"/>
          <w:iCs w:val="false"/>
          <w:sz w:val="20"/>
          <w:szCs w:val="20"/>
          <w:lang w:val="en-US" w:eastAsia="zh-CN"/>
        </w:rPr>
        <w:t>, the echo-based detection range for each node approaches its maximum value in the direction of the other.</w:t>
      </w:r>
    </w:p>
    <w:p>
      <w:pPr>
        <w:pStyle w:val="Normal"/>
        <w:spacing w:before="0" w:after="170"/>
        <w:jc w:val="both"/>
        <w:rPr>
          <w:rFonts w:ascii="Times New Roman" w:hAnsi="Times New Roman"/>
          <w:sz w:val="20"/>
          <w:szCs w:val="20"/>
          <w:lang w:val="en-US" w:eastAsia="zh-CN" w:bidi="ar-SA"/>
        </w:rPr>
      </w:pPr>
      <w:r>
        <w:rPr>
          <w:rFonts w:ascii="Times New Roman" w:hAnsi="Times New Roman"/>
          <w:sz w:val="20"/>
          <w:szCs w:val="20"/>
          <w:lang w:val="en-US" w:eastAsia="zh-CN" w:bidi="ar-SA"/>
        </w:rPr>
        <w:t>Since shadow zones in such a scenario are essentially holes in the coverage shell, penalties are required to discourage such arrangements from participating in the evolution of the genome. Shadow zones can be born of holes in facets of the polyhedron, or gaps in the edge coverage, which are a lot worse. To eliminate these gaps, every edge of every facet of the polyhedron is tested for overlap-accounted total edge coverage. As soon as the first violation of this constraint is found, the individual is rejected outright with a score of zero.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NumberingSymbols">
    <w:name w:val="Numbering Symbols"/>
    <w:rPr>
      <w:rFonts w:ascii="Times New Roman" w:hAnsi="Times New Roman"/>
      <w:sz w:val="20"/>
      <w:szCs w:val="20"/>
    </w:rPr>
  </w:style>
  <w:style w:type="character" w:styleId="ListLabel1">
    <w:name w:val="ListLabel 1"/>
    <w:rPr>
      <w:rFonts w:cs="Symbol"/>
    </w:rPr>
  </w:style>
  <w:style w:type="character" w:styleId="ListLabel2">
    <w:name w:val="ListLabel 2"/>
    <w:rPr>
      <w:sz w:val="20"/>
      <w:szCs w:val="20"/>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sz w:val="20"/>
      <w:szCs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sz w:val="20"/>
      <w:szCs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sz w:val="20"/>
      <w:szCs w:val="20"/>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sz w:val="20"/>
      <w:szCs w:val="20"/>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