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51" w:rsidRPr="00CF2951" w:rsidRDefault="00CF2951" w:rsidP="00CF2951">
      <w:pPr>
        <w:shd w:val="clear" w:color="auto" w:fill="FFFFFF"/>
        <w:spacing w:before="300" w:after="15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</w:pPr>
      <w:r w:rsidRPr="00CF2951">
        <w:rPr>
          <w:rFonts w:ascii="Arial" w:eastAsia="Times New Roman" w:hAnsi="Arial" w:cs="Arial"/>
          <w:b/>
          <w:bCs/>
          <w:color w:val="000000"/>
          <w:sz w:val="33"/>
          <w:szCs w:val="33"/>
          <w:lang w:eastAsia="pl-PL"/>
        </w:rPr>
        <w:t>Stages in a thesis introduction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state the general topic and give some background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provide a review of the literature related to the topic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define the terms and scope of the topic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outline the current situation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evaluate the current situation (advantages/ disadvantages) and identify the gap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identify the importance of the proposed research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state the research problem/ questions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state the research aims and/or research objectives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state the hypotheses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val="en-US" w:eastAsia="pl-PL"/>
        </w:rPr>
        <w:t>outline the order of information in the thesis</w:t>
      </w:r>
    </w:p>
    <w:p w:rsidR="00CF2951" w:rsidRPr="00CF2951" w:rsidRDefault="00CF2951" w:rsidP="00CF2951">
      <w:pPr>
        <w:numPr>
          <w:ilvl w:val="0"/>
          <w:numId w:val="1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CF295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outline the methodology</w:t>
      </w:r>
    </w:p>
    <w:p w:rsidR="00766C98" w:rsidRDefault="00766C98"/>
    <w:p w:rsidR="003B7133" w:rsidRDefault="003B7133"/>
    <w:p w:rsidR="003B7133" w:rsidRPr="003B7133" w:rsidRDefault="003B7133" w:rsidP="003B7133">
      <w:pPr>
        <w:pStyle w:val="Normlnweb"/>
        <w:shd w:val="clear" w:color="auto" w:fill="FFFFFF"/>
        <w:spacing w:before="0" w:beforeAutospacing="0" w:after="150" w:afterAutospacing="0" w:line="285" w:lineRule="atLeast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  <w:r w:rsidRPr="003B7133">
        <w:rPr>
          <w:rFonts w:ascii="Arial" w:hAnsi="Arial" w:cs="Arial"/>
          <w:color w:val="333333"/>
          <w:sz w:val="20"/>
          <w:szCs w:val="20"/>
          <w:lang w:val="en-US"/>
        </w:rPr>
        <w:t>Note: this introduction includes the literature review.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50"/>
        <w:gridCol w:w="4302"/>
      </w:tblGrid>
      <w:tr w:rsidR="00A6363F" w:rsidRPr="00DD623E" w:rsidTr="003B7133"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Siln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Stage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Siln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Sample sentence extracts (complete introduction is 11 pages)</w:t>
            </w: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1. State the general 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...The hepatitis C virus (HCV) is a significant human pathogen given that 3% of the world’s </w:t>
            </w:r>
            <w:proofErr w:type="gramStart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population are</w:t>
            </w:r>
            <w:proofErr w:type="gramEnd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infected with the virus…</w:t>
            </w: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1.</w:t>
            </w:r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Give some background about the 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…The HCV genome is a positive sense, single stranded RNA molecule with an approximate length of 9.5kb…</w:t>
            </w:r>
          </w:p>
        </w:tc>
      </w:tr>
      <w:tr w:rsidR="003B7133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CF2951" w:rsidRDefault="003B7133" w:rsidP="003B7133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2.</w:t>
            </w:r>
            <w:r w:rsidRPr="00CF2951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 xml:space="preserve"> provide a review of the literature related to the topic</w:t>
            </w:r>
          </w:p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3.2 Define the terms and scope of the 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…</w:t>
            </w:r>
            <w:proofErr w:type="spellStart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are defined as a population of closely related minor genetic variants and are a noted phenomenon of plant and RNA viruses…It has been widely </w:t>
            </w:r>
            <w:proofErr w:type="spellStart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recognised</w:t>
            </w:r>
            <w:proofErr w:type="spellEnd"/>
            <w:r w:rsidRPr="003B7133"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that treatment outcome is highly dependent on the complexity…</w:t>
            </w:r>
          </w:p>
        </w:tc>
      </w:tr>
      <w:tr w:rsidR="003B7133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 w:rsidP="003B7133">
            <w:pPr>
              <w:pStyle w:val="Odstavecseseznamem"/>
              <w:spacing w:after="0" w:line="285" w:lineRule="atLeast"/>
              <w:ind w:left="0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 w:rsidRPr="003B7133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4. Outline the current situation</w:t>
            </w:r>
          </w:p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5.</w:t>
            </w:r>
            <w:r w:rsidR="00A6363F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Evaluate current situation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…Cloning and sequencing is considered a time-consuming and laborious method and as such there exists a need for the development of simple alternative methods…</w:t>
            </w: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 w:rsidP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5.2 Identify the gap in current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…At present there is no suitable method that has produced results comparable to that of cloning and sequencing which also has the </w:t>
            </w:r>
            <w:r w:rsidRPr="003B7133">
              <w:rPr>
                <w:rStyle w:val="move2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additional properties of simplicity and rapidity…</w:t>
            </w: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6. Identify importance of proposed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…There is mounting evidence, however, that immediate treatment will result in successful eradication of HCV. Therefore studies of acute phase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will enhance the understanding of the early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virological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events of newly acquired HCV infection and ultimately the disease process itself.</w:t>
            </w:r>
          </w:p>
        </w:tc>
      </w:tr>
      <w:tr w:rsidR="003B7133" w:rsidRPr="003B7133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CF2951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 w:rsidRPr="00A6363F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 xml:space="preserve">7.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S</w:t>
            </w:r>
            <w:r w:rsidR="003B7133" w:rsidRPr="00A6363F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tate the research problem/ questions</w:t>
            </w:r>
          </w:p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A6363F" w:rsidRPr="00CF2951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8. S</w:t>
            </w:r>
            <w:r w:rsidRPr="00CF2951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tate the research aims and/or research objectives</w:t>
            </w:r>
          </w:p>
          <w:p w:rsidR="00A6363F" w:rsidRPr="00A6363F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A6363F" w:rsidRPr="003B7133" w:rsidRDefault="00A6363F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  <w:proofErr w:type="gram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1.Define</w:t>
            </w:r>
            <w:proofErr w:type="gram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a set of parameters to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analyse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complexity. 2.Develop a simpler and rapid alternative to cloning and sequencing that would accurately assess complexity of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populations</w:t>
            </w:r>
          </w:p>
        </w:tc>
      </w:tr>
      <w:tr w:rsidR="00A6363F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</w:rPr>
              <w:t>9. State the hypothesis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3B7133" w:rsidRPr="003B7133" w:rsidRDefault="003B7133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The hypotheses for this study are that there exist suitable parameters to assess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complexity. Furthermore, a rapid and simpler alternative method to cloning and sequencing can be developed to accurately describe the complexity of a given </w:t>
            </w:r>
            <w:proofErr w:type="spellStart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quasispecies</w:t>
            </w:r>
            <w:proofErr w:type="spellEnd"/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 population…</w:t>
            </w:r>
          </w:p>
        </w:tc>
      </w:tr>
      <w:tr w:rsidR="00A6363F" w:rsidRPr="00DD623E" w:rsidTr="00A636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A6363F" w:rsidRDefault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10. </w:t>
            </w:r>
            <w:r w:rsidRPr="003B713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Outline order of information in the thesis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A6363F">
            <w:pPr>
              <w:spacing w:line="240" w:lineRule="atLeast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3B713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…This thesis is divided into five chapters: Chapter 2 discusses in more detail about diffusions in general and the case of boron diffusion…Chapter 3 outlines the experimental work carried out in the project…</w:t>
            </w:r>
          </w:p>
        </w:tc>
      </w:tr>
      <w:tr w:rsidR="003B7133" w:rsidRPr="00DD623E" w:rsidTr="003B71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A6363F" w:rsidRPr="00CF2951" w:rsidRDefault="00A6363F" w:rsidP="00A6363F">
            <w:pPr>
              <w:spacing w:after="0" w:line="285" w:lineRule="atLeast"/>
              <w:textAlignment w:val="baseline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11. O</w:t>
            </w:r>
            <w:r w:rsidRPr="00A6363F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lang w:val="en-US" w:eastAsia="pl-PL"/>
              </w:rPr>
              <w:t>utline the methodology</w:t>
            </w:r>
          </w:p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:rsidR="003B7133" w:rsidRPr="003B7133" w:rsidRDefault="003B7133">
            <w:pPr>
              <w:spacing w:line="240" w:lineRule="atLeast"/>
              <w:rPr>
                <w:rStyle w:val="move3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  <w:r w:rsidRPr="003B713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…This thesis is divided into five chapters: Chapter 2 discusses in more detail about diffusions in general and the case of boron diffusion…Chapter 3 outlines the experimental work carried out in the project…</w:t>
            </w:r>
          </w:p>
        </w:tc>
      </w:tr>
    </w:tbl>
    <w:p w:rsidR="003B7133" w:rsidRDefault="003B7133">
      <w:pPr>
        <w:rPr>
          <w:lang w:val="en-US"/>
        </w:rPr>
      </w:pPr>
    </w:p>
    <w:p w:rsidR="00DD623E" w:rsidRDefault="00DD623E">
      <w:pPr>
        <w:rPr>
          <w:lang w:val="en-US"/>
        </w:rPr>
      </w:pPr>
    </w:p>
    <w:p w:rsidR="00DD623E" w:rsidRPr="003B7133" w:rsidRDefault="00DD623E">
      <w:pPr>
        <w:rPr>
          <w:lang w:val="en-US"/>
        </w:rPr>
      </w:pPr>
      <w:r>
        <w:rPr>
          <w:lang w:val="en-US"/>
        </w:rPr>
        <w:t>2.4.2016</w:t>
      </w:r>
      <w:bookmarkStart w:id="0" w:name="_GoBack"/>
      <w:bookmarkEnd w:id="0"/>
    </w:p>
    <w:sectPr w:rsidR="00DD623E" w:rsidRPr="003B7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1796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7B0703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477A7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06324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D377F"/>
    <w:multiLevelType w:val="hybridMultilevel"/>
    <w:tmpl w:val="51129BCA"/>
    <w:lvl w:ilvl="0" w:tplc="229054CA">
      <w:start w:val="4"/>
      <w:numFmt w:val="decimal"/>
      <w:lvlText w:val="%1."/>
      <w:lvlJc w:val="left"/>
      <w:pPr>
        <w:ind w:left="341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134" w:hanging="360"/>
      </w:pPr>
    </w:lvl>
    <w:lvl w:ilvl="2" w:tplc="0415001B" w:tentative="1">
      <w:start w:val="1"/>
      <w:numFmt w:val="lowerRoman"/>
      <w:lvlText w:val="%3."/>
      <w:lvlJc w:val="right"/>
      <w:pPr>
        <w:ind w:left="4854" w:hanging="180"/>
      </w:pPr>
    </w:lvl>
    <w:lvl w:ilvl="3" w:tplc="0415000F" w:tentative="1">
      <w:start w:val="1"/>
      <w:numFmt w:val="decimal"/>
      <w:lvlText w:val="%4."/>
      <w:lvlJc w:val="left"/>
      <w:pPr>
        <w:ind w:left="5574" w:hanging="360"/>
      </w:pPr>
    </w:lvl>
    <w:lvl w:ilvl="4" w:tplc="04150019" w:tentative="1">
      <w:start w:val="1"/>
      <w:numFmt w:val="lowerLetter"/>
      <w:lvlText w:val="%5."/>
      <w:lvlJc w:val="left"/>
      <w:pPr>
        <w:ind w:left="6294" w:hanging="360"/>
      </w:pPr>
    </w:lvl>
    <w:lvl w:ilvl="5" w:tplc="0415001B" w:tentative="1">
      <w:start w:val="1"/>
      <w:numFmt w:val="lowerRoman"/>
      <w:lvlText w:val="%6."/>
      <w:lvlJc w:val="right"/>
      <w:pPr>
        <w:ind w:left="7014" w:hanging="180"/>
      </w:pPr>
    </w:lvl>
    <w:lvl w:ilvl="6" w:tplc="0415000F" w:tentative="1">
      <w:start w:val="1"/>
      <w:numFmt w:val="decimal"/>
      <w:lvlText w:val="%7."/>
      <w:lvlJc w:val="left"/>
      <w:pPr>
        <w:ind w:left="7734" w:hanging="360"/>
      </w:pPr>
    </w:lvl>
    <w:lvl w:ilvl="7" w:tplc="04150019" w:tentative="1">
      <w:start w:val="1"/>
      <w:numFmt w:val="lowerLetter"/>
      <w:lvlText w:val="%8."/>
      <w:lvlJc w:val="left"/>
      <w:pPr>
        <w:ind w:left="8454" w:hanging="360"/>
      </w:pPr>
    </w:lvl>
    <w:lvl w:ilvl="8" w:tplc="0415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>
    <w:nsid w:val="47E30036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110FF"/>
    <w:multiLevelType w:val="hybridMultilevel"/>
    <w:tmpl w:val="5212F67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B6024"/>
    <w:multiLevelType w:val="multilevel"/>
    <w:tmpl w:val="324874CA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51"/>
    <w:rsid w:val="00091704"/>
    <w:rsid w:val="000D325F"/>
    <w:rsid w:val="00177CDF"/>
    <w:rsid w:val="003B7133"/>
    <w:rsid w:val="0066000B"/>
    <w:rsid w:val="00766C98"/>
    <w:rsid w:val="009F2CEF"/>
    <w:rsid w:val="00A6363F"/>
    <w:rsid w:val="00BB11B8"/>
    <w:rsid w:val="00CF2951"/>
    <w:rsid w:val="00DD623E"/>
    <w:rsid w:val="00F5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F2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B71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F29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ove1">
    <w:name w:val="move1"/>
    <w:basedOn w:val="Standardnpsmoodstavce"/>
    <w:rsid w:val="00CF2951"/>
  </w:style>
  <w:style w:type="character" w:customStyle="1" w:styleId="move2">
    <w:name w:val="move2"/>
    <w:basedOn w:val="Standardnpsmoodstavce"/>
    <w:rsid w:val="00CF2951"/>
  </w:style>
  <w:style w:type="character" w:customStyle="1" w:styleId="move3">
    <w:name w:val="move3"/>
    <w:basedOn w:val="Standardnpsmoodstavce"/>
    <w:rsid w:val="00CF2951"/>
  </w:style>
  <w:style w:type="character" w:customStyle="1" w:styleId="Nadpis4Char">
    <w:name w:val="Nadpis 4 Char"/>
    <w:basedOn w:val="Standardnpsmoodstavce"/>
    <w:link w:val="Nadpis4"/>
    <w:uiPriority w:val="9"/>
    <w:semiHidden/>
    <w:rsid w:val="003B71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nweb">
    <w:name w:val="Normal (Web)"/>
    <w:basedOn w:val="Normln"/>
    <w:uiPriority w:val="99"/>
    <w:semiHidden/>
    <w:unhideWhenUsed/>
    <w:rsid w:val="003B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iln">
    <w:name w:val="Strong"/>
    <w:basedOn w:val="Standardnpsmoodstavce"/>
    <w:uiPriority w:val="22"/>
    <w:qFormat/>
    <w:rsid w:val="003B7133"/>
    <w:rPr>
      <w:b/>
      <w:bCs/>
    </w:rPr>
  </w:style>
  <w:style w:type="paragraph" w:styleId="Odstavecseseznamem">
    <w:name w:val="List Paragraph"/>
    <w:basedOn w:val="Normln"/>
    <w:uiPriority w:val="34"/>
    <w:qFormat/>
    <w:rsid w:val="003B7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F2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B71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F29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ove1">
    <w:name w:val="move1"/>
    <w:basedOn w:val="Standardnpsmoodstavce"/>
    <w:rsid w:val="00CF2951"/>
  </w:style>
  <w:style w:type="character" w:customStyle="1" w:styleId="move2">
    <w:name w:val="move2"/>
    <w:basedOn w:val="Standardnpsmoodstavce"/>
    <w:rsid w:val="00CF2951"/>
  </w:style>
  <w:style w:type="character" w:customStyle="1" w:styleId="move3">
    <w:name w:val="move3"/>
    <w:basedOn w:val="Standardnpsmoodstavce"/>
    <w:rsid w:val="00CF2951"/>
  </w:style>
  <w:style w:type="character" w:customStyle="1" w:styleId="Nadpis4Char">
    <w:name w:val="Nadpis 4 Char"/>
    <w:basedOn w:val="Standardnpsmoodstavce"/>
    <w:link w:val="Nadpis4"/>
    <w:uiPriority w:val="9"/>
    <w:semiHidden/>
    <w:rsid w:val="003B71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lnweb">
    <w:name w:val="Normal (Web)"/>
    <w:basedOn w:val="Normln"/>
    <w:uiPriority w:val="99"/>
    <w:semiHidden/>
    <w:unhideWhenUsed/>
    <w:rsid w:val="003B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iln">
    <w:name w:val="Strong"/>
    <w:basedOn w:val="Standardnpsmoodstavce"/>
    <w:uiPriority w:val="22"/>
    <w:qFormat/>
    <w:rsid w:val="003B7133"/>
    <w:rPr>
      <w:b/>
      <w:bCs/>
    </w:rPr>
  </w:style>
  <w:style w:type="paragraph" w:styleId="Odstavecseseznamem">
    <w:name w:val="List Paragraph"/>
    <w:basedOn w:val="Normln"/>
    <w:uiPriority w:val="34"/>
    <w:qFormat/>
    <w:rsid w:val="003B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Gość</dc:creator>
  <cp:lastModifiedBy>Grof</cp:lastModifiedBy>
  <cp:revision>2</cp:revision>
  <dcterms:created xsi:type="dcterms:W3CDTF">2016-04-07T15:37:00Z</dcterms:created>
  <dcterms:modified xsi:type="dcterms:W3CDTF">2016-04-07T15:37:00Z</dcterms:modified>
</cp:coreProperties>
</file>