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DEAF" w14:textId="77777777" w:rsidR="00A02351" w:rsidRPr="00C22734" w:rsidRDefault="00000000" w:rsidP="00C22734">
      <w:pPr>
        <w:rPr>
          <w:rFonts w:ascii="Times New Roman" w:hAnsi="Times New Roman" w:cs="Times New Roman"/>
          <w:sz w:val="36"/>
          <w:szCs w:val="36"/>
        </w:rPr>
      </w:pPr>
      <w:r w:rsidRPr="00C22734">
        <w:rPr>
          <w:rFonts w:ascii="Times New Roman" w:hAnsi="Times New Roman" w:cs="Times New Roman"/>
          <w:sz w:val="36"/>
          <w:szCs w:val="36"/>
        </w:rPr>
        <w:t>Análise de Dados — Academia RedFit</w:t>
      </w:r>
    </w:p>
    <w:p w14:paraId="4DAADA02" w14:textId="77777777" w:rsidR="00A02351" w:rsidRPr="00C22734" w:rsidRDefault="00000000" w:rsidP="00C22734">
      <w:pPr>
        <w:rPr>
          <w:rFonts w:ascii="Times New Roman" w:hAnsi="Times New Roman" w:cs="Times New Roman"/>
          <w:sz w:val="36"/>
          <w:szCs w:val="36"/>
        </w:rPr>
      </w:pPr>
      <w:r w:rsidRPr="00C22734">
        <w:rPr>
          <w:rFonts w:ascii="Times New Roman" w:hAnsi="Times New Roman" w:cs="Times New Roman"/>
          <w:sz w:val="36"/>
          <w:szCs w:val="36"/>
        </w:rPr>
        <w:t>Relatório gerado com base no dashboard analítico da base de dados da Academia RedFit (1.000 registros).</w:t>
      </w:r>
    </w:p>
    <w:p w14:paraId="381030FD" w14:textId="77777777" w:rsidR="00C22734" w:rsidRDefault="00C22734" w:rsidP="00C22734"/>
    <w:p w14:paraId="4C398F5D" w14:textId="77777777" w:rsidR="00C22734" w:rsidRPr="00C22734" w:rsidRDefault="00C22734" w:rsidP="00C22734">
      <w:pPr>
        <w:rPr>
          <w:rFonts w:ascii="Times New Roman" w:hAnsi="Times New Roman" w:cs="Times New Roman"/>
          <w:sz w:val="28"/>
          <w:szCs w:val="28"/>
        </w:rPr>
      </w:pPr>
    </w:p>
    <w:p w14:paraId="2E7A50ED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1. Perfil dos Alunos por Sexo</w:t>
      </w:r>
    </w:p>
    <w:p w14:paraId="257F518A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A distribuição de alunos por sexo é bastante equilibrada: Masculino representa 34,9% (349 alunos), Feminino 31,1% (311 alunos) e Outro 34% (340 alunos). Essa tríade praticamente igualitária sugere que a academia possui uma proposta inclusiva e diversa, sem concentração em um público específico. Academias com esse perfil tendem a se beneficiar de estratégias de marketing segmentadas por interesse e não por gênero.</w:t>
      </w:r>
    </w:p>
    <w:p w14:paraId="5863B774" w14:textId="77777777" w:rsidR="00C22734" w:rsidRPr="00C22734" w:rsidRDefault="00C22734" w:rsidP="00C22734">
      <w:pPr>
        <w:rPr>
          <w:rFonts w:ascii="Times New Roman" w:hAnsi="Times New Roman" w:cs="Times New Roman"/>
          <w:sz w:val="28"/>
          <w:szCs w:val="28"/>
        </w:rPr>
      </w:pPr>
    </w:p>
    <w:p w14:paraId="2067F2E0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2. Adesão a Nutricionista por Idade</w:t>
      </w:r>
    </w:p>
    <w:p w14:paraId="4EDD49C0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O gráfico de barras empilhadas revela que a maioria dos alunos, em praticamente todas as faixas etárias, não possui acompanhamento nutricional. O pico de alunos com nutricionista ocorre em torno dos 25 a 30 anos, possivelmente refletindo maior consciência sobre composição corporal nessa fase. A baixa adesão geral pode indicar uma oportunidade de receita para a academia ao oferecer planos combinados com nutrição.</w:t>
      </w:r>
    </w:p>
    <w:p w14:paraId="03BF3A09" w14:textId="77777777" w:rsidR="00C22734" w:rsidRPr="00C22734" w:rsidRDefault="00C22734" w:rsidP="00C22734">
      <w:pPr>
        <w:rPr>
          <w:rFonts w:ascii="Times New Roman" w:hAnsi="Times New Roman" w:cs="Times New Roman"/>
          <w:sz w:val="28"/>
          <w:szCs w:val="28"/>
        </w:rPr>
      </w:pPr>
    </w:p>
    <w:p w14:paraId="1A632471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3. Frequência Semanal de Treino por Tipo de Atividade</w:t>
      </w:r>
    </w:p>
    <w:p w14:paraId="6879C6C9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O gráfico de linhas revela que Cardio e Yoga lideram em soma de frequência semanal de treino, com valores em torno de 2.500 sessões acumuladas. Em contrapartida, Futebol apresenta a menor soma, próximo de 1.400. Modalidades individuais e de baixo impacto são praticadas com maior regularidade, enquanto esportes coletivos como futebol dependem de horários fixos e disponibilidade de grupo. A academia pode explorar turmas adicionais de Cardio e Yoga para atender à alta demanda.</w:t>
      </w:r>
    </w:p>
    <w:p w14:paraId="68B20630" w14:textId="77777777" w:rsidR="00C22734" w:rsidRPr="00C22734" w:rsidRDefault="00C22734" w:rsidP="00C22734">
      <w:pPr>
        <w:rPr>
          <w:rFonts w:ascii="Times New Roman" w:hAnsi="Times New Roman" w:cs="Times New Roman"/>
          <w:sz w:val="28"/>
          <w:szCs w:val="28"/>
        </w:rPr>
      </w:pPr>
    </w:p>
    <w:p w14:paraId="22CBEEA7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4. Estado da Matrícula vs. Nutricionista</w:t>
      </w:r>
    </w:p>
    <w:p w14:paraId="0A69659C" w14:textId="77777777" w:rsidR="00C22734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A grande maioria dos alunos está com matrícula Ativa (próximo de 1.000), enquanto Sedentária é representada por um grupo muito menor. Entre os alunos sedentários, a proporção com nutricionista é relativamente maior que entre os ativos. Isso pode indicar que alunos que saíram do hábito de treinar buscaram apoio nutricional como tentativa de manter resultados ou retomar a rotina saudável</w:t>
      </w:r>
    </w:p>
    <w:p w14:paraId="048F4A26" w14:textId="10A44EA2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.</w:t>
      </w:r>
    </w:p>
    <w:p w14:paraId="081C403E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5. Conclusões e Recomendações</w:t>
      </w:r>
    </w:p>
    <w:p w14:paraId="3ED932FC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A academia apresenta uma base de alunos diversa em gênero, o que favorece ações de marketing inclusivas.</w:t>
      </w:r>
    </w:p>
    <w:p w14:paraId="2D85CAAF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lastRenderedPageBreak/>
        <w:t>A baixa adesão a nutricionistas é uma oportunidade de negócio: planos combinados podem aumentar o ticket médio e a retenção.</w:t>
      </w:r>
    </w:p>
    <w:p w14:paraId="00BD6CF3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Cardio e Yoga têm alta frequência semanal — ampliar horários e turmas dessas modalidades pode aumentar a satisfação e retenção.</w:t>
      </w:r>
    </w:p>
    <w:p w14:paraId="7E0963CA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Modalidades com menor adesão (Futebol) podem ser reavaliadas: redução de turmas ou reformulação do formato.</w:t>
      </w:r>
    </w:p>
    <w:p w14:paraId="49464175" w14:textId="77777777" w:rsidR="00A02351" w:rsidRPr="00C22734" w:rsidRDefault="00000000" w:rsidP="00C22734">
      <w:pPr>
        <w:rPr>
          <w:rFonts w:ascii="Times New Roman" w:hAnsi="Times New Roman" w:cs="Times New Roman"/>
          <w:sz w:val="28"/>
          <w:szCs w:val="28"/>
        </w:rPr>
      </w:pPr>
      <w:r w:rsidRPr="00C22734">
        <w:rPr>
          <w:rFonts w:ascii="Times New Roman" w:hAnsi="Times New Roman" w:cs="Times New Roman"/>
          <w:sz w:val="28"/>
          <w:szCs w:val="28"/>
        </w:rPr>
        <w:t>O alto índice de matrículas ativas indica boa retenção geral, mas estratégias de reengajamento para alunos sedentários devem ser consideradas.</w:t>
      </w:r>
    </w:p>
    <w:p w14:paraId="2749FB4C" w14:textId="77777777" w:rsidR="00A02351" w:rsidRPr="00C22734" w:rsidRDefault="00A02351" w:rsidP="00C22734">
      <w:pPr>
        <w:rPr>
          <w:rFonts w:ascii="Times New Roman" w:hAnsi="Times New Roman" w:cs="Times New Roman"/>
          <w:sz w:val="28"/>
          <w:szCs w:val="28"/>
        </w:rPr>
      </w:pPr>
    </w:p>
    <w:p w14:paraId="68C290CA" w14:textId="77777777" w:rsidR="00C22734" w:rsidRPr="00C22734" w:rsidRDefault="00C22734" w:rsidP="00C22734">
      <w:pPr>
        <w:rPr>
          <w:sz w:val="28"/>
          <w:szCs w:val="28"/>
        </w:rPr>
      </w:pPr>
    </w:p>
    <w:sectPr w:rsidR="00C22734" w:rsidRPr="00C2273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C02A0"/>
    <w:multiLevelType w:val="hybridMultilevel"/>
    <w:tmpl w:val="E1C4BBBC"/>
    <w:lvl w:ilvl="0" w:tplc="C1E622E6">
      <w:start w:val="1"/>
      <w:numFmt w:val="bullet"/>
      <w:lvlText w:val="●"/>
      <w:lvlJc w:val="left"/>
      <w:pPr>
        <w:ind w:left="720" w:hanging="360"/>
      </w:pPr>
    </w:lvl>
    <w:lvl w:ilvl="1" w:tplc="44A876E8">
      <w:start w:val="1"/>
      <w:numFmt w:val="bullet"/>
      <w:lvlText w:val="○"/>
      <w:lvlJc w:val="left"/>
      <w:pPr>
        <w:ind w:left="1440" w:hanging="360"/>
      </w:pPr>
    </w:lvl>
    <w:lvl w:ilvl="2" w:tplc="2F9A872E">
      <w:start w:val="1"/>
      <w:numFmt w:val="bullet"/>
      <w:lvlText w:val="■"/>
      <w:lvlJc w:val="left"/>
      <w:pPr>
        <w:ind w:left="2160" w:hanging="360"/>
      </w:pPr>
    </w:lvl>
    <w:lvl w:ilvl="3" w:tplc="57EEBA48">
      <w:start w:val="1"/>
      <w:numFmt w:val="bullet"/>
      <w:lvlText w:val="●"/>
      <w:lvlJc w:val="left"/>
      <w:pPr>
        <w:ind w:left="2880" w:hanging="360"/>
      </w:pPr>
    </w:lvl>
    <w:lvl w:ilvl="4" w:tplc="140ECED6">
      <w:start w:val="1"/>
      <w:numFmt w:val="bullet"/>
      <w:lvlText w:val="○"/>
      <w:lvlJc w:val="left"/>
      <w:pPr>
        <w:ind w:left="3600" w:hanging="360"/>
      </w:pPr>
    </w:lvl>
    <w:lvl w:ilvl="5" w:tplc="7110ED4E">
      <w:start w:val="1"/>
      <w:numFmt w:val="bullet"/>
      <w:lvlText w:val="■"/>
      <w:lvlJc w:val="left"/>
      <w:pPr>
        <w:ind w:left="4320" w:hanging="360"/>
      </w:pPr>
    </w:lvl>
    <w:lvl w:ilvl="6" w:tplc="4DDC42B2">
      <w:start w:val="1"/>
      <w:numFmt w:val="bullet"/>
      <w:lvlText w:val="●"/>
      <w:lvlJc w:val="left"/>
      <w:pPr>
        <w:ind w:left="5040" w:hanging="360"/>
      </w:pPr>
    </w:lvl>
    <w:lvl w:ilvl="7" w:tplc="FF40FF28">
      <w:start w:val="1"/>
      <w:numFmt w:val="bullet"/>
      <w:lvlText w:val="●"/>
      <w:lvlJc w:val="left"/>
      <w:pPr>
        <w:ind w:left="5760" w:hanging="360"/>
      </w:pPr>
    </w:lvl>
    <w:lvl w:ilvl="8" w:tplc="6FAEE7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DA4AA1"/>
    <w:multiLevelType w:val="hybridMultilevel"/>
    <w:tmpl w:val="9EEC47F6"/>
    <w:lvl w:ilvl="0" w:tplc="2BF81F22">
      <w:start w:val="1"/>
      <w:numFmt w:val="bullet"/>
      <w:lvlText w:val="•"/>
      <w:lvlJc w:val="left"/>
      <w:pPr>
        <w:ind w:left="720" w:hanging="360"/>
      </w:pPr>
    </w:lvl>
    <w:lvl w:ilvl="1" w:tplc="9CA4AE9E">
      <w:numFmt w:val="decimal"/>
      <w:lvlText w:val=""/>
      <w:lvlJc w:val="left"/>
    </w:lvl>
    <w:lvl w:ilvl="2" w:tplc="92D69178">
      <w:numFmt w:val="decimal"/>
      <w:lvlText w:val=""/>
      <w:lvlJc w:val="left"/>
    </w:lvl>
    <w:lvl w:ilvl="3" w:tplc="480C4FD2">
      <w:numFmt w:val="decimal"/>
      <w:lvlText w:val=""/>
      <w:lvlJc w:val="left"/>
    </w:lvl>
    <w:lvl w:ilvl="4" w:tplc="B5D0960C">
      <w:numFmt w:val="decimal"/>
      <w:lvlText w:val=""/>
      <w:lvlJc w:val="left"/>
    </w:lvl>
    <w:lvl w:ilvl="5" w:tplc="D0000736">
      <w:numFmt w:val="decimal"/>
      <w:lvlText w:val=""/>
      <w:lvlJc w:val="left"/>
    </w:lvl>
    <w:lvl w:ilvl="6" w:tplc="0BB8163E">
      <w:numFmt w:val="decimal"/>
      <w:lvlText w:val=""/>
      <w:lvlJc w:val="left"/>
    </w:lvl>
    <w:lvl w:ilvl="7" w:tplc="8C5C321E">
      <w:numFmt w:val="decimal"/>
      <w:lvlText w:val=""/>
      <w:lvlJc w:val="left"/>
    </w:lvl>
    <w:lvl w:ilvl="8" w:tplc="17C68258">
      <w:numFmt w:val="decimal"/>
      <w:lvlText w:val=""/>
      <w:lvlJc w:val="left"/>
    </w:lvl>
  </w:abstractNum>
  <w:num w:numId="1" w16cid:durableId="2027707770">
    <w:abstractNumId w:val="0"/>
    <w:lvlOverride w:ilvl="0">
      <w:startOverride w:val="1"/>
    </w:lvlOverride>
  </w:num>
  <w:num w:numId="2" w16cid:durableId="17734761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351"/>
    <w:rsid w:val="00A02351"/>
    <w:rsid w:val="00C22734"/>
    <w:rsid w:val="00F3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FDC87"/>
  <w15:docId w15:val="{6814D3B3-098D-4588-BBF5-B90E115F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C22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413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Slann Antonio</cp:lastModifiedBy>
  <cp:revision>2</cp:revision>
  <dcterms:created xsi:type="dcterms:W3CDTF">2026-03-21T16:32:00Z</dcterms:created>
  <dcterms:modified xsi:type="dcterms:W3CDTF">2026-03-21T17:07:00Z</dcterms:modified>
</cp:coreProperties>
</file>