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0" w:type="auto"/>
        <w:tblBorders/>
        <w:tblLayout w:type="fixed"/>
        <w:tblpPr w:horzAnchor="margin" w:tblpXSpec="center" w:vertAnchor="page" w:tblpY="1269" w:leftFromText="180" w:topFromText="0" w:rightFromText="180" w:bottomFromText="0"/>
        <w:tblLook w:val="04A0" w:firstRow="1" w:lastRow="0" w:firstColumn="1" w:lastColumn="0" w:noHBand="0" w:noVBand="1"/>
      </w:tblPr>
      <w:tblGrid>
        <w:gridCol w:w="9921"/>
      </w:tblGrid>
      <w:tr>
        <w:trPr>
          <w:trHeight w:val="11304"/>
        </w:trPr>
        <w:tc>
          <w:tcPr>
            <w:tcBorders/>
            <w:tcW w:w="9921" w:type="dxa"/>
            <w:textDirection w:val="lrTb"/>
            <w:noWrap w:val="false"/>
          </w:tcPr>
          <w:p w14:paraId="34D08A09" w14:textId="77777777">
            <w:pPr>
              <w:pBdr/>
              <w:spacing w:line="288" w:lineRule="auto"/>
              <w:ind/>
              <w:rPr>
                <w:b/>
                <w:bCs/>
                <w:color w:val="002060"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УДК 004</w:t>
            </w:r>
            <w:r>
              <w:rPr>
                <w:b/>
                <w:bCs/>
                <w:color w:val="002060"/>
                <w:sz w:val="22"/>
                <w:szCs w:val="22"/>
              </w:rPr>
            </w:r>
          </w:p>
          <w:p w14:paraId="3F4C3903" w14:textId="77777777">
            <w:pPr>
              <w:keepNext w:val="true"/>
              <w:keepLines w:val="true"/>
              <w:pBdr/>
              <w:spacing w:line="288" w:lineRule="auto"/>
              <w:ind/>
              <w:jc w:val="right"/>
              <w:outlineLvl w:val="2"/>
              <w:rPr>
                <w:i/>
              </w:rPr>
            </w:pPr>
            <w:r>
              <w:rPr>
                <w:b/>
                <w:bCs/>
              </w:rPr>
              <w:t xml:space="preserve">Мухаметшин Александр </w:t>
            </w:r>
            <w:r>
              <w:rPr>
                <w:b/>
                <w:bCs/>
              </w:rPr>
              <w:t xml:space="preserve">Ринатович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br/>
            </w:r>
            <w:r>
              <w:rPr>
                <w:i/>
              </w:rPr>
              <w:t xml:space="preserve">студент 1 курса специальности</w:t>
            </w:r>
            <w:r>
              <w:rPr>
                <w:i/>
              </w:rPr>
            </w:r>
          </w:p>
          <w:p w14:paraId="6A33F557" w14:textId="77777777">
            <w:pPr>
              <w:keepNext w:val="true"/>
              <w:keepLines w:val="true"/>
              <w:pBdr/>
              <w:spacing w:line="288" w:lineRule="auto"/>
              <w:ind/>
              <w:jc w:val="right"/>
              <w:outlineLvl w:val="2"/>
              <w:rPr>
                <w:i/>
              </w:rPr>
            </w:pPr>
            <w:r>
              <w:rPr>
                <w:i/>
              </w:rPr>
              <w:t xml:space="preserve">«</w:t>
            </w:r>
            <w:r>
              <w:rPr>
                <w:i/>
              </w:rPr>
              <w:t xml:space="preserve">Киберразведка</w:t>
            </w:r>
            <w:r>
              <w:rPr>
                <w:i/>
              </w:rPr>
              <w:t xml:space="preserve"> и противодействие угрозам с применением технологий искусственного интеллекта»</w:t>
            </w:r>
            <w:r>
              <w:rPr>
                <w:i/>
              </w:rPr>
            </w:r>
          </w:p>
          <w:p w14:paraId="6657EEDC" w14:textId="77777777">
            <w:pPr>
              <w:keepNext w:val="true"/>
              <w:keepLines w:val="true"/>
              <w:pBdr/>
              <w:spacing w:line="288" w:lineRule="auto"/>
              <w:ind/>
              <w:jc w:val="right"/>
              <w:outlineLvl w:val="2"/>
              <w:rPr>
                <w:i/>
              </w:rPr>
            </w:pPr>
            <w:r>
              <w:rPr>
                <w:i/>
              </w:rPr>
              <w:t xml:space="preserve">ИКБ РТУ МИРЭА</w:t>
            </w:r>
            <w:r>
              <w:rPr>
                <w:i/>
              </w:rPr>
            </w:r>
          </w:p>
          <w:p w14:paraId="5673491C" w14:textId="77777777">
            <w:pPr>
              <w:keepNext w:val="true"/>
              <w:keepLines w:val="true"/>
              <w:pBdr/>
              <w:spacing w:line="288" w:lineRule="auto"/>
              <w:ind/>
              <w:jc w:val="right"/>
              <w:outlineLvl w:val="2"/>
              <w:rPr>
                <w:i/>
              </w:rPr>
            </w:pPr>
            <w:r>
              <w:rPr>
                <w:i/>
                <w:lang w:val="en-US"/>
              </w:rPr>
              <w:t xml:space="preserve">slashersdcat</w:t>
            </w:r>
            <w:r>
              <w:rPr>
                <w:i/>
              </w:rPr>
              <w:t xml:space="preserve">@</w:t>
            </w:r>
            <w:r>
              <w:rPr>
                <w:i/>
                <w:lang w:val="en-US"/>
              </w:rPr>
              <w:t xml:space="preserve">gmail</w:t>
            </w:r>
            <w:r>
              <w:rPr>
                <w:i/>
              </w:rPr>
              <w:t xml:space="preserve">.</w:t>
            </w:r>
            <w:r>
              <w:rPr>
                <w:i/>
                <w:lang w:val="en-US"/>
              </w:rPr>
              <w:t xml:space="preserve">com</w:t>
            </w:r>
            <w:r>
              <w:rPr>
                <w:i/>
              </w:rPr>
            </w:r>
          </w:p>
          <w:p w14:paraId="1FC89330" w14:textId="77777777">
            <w:pPr>
              <w:pBdr/>
              <w:spacing w:line="288" w:lineRule="auto"/>
              <w:ind/>
              <w:rPr>
                <w:b/>
                <w:color w:val="002060"/>
                <w:sz w:val="22"/>
                <w:szCs w:val="22"/>
              </w:rPr>
            </w:pPr>
            <w:r>
              <w:rPr>
                <w:b/>
                <w:color w:val="002060"/>
                <w:sz w:val="22"/>
                <w:szCs w:val="22"/>
              </w:rPr>
            </w:r>
            <w:r>
              <w:rPr>
                <w:b/>
                <w:color w:val="002060"/>
                <w:sz w:val="22"/>
                <w:szCs w:val="22"/>
              </w:rPr>
            </w:r>
          </w:p>
          <w:p w14:paraId="6CC34E02" w14:textId="77777777">
            <w:pPr>
              <w:pBdr/>
              <w:spacing w:line="288" w:lineRule="auto"/>
              <w:ind/>
              <w:jc w:val="center"/>
              <w:rPr>
                <w:b/>
                <w:color w:val="000000"/>
                <w:sz w:val="30"/>
                <w:szCs w:val="30"/>
              </w:rPr>
            </w:pPr>
            <w:r>
              <w:rPr>
                <w:b/>
                <w:color w:val="000000"/>
                <w:sz w:val="30"/>
                <w:szCs w:val="30"/>
              </w:rPr>
              <w:t xml:space="preserve">ИССЛЕДОВАНИЕ МЕТОДОВ ВЗАИМОДЕЙСТВИЯ АВТОНОМНЫХ АГЕНТОВ КИБЕРБЕЗОПАСНОСТИ НА ОСНОВЕ ПРОТОКОЛОВ ОБМЕНА КОНТЕКСТОМ</w:t>
            </w:r>
            <w:r>
              <w:rPr>
                <w:b/>
                <w:color w:val="000000"/>
                <w:sz w:val="30"/>
                <w:szCs w:val="30"/>
              </w:rPr>
            </w:r>
          </w:p>
          <w:p w14:paraId="1B949E10" w14:textId="77777777">
            <w:pPr>
              <w:pBdr/>
              <w:spacing w:line="288" w:lineRule="auto"/>
              <w:ind/>
              <w:jc w:val="center"/>
              <w:rPr>
                <w:b/>
                <w:color w:val="d9d9d9"/>
                <w:sz w:val="22"/>
                <w:szCs w:val="22"/>
              </w:rPr>
            </w:pPr>
            <w:r>
              <w:rPr>
                <w:b/>
                <w:color w:val="d9d9d9"/>
                <w:sz w:val="22"/>
                <w:szCs w:val="22"/>
              </w:rPr>
            </w:r>
            <w:r>
              <w:rPr>
                <w:b/>
                <w:color w:val="d9d9d9"/>
                <w:sz w:val="22"/>
                <w:szCs w:val="22"/>
              </w:rPr>
            </w:r>
          </w:p>
          <w:p w14:paraId="2F807EB1" w14:textId="77777777">
            <w:pPr>
              <w:pBdr/>
              <w:spacing w:line="288" w:lineRule="auto"/>
              <w:ind w:firstLine="567"/>
              <w:jc w:val="both"/>
              <w:rPr>
                <w:b/>
                <w:color w:val="d9d9d9"/>
              </w:rPr>
            </w:pPr>
            <w:r>
              <w:rPr>
                <w:b/>
              </w:rPr>
              <w:t xml:space="preserve">Аннотация. </w:t>
            </w:r>
            <w:r>
              <w:rPr>
                <w:i/>
                <w:iCs/>
              </w:rPr>
              <w:t xml:space="preserve">Развитие технологий больших языковых моделей (LLM, от англ. </w:t>
            </w:r>
            <w:r>
              <w:rPr>
                <w:i/>
                <w:iCs/>
              </w:rPr>
              <w:t xml:space="preserve">Large</w:t>
            </w:r>
            <w:r>
              <w:rPr>
                <w:i/>
                <w:iCs/>
              </w:rPr>
              <w:t xml:space="preserve"> Language Model) ускоряет переход от монолитных систем обнаружения </w:t>
            </w:r>
            <w:r>
              <w:rPr>
                <w:i/>
                <w:iCs/>
              </w:rPr>
              <w:t xml:space="preserve">к гетерогенным </w:t>
            </w:r>
            <w:r>
              <w:rPr>
                <w:i/>
                <w:iCs/>
              </w:rPr>
              <w:t xml:space="preserve">мультиагентным</w:t>
            </w:r>
            <w:r>
              <w:rPr>
                <w:i/>
                <w:iCs/>
              </w:rPr>
              <w:t xml:space="preserve"> архитектурам кибербезопасности. Ключевым условием эффективной работы таких систем является способность агентов согласованно обмениваться контекстом – структурированной информацией о состоянии среды, наблюдаемых угрозах и выпол</w:t>
            </w:r>
            <w:r>
              <w:rPr>
                <w:i/>
                <w:iCs/>
              </w:rPr>
              <w:t xml:space="preserve">няемых действиях. В настоящей работе систематизированы существующие протоколы обмена контекстом (STIX 2.1/TAXII 2.1, OCSF, CACAO 2.0, OpenC2, MCP, A2A) и проведён их сравнительный анализ применительно к задачам автономной координации агентов безопасности. </w:t>
            </w:r>
            <w:r>
              <w:rPr>
                <w:i/>
                <w:iCs/>
              </w:rPr>
              <w:t xml:space="preserve">Выявлено, что ни один из рассмотренных протоколов в отдельности не обеспечивает полного цикла взаимодействия агентов – от получения сигналов телеметрии до совместного формирования ответного действия. Предложена концептуальная архитектура брокера контекста,</w:t>
            </w:r>
            <w:r>
              <w:rPr>
                <w:i/>
                <w:iCs/>
              </w:rPr>
              <w:t xml:space="preserve"> реализующего трансляцию и согласование семантики между протоколами с привязкой к таксономии MITRE ATT&amp;CK. Введены три количественные метрики оценки качества </w:t>
            </w:r>
            <w:r>
              <w:rPr>
                <w:i/>
                <w:iCs/>
              </w:rPr>
              <w:t xml:space="preserve">межагентного</w:t>
            </w:r>
            <w:r>
              <w:rPr>
                <w:i/>
                <w:iCs/>
              </w:rPr>
              <w:t xml:space="preserve"> взаимодействия: коэффициент полноты контекста (КПК), задержка распространения контекс</w:t>
            </w:r>
            <w:r>
              <w:rPr>
                <w:i/>
                <w:iCs/>
              </w:rPr>
              <w:t xml:space="preserve">та (ЗРК) и коэффициент семантической согласованности агентов (КССА).</w:t>
            </w:r>
            <w:r>
              <w:rPr>
                <w:b/>
                <w:color w:val="d9d9d9"/>
              </w:rPr>
            </w:r>
          </w:p>
          <w:p w14:paraId="6F890C96" w14:textId="77777777">
            <w:pPr>
              <w:pBdr/>
              <w:spacing w:line="288" w:lineRule="auto"/>
              <w:ind w:firstLine="567"/>
              <w:jc w:val="both"/>
              <w:rPr>
                <w:color w:val="d9d9d9"/>
              </w:rPr>
            </w:pPr>
            <w:r>
              <w:rPr>
                <w:b/>
              </w:rPr>
              <w:t xml:space="preserve">Ключевые слова:</w:t>
            </w:r>
            <w:r>
              <w:t xml:space="preserve"> </w:t>
            </w:r>
            <w:r>
              <w:rPr>
                <w:i/>
                <w:iCs/>
              </w:rPr>
              <w:t xml:space="preserve">автономные агенты кибербезопасности, протоколы обмена контекстом, </w:t>
            </w:r>
            <w:r>
              <w:rPr>
                <w:i/>
                <w:iCs/>
              </w:rPr>
              <w:t xml:space="preserve">мультиагентные</w:t>
            </w:r>
            <w:r>
              <w:rPr>
                <w:i/>
                <w:iCs/>
              </w:rPr>
              <w:t xml:space="preserve"> системы, Model </w:t>
            </w:r>
            <w:r>
              <w:rPr>
                <w:i/>
                <w:iCs/>
              </w:rPr>
              <w:t xml:space="preserve">Context</w:t>
            </w:r>
            <w:r>
              <w:rPr>
                <w:i/>
                <w:iCs/>
              </w:rPr>
              <w:t xml:space="preserve"> Protocol, Agent-</w:t>
            </w:r>
            <w:r>
              <w:rPr>
                <w:i/>
                <w:iCs/>
              </w:rPr>
              <w:t xml:space="preserve">to</w:t>
            </w:r>
            <w:r>
              <w:rPr>
                <w:i/>
                <w:iCs/>
              </w:rPr>
              <w:t xml:space="preserve">-Agent Protocol, STIX/TAXII, OCSF, CACAO, MITRE A</w:t>
            </w:r>
            <w:r>
              <w:rPr>
                <w:i/>
                <w:iCs/>
              </w:rPr>
              <w:t xml:space="preserve">TT&amp;CK, координация агентов.</w:t>
            </w:r>
            <w:r>
              <w:rPr>
                <w:color w:val="d9d9d9"/>
              </w:rPr>
            </w:r>
          </w:p>
          <w:p w14:paraId="77B4D0D9" w14:textId="77777777">
            <w:pPr>
              <w:pBdr/>
              <w:spacing w:line="288" w:lineRule="auto"/>
              <w:ind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Обзор существующих подходов к проблеме</w:t>
            </w:r>
            <w:r>
              <w:rPr>
                <w:b/>
                <w:bCs/>
                <w:sz w:val="28"/>
                <w:szCs w:val="28"/>
              </w:rPr>
            </w:r>
          </w:p>
          <w:p w14:paraId="6EBD067F" w14:textId="77777777">
            <w:pPr>
              <w:pBdr/>
              <w:spacing w:line="288" w:lineRule="auto"/>
              <w:ind w:firstLine="567"/>
              <w:jc w:val="both"/>
              <w:rPr/>
            </w:pPr>
            <w:r>
              <w:rPr>
                <w:sz w:val="28"/>
                <w:szCs w:val="28"/>
              </w:rPr>
              <w:t xml:space="preserve">Вопрос взаимодействия интеллектуальных агентов в системах информационной безопасности изучается с начала 2000-х гг. Первое направление представлено работами в области </w:t>
            </w:r>
            <w:r>
              <w:rPr>
                <w:sz w:val="28"/>
                <w:szCs w:val="28"/>
              </w:rPr>
              <w:t xml:space="preserve">мультиагентных</w:t>
            </w:r>
            <w:r>
              <w:rPr>
                <w:sz w:val="28"/>
                <w:szCs w:val="28"/>
              </w:rPr>
              <w:t xml:space="preserve"> систем </w:t>
            </w:r>
            <w:r>
              <w:rPr>
                <w:sz w:val="28"/>
                <w:szCs w:val="28"/>
              </w:rPr>
              <w:t xml:space="preserve">защиты сетей: исследования В. И. Городецкого, И. В. Котенко и О. В. </w:t>
            </w:r>
            <w:r>
              <w:rPr>
                <w:sz w:val="28"/>
                <w:szCs w:val="28"/>
              </w:rPr>
              <w:t xml:space="preserve">Карсаева</w:t>
            </w:r>
            <w:r>
              <w:rPr>
                <w:sz w:val="28"/>
                <w:szCs w:val="28"/>
              </w:rPr>
              <w:t xml:space="preserve"> заложили основы распределённых систем обнаружения вторжений на базе стандарта FIPA ACL [1], однако он не предусматривает передачи структурированных данных об угрозах. </w:t>
            </w:r>
            <w:r>
              <w:rPr>
                <w:sz w:val="28"/>
                <w:szCs w:val="28"/>
              </w:rPr>
              <w:t xml:space="preserve">Браницкий</w:t>
            </w:r>
            <w:r>
              <w:rPr>
                <w:sz w:val="28"/>
                <w:szCs w:val="28"/>
              </w:rPr>
              <w:t xml:space="preserve"> А.</w:t>
            </w:r>
            <w:r>
              <w:rPr>
                <w:sz w:val="28"/>
                <w:szCs w:val="28"/>
              </w:rPr>
              <w:t xml:space="preserve"> А. и Котенко И. В. систематизировали свыше 40 методов обнаружения атак, показав ограниченность централизованных подходов при масштабировании [2].</w:t>
            </w:r>
            <w:r/>
          </w:p>
          <w:p w14:paraId="64AF251B" w14:textId="77777777">
            <w:pPr>
              <w:pBdr/>
              <w:spacing w:line="288" w:lineRule="auto"/>
              <w:ind w:firstLine="567"/>
              <w:jc w:val="both"/>
              <w:rPr/>
            </w:pPr>
            <w:r>
              <w:rPr>
                <w:sz w:val="28"/>
                <w:szCs w:val="28"/>
              </w:rPr>
              <w:t xml:space="preserve">Второе направление – стандартизация обмена разведывательными данными (CTI). Стандарты STIX 2.1 и TAXII 2.1, п</w:t>
            </w:r>
            <w:r>
              <w:rPr>
                <w:sz w:val="28"/>
                <w:szCs w:val="28"/>
              </w:rPr>
              <w:t xml:space="preserve">ринятые OASIS в июне 2021 г., широко применяются в платформах </w:t>
            </w:r>
            <w:r>
              <w:rPr>
                <w:sz w:val="28"/>
                <w:szCs w:val="28"/>
              </w:rPr>
              <w:t xml:space="preserve">Threat</w:t>
            </w:r>
            <w:r>
              <w:rPr>
                <w:sz w:val="28"/>
                <w:szCs w:val="28"/>
              </w:rPr>
              <w:t xml:space="preserve"> Intelligence (</w:t>
            </w:r>
            <w:r>
              <w:rPr>
                <w:sz w:val="28"/>
                <w:szCs w:val="28"/>
              </w:rPr>
              <w:t xml:space="preserve">EclecticIQ</w:t>
            </w:r>
            <w:r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 xml:space="preserve">OpenCTI</w:t>
            </w:r>
            <w:r>
              <w:rPr>
                <w:sz w:val="28"/>
                <w:szCs w:val="28"/>
              </w:rPr>
              <w:t xml:space="preserve">, MISP), однако ориентированы на асинхронный обмен между аналитиками и не рассчитаны на реактивное взаимодействие автономных агентов в реальном времени.</w:t>
            </w:r>
            <w:r/>
          </w:p>
          <w:p w14:paraId="2E2F5719" w14:textId="77777777">
            <w:pPr>
              <w:pBdr/>
              <w:spacing w:line="288" w:lineRule="auto"/>
              <w:ind w:firstLine="567"/>
              <w:jc w:val="both"/>
              <w:rPr/>
            </w:pPr>
            <w:r>
              <w:rPr>
                <w:sz w:val="28"/>
                <w:szCs w:val="28"/>
              </w:rPr>
              <w:t xml:space="preserve">Т</w:t>
            </w:r>
            <w:r>
              <w:rPr>
                <w:sz w:val="28"/>
                <w:szCs w:val="28"/>
              </w:rPr>
              <w:t xml:space="preserve">ретье направление – </w:t>
            </w:r>
            <w:r>
              <w:rPr>
                <w:sz w:val="28"/>
                <w:szCs w:val="28"/>
              </w:rPr>
              <w:t xml:space="preserve">оркестрация</w:t>
            </w:r>
            <w:r>
              <w:rPr>
                <w:sz w:val="28"/>
                <w:szCs w:val="28"/>
              </w:rPr>
              <w:t xml:space="preserve"> ответных действий. Стандарт CACAO 2.0 (OASIS, 2023) формализует автоматизированные </w:t>
            </w:r>
            <w:r>
              <w:rPr>
                <w:sz w:val="28"/>
                <w:szCs w:val="28"/>
              </w:rPr>
              <w:t xml:space="preserve">плейбуки</w:t>
            </w:r>
            <w:r>
              <w:rPr>
                <w:sz w:val="28"/>
                <w:szCs w:val="28"/>
              </w:rPr>
              <w:t xml:space="preserve"> реагирования; протокол OpenC2 определяет унифицированный язык команд (</w:t>
            </w:r>
            <w:r>
              <w:rPr>
                <w:sz w:val="28"/>
                <w:szCs w:val="28"/>
              </w:rPr>
              <w:t xml:space="preserve">action</w:t>
            </w:r>
            <w:r>
              <w:rPr>
                <w:sz w:val="28"/>
                <w:szCs w:val="28"/>
              </w:rPr>
              <w:t xml:space="preserve"> + </w:t>
            </w:r>
            <w:r>
              <w:rPr>
                <w:sz w:val="28"/>
                <w:szCs w:val="28"/>
              </w:rPr>
              <w:t xml:space="preserve">target</w:t>
            </w:r>
            <w:r>
              <w:rPr>
                <w:sz w:val="28"/>
                <w:szCs w:val="28"/>
              </w:rPr>
              <w:t xml:space="preserve"> + </w:t>
            </w:r>
            <w:r>
              <w:rPr>
                <w:sz w:val="28"/>
                <w:szCs w:val="28"/>
              </w:rPr>
              <w:t xml:space="preserve">actuator</w:t>
            </w:r>
            <w:r>
              <w:rPr>
                <w:sz w:val="28"/>
                <w:szCs w:val="28"/>
              </w:rPr>
              <w:t xml:space="preserve">), независимый от транспортного уров</w:t>
            </w:r>
            <w:r>
              <w:rPr>
                <w:sz w:val="28"/>
                <w:szCs w:val="28"/>
              </w:rPr>
              <w:t xml:space="preserve">ня. Оба обеспечивают исполнительный контекст, но не предусматривают координации LLM-агентов.</w:t>
            </w:r>
            <w:r/>
          </w:p>
          <w:p w14:paraId="692D2F33" w14:textId="77777777">
            <w:pPr>
              <w:pBdr/>
              <w:spacing w:line="288" w:lineRule="auto"/>
              <w:ind w:firstLine="567"/>
              <w:jc w:val="both"/>
              <w:rPr/>
            </w:pPr>
            <w:r>
              <w:rPr>
                <w:sz w:val="28"/>
                <w:szCs w:val="28"/>
              </w:rPr>
              <w:t xml:space="preserve">Четвёртое направление – нормализация схемы событий. Фреймворк OCSF, запущенный AWS и </w:t>
            </w:r>
            <w:r>
              <w:rPr>
                <w:sz w:val="28"/>
                <w:szCs w:val="28"/>
              </w:rPr>
              <w:t xml:space="preserve">Splunk</w:t>
            </w:r>
            <w:r>
              <w:rPr>
                <w:sz w:val="28"/>
                <w:szCs w:val="28"/>
              </w:rPr>
              <w:t xml:space="preserve"> в 2022 г. и перешедший под управление Linux Foundation в 2024 г. [3], п</w:t>
            </w:r>
            <w:r>
              <w:rPr>
                <w:sz w:val="28"/>
                <w:szCs w:val="28"/>
              </w:rPr>
              <w:t xml:space="preserve">редоставляет расширяемую таксономию событий безопасности, однако является исключительно схемой данных без </w:t>
            </w:r>
            <w:r>
              <w:rPr>
                <w:sz w:val="28"/>
                <w:szCs w:val="28"/>
              </w:rPr>
              <w:t xml:space="preserve">агентного</w:t>
            </w:r>
            <w:r>
              <w:rPr>
                <w:sz w:val="28"/>
                <w:szCs w:val="28"/>
              </w:rPr>
              <w:t xml:space="preserve"> транспортного уровня.</w:t>
            </w:r>
            <w:r/>
          </w:p>
          <w:p w14:paraId="05789E8F" w14:textId="77777777">
            <w:pPr>
              <w:pBdr/>
              <w:spacing w:line="288" w:lineRule="auto"/>
              <w:ind w:firstLine="567"/>
              <w:jc w:val="both"/>
              <w:rPr/>
            </w:pPr>
            <w:r>
              <w:rPr>
                <w:sz w:val="28"/>
                <w:szCs w:val="28"/>
              </w:rPr>
              <w:t xml:space="preserve">Пятое – наиболее актуальное – направление связано с появлением протоколов для LLM-агентов нового поколения. В ноябре 2</w:t>
            </w:r>
            <w:r>
              <w:rPr>
                <w:sz w:val="28"/>
                <w:szCs w:val="28"/>
              </w:rPr>
              <w:t xml:space="preserve">024 г. </w:t>
            </w:r>
            <w:r>
              <w:rPr>
                <w:sz w:val="28"/>
                <w:szCs w:val="28"/>
              </w:rPr>
              <w:t xml:space="preserve">Anthropic</w:t>
            </w:r>
            <w:r>
              <w:rPr>
                <w:sz w:val="28"/>
                <w:szCs w:val="28"/>
              </w:rPr>
              <w:t xml:space="preserve"> открыла спецификацию Model </w:t>
            </w:r>
            <w:r>
              <w:rPr>
                <w:sz w:val="28"/>
                <w:szCs w:val="28"/>
              </w:rPr>
              <w:t xml:space="preserve">Context</w:t>
            </w:r>
            <w:r>
              <w:rPr>
                <w:sz w:val="28"/>
                <w:szCs w:val="28"/>
              </w:rPr>
              <w:t xml:space="preserve"> Protocol (MCP) – стандарт, определяющий примитивы инструментов, ресурсов и подсказок для двустороннего взаимодействия языковых моделей с внешними системами. К апрелю 2025 г. его официально приняли </w:t>
            </w:r>
            <w:r>
              <w:rPr>
                <w:sz w:val="28"/>
                <w:szCs w:val="28"/>
              </w:rPr>
              <w:t xml:space="preserve">OpenAI</w:t>
            </w:r>
            <w:r>
              <w:rPr>
                <w:sz w:val="28"/>
                <w:szCs w:val="28"/>
              </w:rPr>
              <w:t xml:space="preserve">,</w:t>
            </w:r>
            <w:r>
              <w:rPr>
                <w:sz w:val="28"/>
                <w:szCs w:val="28"/>
              </w:rPr>
              <w:t xml:space="preserve"> Google </w:t>
            </w:r>
            <w:r>
              <w:rPr>
                <w:sz w:val="28"/>
                <w:szCs w:val="28"/>
              </w:rPr>
              <w:t xml:space="preserve">DeepMind</w:t>
            </w:r>
            <w:r>
              <w:rPr>
                <w:sz w:val="28"/>
                <w:szCs w:val="28"/>
              </w:rPr>
              <w:t xml:space="preserve"> и Microsoft. В апреле 2025 г. Google представил протокол Agent-</w:t>
            </w:r>
            <w:r>
              <w:rPr>
                <w:sz w:val="28"/>
                <w:szCs w:val="28"/>
              </w:rPr>
              <w:t xml:space="preserve">to</w:t>
            </w:r>
            <w:r>
              <w:rPr>
                <w:sz w:val="28"/>
                <w:szCs w:val="28"/>
              </w:rPr>
              <w:t xml:space="preserve">-Agent (A2A) для прямой координации агентов через HTTP/SSE. Ключевой нерешённой проблемой остаётся отсутствие в обоих протоколах встроенных механизмов семантической верификац</w:t>
            </w:r>
            <w:r>
              <w:rPr>
                <w:sz w:val="28"/>
                <w:szCs w:val="28"/>
              </w:rPr>
              <w:t xml:space="preserve">ии данных безопасности и интеграции с доменными онтологиями кибербезопасности.</w:t>
            </w:r>
            <w:r/>
          </w:p>
          <w:p w14:paraId="7F677E0E" w14:textId="77777777">
            <w:pPr>
              <w:pBdr/>
              <w:spacing w:line="288" w:lineRule="auto"/>
              <w:ind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Классификация протоколов обмена контекстом в задачах кибербезопасности</w:t>
            </w:r>
            <w:r>
              <w:rPr>
                <w:b/>
                <w:bCs/>
                <w:sz w:val="28"/>
                <w:szCs w:val="28"/>
              </w:rPr>
            </w:r>
          </w:p>
          <w:p w14:paraId="405BE26F" w14:textId="77777777">
            <w:pPr>
              <w:pBdr/>
              <w:spacing w:line="288" w:lineRule="auto"/>
              <w:ind w:firstLine="567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Для систематизации существующих подходов и оценки их применимости к задаче координации автономных агентов </w:t>
            </w:r>
            <w:r>
              <w:rPr>
                <w:sz w:val="28"/>
                <w:szCs w:val="28"/>
              </w:rPr>
              <w:t xml:space="preserve">составим классификационную таблицу (табл. 1).</w:t>
            </w:r>
            <w:r>
              <w:rPr>
                <w:sz w:val="28"/>
                <w:szCs w:val="28"/>
              </w:rPr>
            </w:r>
          </w:p>
          <w:p w14:paraId="200AA633" w14:textId="77777777">
            <w:pPr>
              <w:pBdr/>
              <w:spacing w:line="288" w:lineRule="auto"/>
              <w:ind w:firstLine="567"/>
              <w:jc w:val="both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</w:rPr>
              <w:t xml:space="preserve">П</w:t>
            </w:r>
            <w:r>
              <w:rPr>
                <w:sz w:val="28"/>
                <w:szCs w:val="28"/>
              </w:rPr>
              <w:t xml:space="preserve">роведённая классификация показывает, что ни один из перечисленных протоколов не охватывает полного цикла </w:t>
            </w:r>
            <w:r>
              <w:rPr>
                <w:sz w:val="28"/>
                <w:szCs w:val="28"/>
              </w:rPr>
              <w:t xml:space="preserve">агентного</w:t>
            </w:r>
            <w:r>
              <w:rPr>
                <w:sz w:val="28"/>
                <w:szCs w:val="28"/>
              </w:rPr>
              <w:t xml:space="preserve"> взаимодействия: от нормализации телеметрии (OCSF) и обогащения контекстом угрозы (STIX) до </w:t>
            </w:r>
            <w:r>
              <w:rPr>
                <w:sz w:val="28"/>
                <w:szCs w:val="28"/>
              </w:rPr>
              <w:t xml:space="preserve">оркестрации</w:t>
            </w:r>
            <w:r>
              <w:rPr>
                <w:sz w:val="28"/>
                <w:szCs w:val="28"/>
              </w:rPr>
              <w:t xml:space="preserve"> ответного действия (CACAO/OpenC2) и ди</w:t>
            </w:r>
            <w:r>
              <w:rPr>
                <w:sz w:val="28"/>
                <w:szCs w:val="28"/>
              </w:rPr>
              <w:t xml:space="preserve">намической координации LLM-агентов (MCP/A2A). Это определяет необходимость разработки связующего механизма – брокера контекста.</w:t>
            </w:r>
            <w:r>
              <w:rPr>
                <w:sz w:val="28"/>
                <w:szCs w:val="28"/>
              </w:rPr>
            </w:r>
          </w:p>
          <w:p w14:paraId="5396BF41" w14:textId="77777777">
            <w:pPr>
              <w:pBdr/>
              <w:spacing w:line="288" w:lineRule="auto"/>
              <w:ind/>
              <w:jc w:val="center"/>
              <w:rPr>
                <w:bCs/>
                <w:i/>
                <w:color w:val="d9d9d9"/>
                <w:sz w:val="26"/>
                <w:szCs w:val="26"/>
              </w:rPr>
            </w:pPr>
            <w:r>
              <w:rPr>
                <w:bCs/>
                <w:i/>
                <w:iCs/>
                <w:sz w:val="26"/>
                <w:szCs w:val="26"/>
              </w:rPr>
              <w:t xml:space="preserve">Таблица 1. </w:t>
            </w:r>
            <w:r>
              <w:rPr>
                <w:bCs/>
                <w:i/>
                <w:iCs/>
                <w:sz w:val="26"/>
                <w:szCs w:val="26"/>
              </w:rPr>
              <w:t xml:space="preserve">Сравнительный анализ протоколов обмена контекстом для агентов кибербезопасности</w:t>
            </w:r>
            <w:r>
              <w:rPr>
                <w:i/>
                <w:iCs/>
                <w:color w:val="d9d9d9"/>
                <w:sz w:val="26"/>
                <w:szCs w:val="26"/>
              </w:rPr>
            </w:r>
          </w:p>
          <w:tbl>
            <w:tblPr>
              <w:tblStyle w:val="892"/>
              <w:tblW w:w="9671" w:type="dxa"/>
              <w:tblBorders/>
              <w:tblLayout w:type="fixed"/>
              <w:tblLook w:val="04A0" w:firstRow="1" w:lastRow="0" w:firstColumn="1" w:lastColumn="0" w:noHBand="0" w:noVBand="1"/>
            </w:tblPr>
            <w:tblGrid>
              <w:gridCol w:w="1309"/>
              <w:gridCol w:w="1417"/>
              <w:gridCol w:w="1984"/>
              <w:gridCol w:w="1417"/>
              <w:gridCol w:w="1843"/>
              <w:gridCol w:w="1701"/>
            </w:tblGrid>
            <w:tr>
              <w:trPr/>
              <w:tc>
                <w:tcPr>
                  <w:tcBorders/>
                  <w:tcW w:w="1309" w:type="dxa"/>
                  <w:textDirection w:val="lrTb"/>
                  <w:noWrap w:val="false"/>
                </w:tcPr>
                <w:p w14:paraId="5933FA73" w14:textId="77777777">
                  <w:pPr>
                    <w:framePr w:hAnchor="margin" w:hSpace="180" w:vAnchor="page" w:wrap="around" w:xAlign="center" w:y="1269"/>
                    <w:pBdr/>
                    <w:spacing/>
                    <w:ind/>
                    <w:rPr/>
                  </w:pPr>
                  <w:r>
                    <w:rPr>
                      <w:b/>
                      <w:bCs/>
                    </w:rPr>
                    <w:t xml:space="preserve">Протокол</w:t>
                  </w:r>
                  <w:r/>
                </w:p>
              </w:tc>
              <w:tc>
                <w:tcPr>
                  <w:tcBorders/>
                  <w:tcW w:w="1417" w:type="dxa"/>
                  <w:textDirection w:val="lrTb"/>
                  <w:noWrap w:val="false"/>
                </w:tcPr>
                <w:p w14:paraId="3A1C05D0" w14:textId="77777777">
                  <w:pPr>
                    <w:framePr w:hAnchor="margin" w:hSpace="180" w:vAnchor="page" w:wrap="around" w:xAlign="center" w:y="1269"/>
                    <w:pBdr/>
                    <w:spacing/>
                    <w:ind/>
                    <w:rPr/>
                  </w:pPr>
                  <w:r>
                    <w:rPr>
                      <w:b/>
                      <w:bCs/>
                    </w:rPr>
                    <w:t xml:space="preserve">Год / Орган</w:t>
                  </w:r>
                  <w:r/>
                </w:p>
              </w:tc>
              <w:tc>
                <w:tcPr>
                  <w:tcBorders/>
                  <w:tcW w:w="1984" w:type="dxa"/>
                  <w:textDirection w:val="lrTb"/>
                  <w:noWrap w:val="false"/>
                </w:tcPr>
                <w:p w14:paraId="6017D5F3" w14:textId="77777777">
                  <w:pPr>
                    <w:framePr w:hAnchor="margin" w:hSpace="180" w:vAnchor="page" w:wrap="around" w:xAlign="center" w:y="1269"/>
                    <w:pBdr/>
                    <w:spacing/>
                    <w:ind/>
                    <w:rPr/>
                  </w:pPr>
                  <w:r>
                    <w:rPr>
                      <w:b/>
                      <w:bCs/>
                    </w:rPr>
                    <w:t xml:space="preserve">Модель взаимодействия</w:t>
                  </w:r>
                  <w:r/>
                </w:p>
              </w:tc>
              <w:tc>
                <w:tcPr>
                  <w:tcBorders/>
                  <w:tcW w:w="1417" w:type="dxa"/>
                  <w:textDirection w:val="lrTb"/>
                  <w:noWrap w:val="false"/>
                </w:tcPr>
                <w:p w14:paraId="0D77BFDF" w14:textId="77777777">
                  <w:pPr>
                    <w:framePr w:hAnchor="margin" w:hSpace="180" w:vAnchor="page" w:wrap="around" w:xAlign="center" w:y="1269"/>
                    <w:pBdr/>
                    <w:spacing/>
                    <w:ind/>
                    <w:rPr/>
                  </w:pPr>
                  <w:r>
                    <w:rPr>
                      <w:b/>
                      <w:bCs/>
                    </w:rPr>
                    <w:t xml:space="preserve">Формат контекста</w:t>
                  </w:r>
                  <w:r/>
                </w:p>
              </w:tc>
              <w:tc>
                <w:tcPr>
                  <w:tcBorders/>
                  <w:tcW w:w="1843" w:type="dxa"/>
                  <w:textDirection w:val="lrTb"/>
                  <w:noWrap w:val="false"/>
                </w:tcPr>
                <w:p w14:paraId="46087367" w14:textId="77777777">
                  <w:pPr>
                    <w:framePr w:hAnchor="margin" w:hSpace="180" w:vAnchor="page" w:wrap="around" w:xAlign="center" w:y="1269"/>
                    <w:pBdr/>
                    <w:spacing/>
                    <w:ind/>
                    <w:rPr/>
                  </w:pPr>
                  <w:r>
                    <w:rPr>
                      <w:b/>
                      <w:bCs/>
                    </w:rPr>
                    <w:t xml:space="preserve">Применение в ИБ</w:t>
                  </w:r>
                  <w:r/>
                </w:p>
              </w:tc>
              <w:tc>
                <w:tcPr>
                  <w:tcBorders/>
                  <w:tcW w:w="1701" w:type="dxa"/>
                  <w:textDirection w:val="lrTb"/>
                  <w:noWrap w:val="false"/>
                </w:tcPr>
                <w:p w14:paraId="4D400265" w14:textId="77777777">
                  <w:pPr>
                    <w:framePr w:hAnchor="margin" w:hSpace="180" w:vAnchor="page" w:wrap="around" w:xAlign="center" w:y="1269"/>
                    <w:pBdr/>
                    <w:spacing/>
                    <w:ind/>
                    <w:rPr/>
                  </w:pPr>
                  <w:r>
                    <w:rPr>
                      <w:b/>
                      <w:bCs/>
                    </w:rPr>
                    <w:t xml:space="preserve">Ограничения</w:t>
                  </w:r>
                  <w:r/>
                </w:p>
              </w:tc>
            </w:tr>
            <w:tr>
              <w:trPr>
                <w:trHeight w:val="1363"/>
              </w:trPr>
              <w:tc>
                <w:tcPr>
                  <w:tcBorders/>
                  <w:tcW w:w="1309" w:type="dxa"/>
                  <w:textDirection w:val="lrTb"/>
                  <w:noWrap w:val="false"/>
                </w:tcPr>
                <w:p w14:paraId="037D84ED" w14:textId="77777777">
                  <w:pPr>
                    <w:framePr w:hAnchor="margin" w:hSpace="180" w:vAnchor="page" w:wrap="around" w:xAlign="center" w:y="1269"/>
                    <w:pBdr/>
                    <w:spacing/>
                    <w:ind/>
                    <w:rPr/>
                  </w:pPr>
                  <w:r>
                    <w:t xml:space="preserve">STIX 2.1 / TAXII 2.1</w:t>
                  </w:r>
                  <w:r/>
                </w:p>
              </w:tc>
              <w:tc>
                <w:tcPr>
                  <w:tcBorders/>
                  <w:tcW w:w="1417" w:type="dxa"/>
                  <w:textDirection w:val="lrTb"/>
                  <w:noWrap w:val="false"/>
                </w:tcPr>
                <w:p w14:paraId="01612762" w14:textId="77777777">
                  <w:pPr>
                    <w:framePr w:hAnchor="margin" w:hSpace="180" w:vAnchor="page" w:wrap="around" w:xAlign="center" w:y="1269"/>
                    <w:pBdr/>
                    <w:spacing/>
                    <w:ind/>
                    <w:rPr/>
                  </w:pPr>
                  <w:r>
                    <w:t xml:space="preserve">2021, OASIS</w:t>
                  </w:r>
                  <w:r/>
                </w:p>
              </w:tc>
              <w:tc>
                <w:tcPr>
                  <w:tcBorders/>
                  <w:tcW w:w="1984" w:type="dxa"/>
                  <w:textDirection w:val="lrTb"/>
                  <w:noWrap w:val="false"/>
                </w:tcPr>
                <w:p w14:paraId="07307F52" w14:textId="77777777">
                  <w:pPr>
                    <w:framePr w:hAnchor="margin" w:hSpace="180" w:vAnchor="page" w:wrap="around" w:xAlign="center" w:y="1269"/>
                    <w:pBdr/>
                    <w:spacing/>
                    <w:ind/>
                    <w:rPr/>
                  </w:pPr>
                  <w:r>
                    <w:t xml:space="preserve">Асинхронный </w:t>
                  </w:r>
                  <w:r>
                    <w:t xml:space="preserve">push</w:t>
                  </w:r>
                  <w:r>
                    <w:t xml:space="preserve">/</w:t>
                  </w:r>
                  <w:r>
                    <w:t xml:space="preserve">pull</w:t>
                  </w:r>
                  <w:r>
                    <w:t xml:space="preserve"> по HTTPS</w:t>
                  </w:r>
                  <w:r/>
                </w:p>
              </w:tc>
              <w:tc>
                <w:tcPr>
                  <w:tcBorders/>
                  <w:tcW w:w="1417" w:type="dxa"/>
                  <w:textDirection w:val="lrTb"/>
                  <w:noWrap w:val="false"/>
                </w:tcPr>
                <w:p w14:paraId="6A91206A" w14:textId="77777777">
                  <w:pPr>
                    <w:framePr w:hAnchor="margin" w:hSpace="180" w:vAnchor="page" w:wrap="around" w:xAlign="center" w:y="1269"/>
                    <w:pBdr/>
                    <w:spacing/>
                    <w:ind/>
                    <w:rPr/>
                  </w:pPr>
                  <w:r>
                    <w:t xml:space="preserve">JSON (SDO, SRO, SCO)</w:t>
                  </w:r>
                  <w:r/>
                </w:p>
              </w:tc>
              <w:tc>
                <w:tcPr>
                  <w:tcBorders/>
                  <w:tcW w:w="1843" w:type="dxa"/>
                  <w:textDirection w:val="lrTb"/>
                  <w:noWrap w:val="false"/>
                </w:tcPr>
                <w:p w14:paraId="5C956D9E" w14:textId="77777777">
                  <w:pPr>
                    <w:framePr w:hAnchor="margin" w:hSpace="180" w:vAnchor="page" w:wrap="around" w:xAlign="center" w:y="1269"/>
                    <w:pBdr/>
                    <w:spacing/>
                    <w:ind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CT</w:t>
                  </w:r>
                  <w:r>
                    <w:rPr>
                      <w:lang w:val="en-US"/>
                    </w:rPr>
                    <w:t xml:space="preserve">I: IOC, TTP, Campaign, Threat Actor</w:t>
                  </w:r>
                  <w:r>
                    <w:rPr>
                      <w:lang w:val="en-US"/>
                    </w:rPr>
                  </w:r>
                </w:p>
              </w:tc>
              <w:tc>
                <w:tcPr>
                  <w:tcBorders/>
                  <w:tcW w:w="1701" w:type="dxa"/>
                  <w:textDirection w:val="lrTb"/>
                  <w:noWrap w:val="false"/>
                </w:tcPr>
                <w:p w14:paraId="6B9B2628" w14:textId="77777777">
                  <w:pPr>
                    <w:framePr w:hAnchor="margin" w:hSpace="180" w:vAnchor="page" w:wrap="around" w:xAlign="center" w:y="1269"/>
                    <w:pBdr/>
                    <w:spacing/>
                    <w:ind/>
                    <w:rPr/>
                  </w:pPr>
                  <w:r>
                    <w:t xml:space="preserve">Нет API реального времени; отсутствует </w:t>
                  </w:r>
                  <w:r>
                    <w:t xml:space="preserve">агентное</w:t>
                  </w:r>
                  <w:r>
                    <w:t xml:space="preserve"> состояние</w:t>
                  </w:r>
                  <w:r/>
                </w:p>
              </w:tc>
            </w:tr>
            <w:tr>
              <w:trPr/>
              <w:tc>
                <w:tcPr>
                  <w:tcBorders/>
                  <w:tcW w:w="1309" w:type="dxa"/>
                  <w:textDirection w:val="lrTb"/>
                  <w:noWrap w:val="false"/>
                </w:tcPr>
                <w:p w14:paraId="1FAB9335" w14:textId="77777777">
                  <w:pPr>
                    <w:framePr w:hAnchor="margin" w:hSpace="180" w:vAnchor="page" w:wrap="around" w:xAlign="center" w:y="1269"/>
                    <w:pBdr/>
                    <w:spacing/>
                    <w:ind/>
                    <w:rPr/>
                  </w:pPr>
                  <w:r>
                    <w:t xml:space="preserve">OpenC2</w:t>
                  </w:r>
                  <w:r/>
                </w:p>
              </w:tc>
              <w:tc>
                <w:tcPr>
                  <w:tcBorders/>
                  <w:tcW w:w="1417" w:type="dxa"/>
                  <w:textDirection w:val="lrTb"/>
                  <w:noWrap w:val="false"/>
                </w:tcPr>
                <w:p w14:paraId="143B24AF" w14:textId="77777777">
                  <w:pPr>
                    <w:framePr w:hAnchor="margin" w:hSpace="180" w:vAnchor="page" w:wrap="around" w:xAlign="center" w:y="1269"/>
                    <w:pBdr/>
                    <w:spacing/>
                    <w:ind/>
                    <w:rPr/>
                  </w:pPr>
                  <w:r>
                    <w:t xml:space="preserve">2019–н. д., OASIS</w:t>
                  </w:r>
                  <w:r/>
                </w:p>
              </w:tc>
              <w:tc>
                <w:tcPr>
                  <w:tcBorders/>
                  <w:tcW w:w="1984" w:type="dxa"/>
                  <w:textDirection w:val="lrTb"/>
                  <w:noWrap w:val="false"/>
                </w:tcPr>
                <w:p w14:paraId="3BFB0B8A" w14:textId="77777777">
                  <w:pPr>
                    <w:framePr w:hAnchor="margin" w:hSpace="180" w:vAnchor="page" w:wrap="around" w:xAlign="center" w:y="1269"/>
                    <w:pBdr/>
                    <w:spacing/>
                    <w:ind/>
                    <w:rPr/>
                  </w:pPr>
                  <w:r>
                    <w:t xml:space="preserve">Команда–исполнитель (JSON), </w:t>
                  </w:r>
                  <w:r>
                    <w:t xml:space="preserve">transport-agnostic</w:t>
                  </w:r>
                  <w:r/>
                </w:p>
              </w:tc>
              <w:tc>
                <w:tcPr>
                  <w:tcBorders/>
                  <w:tcW w:w="1417" w:type="dxa"/>
                  <w:textDirection w:val="lrTb"/>
                  <w:noWrap w:val="false"/>
                </w:tcPr>
                <w:p w14:paraId="28F68F4A" w14:textId="77777777">
                  <w:pPr>
                    <w:framePr w:hAnchor="margin" w:hSpace="180" w:vAnchor="page" w:wrap="around" w:xAlign="center" w:y="1269"/>
                    <w:pBdr/>
                    <w:spacing/>
                    <w:ind/>
                    <w:rPr/>
                  </w:pPr>
                  <w:r>
                    <w:t xml:space="preserve">JSON: </w:t>
                  </w:r>
                  <w:r>
                    <w:t xml:space="preserve">action</w:t>
                  </w:r>
                  <w:r>
                    <w:t xml:space="preserve"> + </w:t>
                  </w:r>
                  <w:r>
                    <w:t xml:space="preserve">target</w:t>
                  </w:r>
                  <w:r>
                    <w:t xml:space="preserve"> + </w:t>
                  </w:r>
                  <w:r>
                    <w:t xml:space="preserve">actuator</w:t>
                  </w:r>
                  <w:r/>
                </w:p>
              </w:tc>
              <w:tc>
                <w:tcPr>
                  <w:tcBorders/>
                  <w:tcW w:w="1843" w:type="dxa"/>
                  <w:textDirection w:val="lrTb"/>
                  <w:noWrap w:val="false"/>
                </w:tcPr>
                <w:p w14:paraId="15E3E1C7" w14:textId="77777777">
                  <w:pPr>
                    <w:framePr w:hAnchor="margin" w:hSpace="180" w:vAnchor="page" w:wrap="around" w:xAlign="center" w:y="1269"/>
                    <w:pBdr/>
                    <w:spacing/>
                    <w:ind/>
                    <w:rPr/>
                  </w:pPr>
                  <w:r>
                    <w:t xml:space="preserve">Автономное исполнение защитных действий </w:t>
                  </w:r>
                  <w:r/>
                </w:p>
              </w:tc>
              <w:tc>
                <w:tcPr>
                  <w:tcBorders/>
                  <w:tcW w:w="1701" w:type="dxa"/>
                  <w:textDirection w:val="lrTb"/>
                  <w:noWrap w:val="false"/>
                </w:tcPr>
                <w:p w14:paraId="6259453D" w14:textId="77777777">
                  <w:pPr>
                    <w:framePr w:hAnchor="margin" w:hSpace="180" w:vAnchor="page" w:wrap="around" w:xAlign="center" w:y="1269"/>
                    <w:pBdr/>
                    <w:spacing/>
                    <w:ind/>
                    <w:rPr/>
                  </w:pPr>
                  <w:r>
                    <w:t xml:space="preserve">Нет </w:t>
                  </w:r>
                  <w:r>
                    <w:t xml:space="preserve">развед</w:t>
                  </w:r>
                  <w:r>
                    <w:t xml:space="preserve">. контекста; отсутствует семантика угроз</w:t>
                  </w:r>
                  <w:r/>
                </w:p>
              </w:tc>
            </w:tr>
            <w:tr>
              <w:trPr/>
              <w:tc>
                <w:tcPr>
                  <w:tcBorders/>
                  <w:tcW w:w="1309" w:type="dxa"/>
                  <w:textDirection w:val="lrTb"/>
                  <w:noWrap w:val="false"/>
                </w:tcPr>
                <w:p w14:paraId="554410F1" w14:textId="77777777">
                  <w:pPr>
                    <w:framePr w:hAnchor="margin" w:hSpace="180" w:vAnchor="page" w:wrap="around" w:xAlign="center" w:y="1269"/>
                    <w:pBdr/>
                    <w:spacing/>
                    <w:ind/>
                    <w:rPr/>
                  </w:pPr>
                  <w:r>
                    <w:t xml:space="preserve">CACAO 2.0</w:t>
                  </w:r>
                  <w:r/>
                </w:p>
              </w:tc>
              <w:tc>
                <w:tcPr>
                  <w:tcBorders/>
                  <w:tcW w:w="1417" w:type="dxa"/>
                  <w:textDirection w:val="lrTb"/>
                  <w:noWrap w:val="false"/>
                </w:tcPr>
                <w:p w14:paraId="2F4AC824" w14:textId="77777777">
                  <w:pPr>
                    <w:framePr w:hAnchor="margin" w:hSpace="180" w:vAnchor="page" w:wrap="around" w:xAlign="center" w:y="1269"/>
                    <w:pBdr/>
                    <w:spacing/>
                    <w:ind/>
                    <w:rPr/>
                  </w:pPr>
                  <w:r>
                    <w:t xml:space="preserve">2023, OASIS</w:t>
                  </w:r>
                  <w:r/>
                </w:p>
              </w:tc>
              <w:tc>
                <w:tcPr>
                  <w:tcBorders/>
                  <w:tcW w:w="1984" w:type="dxa"/>
                  <w:textDirection w:val="lrTb"/>
                  <w:noWrap w:val="false"/>
                </w:tcPr>
                <w:p w14:paraId="62ECD7B4" w14:textId="77777777">
                  <w:pPr>
                    <w:framePr w:hAnchor="margin" w:hSpace="180" w:vAnchor="page" w:wrap="around" w:xAlign="center" w:y="1269"/>
                    <w:pBdr/>
                    <w:spacing/>
                    <w:ind/>
                    <w:rPr/>
                  </w:pPr>
                  <w:r>
                    <w:t xml:space="preserve">Оркестрация</w:t>
                  </w:r>
                  <w:r>
                    <w:t xml:space="preserve"> </w:t>
                  </w:r>
                  <w:r>
                    <w:t xml:space="preserve">плейбуков</w:t>
                  </w:r>
                  <w:r>
                    <w:t xml:space="preserve"> (</w:t>
                  </w:r>
                  <w:r>
                    <w:t xml:space="preserve">workflow</w:t>
                  </w:r>
                  <w:r>
                    <w:t xml:space="preserve">-граф)</w:t>
                  </w:r>
                  <w:r/>
                </w:p>
              </w:tc>
              <w:tc>
                <w:tcPr>
                  <w:tcBorders/>
                  <w:tcW w:w="1417" w:type="dxa"/>
                  <w:textDirection w:val="lrTb"/>
                  <w:noWrap w:val="false"/>
                </w:tcPr>
                <w:p w14:paraId="331C114C" w14:textId="77777777">
                  <w:pPr>
                    <w:framePr w:hAnchor="margin" w:hSpace="180" w:vAnchor="page" w:wrap="around" w:xAlign="center" w:y="1269"/>
                    <w:pBdr/>
                    <w:spacing/>
                    <w:ind/>
                    <w:rPr/>
                  </w:pPr>
                  <w:r>
                    <w:t xml:space="preserve">JSON-</w:t>
                  </w:r>
                  <w:r>
                    <w:t xml:space="preserve">плейбуки</w:t>
                  </w:r>
                  <w:r>
                    <w:t xml:space="preserve">, интеграция со STIX и OpenC2</w:t>
                  </w:r>
                  <w:r/>
                </w:p>
              </w:tc>
              <w:tc>
                <w:tcPr>
                  <w:tcBorders/>
                  <w:tcW w:w="1843" w:type="dxa"/>
                  <w:textDirection w:val="lrTb"/>
                  <w:noWrap w:val="false"/>
                </w:tcPr>
                <w:p w14:paraId="56D06294" w14:textId="77777777">
                  <w:pPr>
                    <w:framePr w:hAnchor="margin" w:hSpace="180" w:vAnchor="page" w:wrap="around" w:xAlign="center" w:y="1269"/>
                    <w:pBdr/>
                    <w:spacing/>
                    <w:ind/>
                    <w:rPr/>
                  </w:pPr>
                  <w:r>
                    <w:t xml:space="preserve">Автоматизированные курсы действий при инциденте</w:t>
                  </w:r>
                  <w:r/>
                </w:p>
              </w:tc>
              <w:tc>
                <w:tcPr>
                  <w:tcBorders/>
                  <w:tcW w:w="1701" w:type="dxa"/>
                  <w:textDirection w:val="lrTb"/>
                  <w:noWrap w:val="false"/>
                </w:tcPr>
                <w:p w14:paraId="1362BD08" w14:textId="77777777">
                  <w:pPr>
                    <w:framePr w:hAnchor="margin" w:hSpace="180" w:vAnchor="page" w:wrap="around" w:xAlign="center" w:y="1269"/>
                    <w:pBdr/>
                    <w:spacing/>
                    <w:ind/>
                    <w:rPr/>
                  </w:pPr>
                  <w:r>
                    <w:t xml:space="preserve">Нет динам. к</w:t>
                  </w:r>
                  <w:r>
                    <w:t xml:space="preserve">онтекста LLM; статические шаги</w:t>
                  </w:r>
                  <w:r/>
                </w:p>
              </w:tc>
            </w:tr>
            <w:tr>
              <w:trPr/>
              <w:tc>
                <w:tcPr>
                  <w:tcBorders/>
                  <w:tcW w:w="1309" w:type="dxa"/>
                  <w:textDirection w:val="lrTb"/>
                  <w:noWrap w:val="false"/>
                </w:tcPr>
                <w:p w14:paraId="21E5428F" w14:textId="77777777">
                  <w:pPr>
                    <w:framePr w:hAnchor="margin" w:hSpace="180" w:vAnchor="page" w:wrap="around" w:xAlign="center" w:y="1269"/>
                    <w:pBdr/>
                    <w:spacing/>
                    <w:ind/>
                    <w:rPr/>
                  </w:pPr>
                  <w:r>
                    <w:t xml:space="preserve">OCSF v1.3</w:t>
                  </w:r>
                  <w:r/>
                </w:p>
              </w:tc>
              <w:tc>
                <w:tcPr>
                  <w:tcBorders/>
                  <w:tcW w:w="1417" w:type="dxa"/>
                  <w:textDirection w:val="lrTb"/>
                  <w:noWrap w:val="false"/>
                </w:tcPr>
                <w:p w14:paraId="733725D6" w14:textId="77777777">
                  <w:pPr>
                    <w:framePr w:hAnchor="margin" w:hSpace="180" w:vAnchor="page" w:wrap="around" w:xAlign="center" w:y="1269"/>
                    <w:pBdr/>
                    <w:spacing/>
                    <w:ind/>
                    <w:rPr/>
                  </w:pPr>
                  <w:r>
                    <w:t xml:space="preserve">2022/2024, AWS, </w:t>
                  </w:r>
                  <w:r>
                    <w:t xml:space="preserve">Splunk</w:t>
                  </w:r>
                  <w:r>
                    <w:t xml:space="preserve">, Linux Foundation</w:t>
                  </w:r>
                  <w:r/>
                </w:p>
              </w:tc>
              <w:tc>
                <w:tcPr>
                  <w:tcBorders/>
                  <w:tcW w:w="1984" w:type="dxa"/>
                  <w:textDirection w:val="lrTb"/>
                  <w:noWrap w:val="false"/>
                </w:tcPr>
                <w:p w14:paraId="25B3844C" w14:textId="77777777">
                  <w:pPr>
                    <w:framePr w:hAnchor="margin" w:hSpace="180" w:vAnchor="page" w:wrap="around" w:xAlign="center" w:y="1269"/>
                    <w:pBdr/>
                    <w:spacing/>
                    <w:ind/>
                    <w:rPr/>
                  </w:pPr>
                  <w:r>
                    <w:t xml:space="preserve">Схема нормализации событий (не транспорт)</w:t>
                  </w:r>
                  <w:r/>
                </w:p>
              </w:tc>
              <w:tc>
                <w:tcPr>
                  <w:tcBorders/>
                  <w:tcW w:w="1417" w:type="dxa"/>
                  <w:textDirection w:val="lrTb"/>
                  <w:noWrap w:val="false"/>
                </w:tcPr>
                <w:p w14:paraId="72E70D55" w14:textId="77777777">
                  <w:pPr>
                    <w:framePr w:hAnchor="margin" w:hSpace="180" w:vAnchor="page" w:wrap="around" w:xAlign="center" w:y="1269"/>
                    <w:pBdr/>
                    <w:spacing/>
                    <w:ind/>
                    <w:rPr/>
                  </w:pPr>
                  <w:r>
                    <w:t xml:space="preserve">JSON </w:t>
                  </w:r>
                  <w:r>
                    <w:t xml:space="preserve">Schema</w:t>
                  </w:r>
                  <w:r>
                    <w:t xml:space="preserve">, 14 категорий событий</w:t>
                  </w:r>
                  <w:r/>
                </w:p>
              </w:tc>
              <w:tc>
                <w:tcPr>
                  <w:tcBorders/>
                  <w:tcW w:w="1843" w:type="dxa"/>
                  <w:textDirection w:val="lrTb"/>
                  <w:noWrap w:val="false"/>
                </w:tcPr>
                <w:p w14:paraId="24F758C9" w14:textId="77777777">
                  <w:pPr>
                    <w:framePr w:hAnchor="margin" w:hSpace="180" w:vAnchor="page" w:wrap="around" w:xAlign="center" w:y="1269"/>
                    <w:pBdr/>
                    <w:spacing/>
                    <w:ind/>
                    <w:rPr/>
                  </w:pPr>
                  <w:r>
                    <w:t xml:space="preserve">Нормализация событий SIEM / EDR / NDR</w:t>
                  </w:r>
                  <w:r/>
                </w:p>
              </w:tc>
              <w:tc>
                <w:tcPr>
                  <w:tcBorders/>
                  <w:tcW w:w="1701" w:type="dxa"/>
                  <w:textDirection w:val="lrTb"/>
                  <w:noWrap w:val="false"/>
                </w:tcPr>
                <w:p w14:paraId="4015E7DE" w14:textId="77777777">
                  <w:pPr>
                    <w:framePr w:hAnchor="margin" w:hSpace="180" w:vAnchor="page" w:wrap="around" w:xAlign="center" w:y="1269"/>
                    <w:pBdr/>
                    <w:spacing/>
                    <w:ind/>
                    <w:rPr/>
                  </w:pPr>
                  <w:r>
                    <w:t xml:space="preserve">Отсутствует транспортный и </w:t>
                  </w:r>
                  <w:r>
                    <w:t xml:space="preserve">агентный</w:t>
                  </w:r>
                  <w:r>
                    <w:t xml:space="preserve"> уровень</w:t>
                  </w:r>
                  <w:r/>
                </w:p>
              </w:tc>
            </w:tr>
            <w:tr>
              <w:trPr/>
              <w:tc>
                <w:tcPr>
                  <w:tcBorders/>
                  <w:tcW w:w="1309" w:type="dxa"/>
                  <w:textDirection w:val="lrTb"/>
                  <w:noWrap w:val="false"/>
                </w:tcPr>
                <w:p w14:paraId="290372BB" w14:textId="77777777">
                  <w:pPr>
                    <w:framePr w:hAnchor="margin" w:hSpace="180" w:vAnchor="page" w:wrap="around" w:xAlign="center" w:y="1269"/>
                    <w:pBdr/>
                    <w:spacing/>
                    <w:ind/>
                    <w:rPr/>
                  </w:pPr>
                  <w:r>
                    <w:t xml:space="preserve">MCP</w:t>
                  </w:r>
                  <w:r/>
                </w:p>
              </w:tc>
              <w:tc>
                <w:tcPr>
                  <w:tcBorders/>
                  <w:tcW w:w="1417" w:type="dxa"/>
                  <w:textDirection w:val="lrTb"/>
                  <w:noWrap w:val="false"/>
                </w:tcPr>
                <w:p w14:paraId="04553792" w14:textId="77777777">
                  <w:pPr>
                    <w:framePr w:hAnchor="margin" w:hSpace="180" w:vAnchor="page" w:wrap="around" w:xAlign="center" w:y="1269"/>
                    <w:pBdr/>
                    <w:spacing/>
                    <w:ind/>
                    <w:rPr/>
                  </w:pPr>
                  <w:r>
                    <w:t xml:space="preserve">Ноябрь 202</w:t>
                  </w:r>
                  <w:r>
                    <w:t xml:space="preserve">4, </w:t>
                  </w:r>
                  <w:r>
                    <w:t xml:space="preserve">Anthropic</w:t>
                  </w:r>
                  <w:r/>
                </w:p>
              </w:tc>
              <w:tc>
                <w:tcPr>
                  <w:tcBorders/>
                  <w:tcW w:w="1984" w:type="dxa"/>
                  <w:textDirection w:val="lrTb"/>
                  <w:noWrap w:val="false"/>
                </w:tcPr>
                <w:p w14:paraId="54418207" w14:textId="77777777">
                  <w:pPr>
                    <w:framePr w:hAnchor="margin" w:hSpace="180" w:vAnchor="page" w:wrap="around" w:xAlign="center" w:y="1269"/>
                    <w:pBdr/>
                    <w:spacing/>
                    <w:ind/>
                    <w:rPr/>
                  </w:pPr>
                  <w:r>
                    <w:t xml:space="preserve">Клиент–сервер, JSON-RPC 2.0</w:t>
                  </w:r>
                  <w:r/>
                </w:p>
              </w:tc>
              <w:tc>
                <w:tcPr>
                  <w:tcBorders/>
                  <w:tcW w:w="1417" w:type="dxa"/>
                  <w:textDirection w:val="lrTb"/>
                  <w:noWrap w:val="false"/>
                </w:tcPr>
                <w:p w14:paraId="702623E7" w14:textId="77777777">
                  <w:pPr>
                    <w:framePr w:hAnchor="margin" w:hSpace="180" w:vAnchor="page" w:wrap="around" w:xAlign="center" w:y="1269"/>
                    <w:pBdr/>
                    <w:spacing/>
                    <w:ind/>
                    <w:rPr/>
                  </w:pPr>
                  <w:r>
                    <w:t xml:space="preserve">Tools, Resources, </w:t>
                  </w:r>
                  <w:r>
                    <w:t xml:space="preserve">Prompts</w:t>
                  </w:r>
                  <w:r/>
                </w:p>
              </w:tc>
              <w:tc>
                <w:tcPr>
                  <w:tcBorders/>
                  <w:tcW w:w="1843" w:type="dxa"/>
                  <w:textDirection w:val="lrTb"/>
                  <w:noWrap w:val="false"/>
                </w:tcPr>
                <w:p w14:paraId="023C3B33" w14:textId="77777777">
                  <w:pPr>
                    <w:framePr w:hAnchor="margin" w:hSpace="180" w:vAnchor="page" w:wrap="around" w:xAlign="center" w:y="1269"/>
                    <w:pBdr/>
                    <w:spacing/>
                    <w:ind/>
                    <w:rPr/>
                  </w:pPr>
                  <w:r>
                    <w:t xml:space="preserve">Интеграция LLM-агентов с инструментами безопасности</w:t>
                  </w:r>
                  <w:r/>
                </w:p>
              </w:tc>
              <w:tc>
                <w:tcPr>
                  <w:tcBorders/>
                  <w:tcW w:w="1701" w:type="dxa"/>
                  <w:textDirection w:val="lrTb"/>
                  <w:noWrap w:val="false"/>
                </w:tcPr>
                <w:p w14:paraId="5BB7C4C1" w14:textId="77777777">
                  <w:pPr>
                    <w:framePr w:hAnchor="margin" w:hSpace="180" w:vAnchor="page" w:wrap="around" w:xAlign="center" w:y="1269"/>
                    <w:pBdr/>
                    <w:spacing/>
                    <w:ind/>
                    <w:rPr/>
                  </w:pPr>
                  <w:r>
                    <w:t xml:space="preserve">Нет семантики ИБ; нет нативного A2A</w:t>
                  </w:r>
                  <w:r/>
                </w:p>
              </w:tc>
            </w:tr>
            <w:tr>
              <w:trPr>
                <w:trHeight w:val="276"/>
              </w:trPr>
              <w:tc>
                <w:tcPr>
                  <w:tcBorders/>
                  <w:tcW w:w="1309" w:type="dxa"/>
                  <w:vMerge w:val="restart"/>
                  <w:textDirection w:val="lrTb"/>
                  <w:noWrap w:val="false"/>
                </w:tcPr>
                <w:p w14:paraId="198A37F2" w14:textId="77777777">
                  <w:pPr>
                    <w:framePr w:hAnchor="margin" w:hSpace="180" w:vAnchor="page" w:wrap="around" w:xAlign="center" w:y="1269"/>
                    <w:pBdr/>
                    <w:spacing/>
                    <w:ind/>
                    <w:rPr/>
                  </w:pPr>
                  <w:r>
                    <w:t xml:space="preserve">A2A</w:t>
                  </w:r>
                  <w:r/>
                </w:p>
              </w:tc>
              <w:tc>
                <w:tcPr>
                  <w:tcBorders/>
                  <w:tcW w:w="1417" w:type="dxa"/>
                  <w:vMerge w:val="restart"/>
                  <w:textDirection w:val="lrTb"/>
                  <w:noWrap w:val="false"/>
                </w:tcPr>
                <w:p w14:paraId="6690F8D5" w14:textId="77777777">
                  <w:pPr>
                    <w:framePr w:hAnchor="margin" w:hSpace="180" w:vAnchor="page" w:wrap="around" w:xAlign="center" w:y="1269"/>
                    <w:pBdr/>
                    <w:spacing/>
                    <w:ind/>
                    <w:rPr/>
                  </w:pPr>
                  <w:r>
                    <w:t xml:space="preserve">Апрель 2025, Google</w:t>
                  </w:r>
                  <w:r/>
                </w:p>
              </w:tc>
              <w:tc>
                <w:tcPr>
                  <w:tcBorders/>
                  <w:tcW w:w="1984" w:type="dxa"/>
                  <w:vMerge w:val="restart"/>
                  <w:textDirection w:val="lrTb"/>
                  <w:noWrap w:val="false"/>
                </w:tcPr>
                <w:p w14:paraId="62A6ECE0" w14:textId="77777777">
                  <w:pPr>
                    <w:framePr w:hAnchor="margin" w:hSpace="180" w:vAnchor="page" w:wrap="around" w:xAlign="center" w:y="1269"/>
                    <w:pBdr/>
                    <w:spacing/>
                    <w:ind/>
                    <w:rPr/>
                  </w:pPr>
                  <w:r>
                    <w:t xml:space="preserve">Агент–агент, HTTP/SSE</w:t>
                  </w:r>
                  <w:r/>
                </w:p>
              </w:tc>
              <w:tc>
                <w:tcPr>
                  <w:tcBorders/>
                  <w:tcW w:w="1417" w:type="dxa"/>
                  <w:vMerge w:val="restart"/>
                  <w:textDirection w:val="lrTb"/>
                  <w:noWrap w:val="false"/>
                </w:tcPr>
                <w:p w14:paraId="38DA43FD" w14:textId="77777777">
                  <w:pPr>
                    <w:framePr w:hAnchor="margin" w:hSpace="180" w:vAnchor="page" w:wrap="around" w:xAlign="center" w:y="1269"/>
                    <w:pBdr/>
                    <w:spacing/>
                    <w:ind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Agent Card, Task, Artifact (JSON)</w:t>
                  </w:r>
                  <w:r>
                    <w:rPr>
                      <w:lang w:val="en-US"/>
                    </w:rPr>
                  </w:r>
                </w:p>
              </w:tc>
              <w:tc>
                <w:tcPr>
                  <w:tcBorders/>
                  <w:tcW w:w="1843" w:type="dxa"/>
                  <w:vMerge w:val="restart"/>
                  <w:textDirection w:val="lrTb"/>
                  <w:noWrap w:val="false"/>
                </w:tcPr>
                <w:p w14:paraId="286F08FE" w14:textId="77777777">
                  <w:pPr>
                    <w:framePr w:hAnchor="margin" w:hSpace="180" w:vAnchor="page" w:wrap="around" w:xAlign="center" w:y="1269"/>
                    <w:pBdr/>
                    <w:spacing/>
                    <w:ind/>
                    <w:rPr/>
                  </w:pPr>
                  <w:r>
                    <w:t xml:space="preserve">Координация и делегирование задач между LLM-агентами</w:t>
                  </w:r>
                  <w:r/>
                </w:p>
              </w:tc>
              <w:tc>
                <w:tcPr>
                  <w:tcBorders/>
                  <w:tcW w:w="1701" w:type="dxa"/>
                  <w:vMerge w:val="restart"/>
                  <w:textDirection w:val="lrTb"/>
                  <w:noWrap w:val="false"/>
                </w:tcPr>
                <w:p w14:paraId="46B8C812" w14:textId="77777777">
                  <w:pPr>
                    <w:framePr w:hAnchor="margin" w:hSpace="180" w:vAnchor="page" w:wrap="around" w:xAlign="center" w:y="1269"/>
                    <w:pBdr/>
                    <w:spacing/>
                    <w:ind/>
                    <w:rPr/>
                  </w:pPr>
                  <w:r>
                    <w:t xml:space="preserve">Нет доменной онтологии ИБ; нет встроенного CTI-формата</w:t>
                  </w:r>
                  <w:r/>
                </w:p>
              </w:tc>
            </w:tr>
          </w:tbl>
          <w:p w14:paraId="7CA89CAF">
            <w:pPr>
              <w:pBdr/>
              <w:spacing w:line="288" w:lineRule="auto"/>
              <w:ind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highlight w:val="none"/>
              </w:rPr>
            </w:r>
            <w:r>
              <w:rPr>
                <w:b/>
                <w:bCs/>
                <w:sz w:val="28"/>
                <w:szCs w:val="28"/>
                <w:highlight w:val="none"/>
              </w:rPr>
            </w:r>
            <w:r>
              <w:rPr>
                <w:b/>
                <w:bCs/>
                <w:sz w:val="28"/>
                <w:szCs w:val="28"/>
                <w:highlight w:val="none"/>
              </w:rPr>
            </w:r>
          </w:p>
          <w:p w14:paraId="6BD8814B" w14:textId="77777777">
            <w:pPr>
              <w:pBdr/>
              <w:spacing w:line="288" w:lineRule="auto"/>
              <w:ind/>
              <w:jc w:val="center"/>
              <w:rPr>
                <w:b/>
                <w:bCs/>
                <w:sz w:val="28"/>
                <w:szCs w:val="28"/>
                <w:highlight w:val="none"/>
              </w:rPr>
            </w:pPr>
            <w:r>
              <w:rPr>
                <w:b/>
                <w:bCs/>
                <w:sz w:val="28"/>
                <w:szCs w:val="28"/>
              </w:rPr>
              <w:t xml:space="preserve">Метрики оценки эффективности обмена контекстом</w:t>
            </w:r>
            <w:r>
              <w:rPr>
                <w:b/>
                <w:bCs/>
                <w:sz w:val="28"/>
                <w:szCs w:val="28"/>
              </w:rPr>
            </w:r>
          </w:p>
          <w:p w14:paraId="6BE502FE" w14:textId="77777777">
            <w:pPr>
              <w:pBdr/>
              <w:spacing w:line="288" w:lineRule="auto"/>
              <w:ind w:firstLine="567"/>
              <w:jc w:val="both"/>
              <w:rPr/>
            </w:pPr>
            <w:r>
              <w:rPr>
                <w:rFonts w:eastAsia="Calibri"/>
                <w:sz w:val="28"/>
                <w:szCs w:val="28"/>
                <w:lang w:eastAsia="en-US"/>
              </w:rPr>
              <w:t xml:space="preserve">Для количественной оценки качества контекстного взаимодействия агентов предлагается использовать три показателя.</w:t>
            </w:r>
            <w:r/>
          </w:p>
          <w:p w14:paraId="4BB0C814" w14:textId="77777777">
            <w:pPr>
              <w:pBdr/>
              <w:spacing w:line="288" w:lineRule="auto"/>
              <w:ind w:firstLine="567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 xml:space="preserve">Коэффициент полноты контекста (КПК) – отношение числа заполненных атрибутов объекта контекста к суммарному числу обязательных и рекомендуемых а</w:t>
            </w:r>
            <w:r>
              <w:rPr>
                <w:rFonts w:eastAsia="Calibri"/>
                <w:sz w:val="28"/>
                <w:szCs w:val="28"/>
                <w:lang w:eastAsia="en-US"/>
              </w:rPr>
              <w:t xml:space="preserve">трибутов схемы OCSF для данного класса события:</w:t>
            </w:r>
            <w:r>
              <w:rPr>
                <w:rFonts w:eastAsia="Calibri"/>
                <w:sz w:val="28"/>
                <w:szCs w:val="28"/>
                <w:lang w:eastAsia="en-US"/>
              </w:rPr>
            </w:r>
          </w:p>
          <w:p w14:paraId="57F88034" w14:textId="77777777">
            <w:pPr>
              <w:pBdr/>
              <w:spacing w:line="288" w:lineRule="auto"/>
              <w:ind w:firstLine="709"/>
              <w:jc w:val="both"/>
              <w:rPr>
                <w:rFonts w:eastAsia="Calibri"/>
                <w:bCs/>
                <w:i/>
                <w:sz w:val="28"/>
                <w:szCs w:val="28"/>
                <w14:ligatures w14:val="standardContextual"/>
              </w:rPr>
            </w:pPr>
            <w:r/>
            <m:oMathPara>
              <m:oMathParaPr/>
              <m:oMath>
                <m:eqArr>
                  <m:eqArrPr>
                    <m:baseJc m:val="center"/>
                    <m:maxDist m:val="on"/>
                    <m:objDist m:val="off"/>
                    <m:rSp/>
                    <m:rSpRule/>
                    <m:ctrlPr>
                      <w:rPr>
                        <w:rFonts w:ascii="Cambria Math" w:hAnsi="Cambria Math" w:eastAsia="Calibri"/>
                        <w:i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eqArrPr>
                  <m:e>
                    <m:r>
                      <w:rPr>
                        <w:rFonts w:ascii="Cambria Math" w:hAnsi="Cambria Math" w:eastAsia="Calibri"/>
                        <w:sz w:val="28"/>
                        <w:szCs w:val="28"/>
                        <w:lang w:val="en-US" w:eastAsia="en-US"/>
                        <w14:ligatures w14:val="standardContextual"/>
                      </w:rPr>
                      <m:rPr/>
                      <m:t>КПК=</m:t>
                    </m:r>
                    <m:f>
                      <m:fPr>
                        <m:ctrlPr>
                          <w:rPr>
                            <w:rFonts w:ascii="Cambria Math" w:hAnsi="Cambria Math" w:eastAsia="Cambria Math" w:cs="Cambria Math"/>
                            <w:i/>
                            <w:sz w:val="28"/>
                            <w:szCs w:val="28"/>
                            <w:lang w:val="en-US" w:eastAsia="en-US"/>
                            <w14:ligatures w14:val="standardContextual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eastAsia="Cambria Math" w:cs="Cambria Math"/>
                            <w:sz w:val="28"/>
                            <w:szCs w:val="28"/>
                            <w:lang w:val="en-US" w:bidi="en-US"/>
                            <w14:ligatures w14:val="standardContextual"/>
                          </w:rPr>
                          <m:rPr/>
                          <m:t>N</m:t>
                        </m:r>
                        <m:r>
                          <w:rPr>
                            <w:rFonts w:ascii="Cambria Math" w:hAnsi="Cambria Math" w:eastAsia="Cambria Math" w:cs="Cambria Math"/>
                            <w:sz w:val="28"/>
                            <w:szCs w:val="28"/>
                            <w:lang w:val="en-US" w:bidi="en-US"/>
                            <w14:ligatures w14:val="standardContextual"/>
                          </w:rPr>
                          <m:rPr/>
                          <m:t>заполн</m:t>
                        </m:r>
                      </m:num>
                      <m:den>
                        <m:r>
                          <w:rPr>
                            <w:rFonts w:ascii="Cambria Math" w:hAnsi="Cambria Math" w:eastAsia="Cambria Math" w:cs="Cambria Math"/>
                            <w:sz w:val="28"/>
                            <w:szCs w:val="28"/>
                            <w:lang w:val="en-US" w:bidi="en-US"/>
                            <w14:ligatures w14:val="standardContextual"/>
                          </w:rPr>
                          <m:rPr/>
                          <m:t>N</m:t>
                        </m:r>
                        <m:r>
                          <w:rPr>
                            <w:rFonts w:ascii="Cambria Math" w:hAnsi="Cambria Math" w:eastAsia="Cambria Math" w:cs="Cambria Math"/>
                            <w:sz w:val="28"/>
                            <w:szCs w:val="28"/>
                            <w:lang w:val="en-US" w:bidi="en-US"/>
                            <w14:ligatures w14:val="standardContextual"/>
                          </w:rPr>
                          <m:rPr/>
                          <m:t>общ</m:t>
                        </m:r>
                      </m:den>
                    </m:f>
                    <m:r>
                      <w:rPr>
                        <w:rFonts w:ascii="Cambria Math" w:hAnsi="Cambria Math" w:eastAsia="Calibri"/>
                        <w:sz w:val="28"/>
                        <w:szCs w:val="28"/>
                        <w:lang w:val="en-US" w:eastAsia="en-US"/>
                        <w14:ligatures w14:val="standardContextual"/>
                      </w:rPr>
                      <m:rPr/>
                      <m:t>#</m:t>
                    </m:r>
                    <m:d>
                      <m:dPr>
                        <m:ctrlPr>
                          <w:rPr>
                            <w:rFonts w:ascii="Cambria Math" w:hAnsi="Cambria Math" w:eastAsia="Calibri"/>
                            <w:i/>
                            <w:sz w:val="28"/>
                            <w:szCs w:val="28"/>
                            <w:lang w:val="en-US" w:eastAsia="en-US"/>
                            <w14:ligatures w14:val="standardContextual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eastAsia="Calibri"/>
                            <w:sz w:val="28"/>
                            <w:szCs w:val="28"/>
                            <w:lang w:val="en-US" w:eastAsia="en-US"/>
                            <w14:ligatures w14:val="standardContextual"/>
                          </w:rPr>
                          <m:rPr/>
                          <m:t>1</m:t>
                        </m:r>
                      </m:e>
                    </m:d>
                  </m:e>
                </m:eqArr>
              </m:oMath>
            </m:oMathPara>
            <w:r/>
            <w:r>
              <w:rPr>
                <w:rFonts w:eastAsia="Calibri"/>
                <w:bCs/>
                <w:i/>
                <w:sz w:val="28"/>
                <w:szCs w:val="28"/>
                <w14:ligatures w14:val="standardContextual"/>
              </w:rPr>
            </w:r>
          </w:p>
          <w:p w14:paraId="735B3C08" w14:textId="77777777">
            <w:pPr>
              <w:pBdr/>
              <w:spacing w:line="288" w:lineRule="auto"/>
              <w:ind w:firstLine="567"/>
              <w:jc w:val="both"/>
              <w:rPr/>
            </w:pPr>
            <w:r>
              <w:rPr>
                <w:rFonts w:eastAsia="Calibri"/>
                <w:sz w:val="28"/>
                <w:szCs w:val="28"/>
                <w:lang w:eastAsia="en-US"/>
              </w:rPr>
              <w:t xml:space="preserve">где </w:t>
            </w:r>
            <w:r>
              <w:rPr>
                <w:rFonts w:eastAsia="Calibri"/>
                <w:i/>
                <w:iCs/>
                <w:sz w:val="28"/>
                <w:szCs w:val="28"/>
                <w:lang w:eastAsia="en-US"/>
              </w:rPr>
              <w:t xml:space="preserve">Nзаполн</w:t>
            </w:r>
            <w:r>
              <w:rPr>
                <w:rFonts w:eastAsia="Calibri"/>
                <w:i/>
                <w:iCs/>
                <w:sz w:val="28"/>
                <w:szCs w:val="28"/>
                <w:lang w:eastAsia="en-US"/>
              </w:rPr>
              <w:t xml:space="preserve"> </w:t>
            </w:r>
            <w:r>
              <w:rPr>
                <w:rFonts w:eastAsia="Calibri"/>
                <w:sz w:val="28"/>
                <w:szCs w:val="28"/>
                <w:lang w:eastAsia="en-US"/>
              </w:rPr>
              <w:t xml:space="preserve">– количество непустых атрибутов объекта контекста; </w:t>
            </w:r>
            <w:r>
              <w:rPr>
                <w:rFonts w:eastAsia="Calibri"/>
                <w:i/>
                <w:iCs/>
                <w:sz w:val="28"/>
                <w:szCs w:val="28"/>
                <w:lang w:eastAsia="en-US"/>
              </w:rPr>
              <w:t xml:space="preserve">Nобщ</w:t>
            </w:r>
            <w:r>
              <w:rPr>
                <w:rFonts w:eastAsia="Calibri"/>
                <w:i/>
                <w:iCs/>
                <w:sz w:val="28"/>
                <w:szCs w:val="28"/>
                <w:lang w:eastAsia="en-US"/>
              </w:rPr>
              <w:t xml:space="preserve"> </w:t>
            </w:r>
            <w:r>
              <w:rPr>
                <w:rFonts w:eastAsia="Calibri"/>
                <w:sz w:val="28"/>
                <w:szCs w:val="28"/>
                <w:lang w:eastAsia="en-US"/>
              </w:rPr>
              <w:t xml:space="preserve">– суммарное число обязательных и рекомендуемых атрибутов схемы OCSF для соответствующей категории события. Значение КПК </w:t>
            </w:r>
            <w:r>
              <w:rPr>
                <w:rFonts w:eastAsia="Calibri"/>
                <w:sz w:val="28"/>
                <w:szCs w:val="28"/>
                <w:lang w:eastAsia="en-US"/>
              </w:rPr>
              <w:t xml:space="preserve">&lt; 0</w:t>
            </w:r>
            <w:r>
              <w:rPr>
                <w:rFonts w:eastAsia="Calibri"/>
                <w:sz w:val="28"/>
                <w:szCs w:val="28"/>
                <w:lang w:eastAsia="en-US"/>
              </w:rPr>
              <w:t xml:space="preserve">,7 свидетельствует о </w:t>
            </w:r>
            <w:r>
              <w:rPr>
                <w:rFonts w:eastAsia="Calibri"/>
                <w:sz w:val="28"/>
                <w:szCs w:val="28"/>
                <w:lang w:eastAsia="en-US"/>
              </w:rPr>
              <w:t xml:space="preserve">недостаточной информированности принимающего агента для принятия автономного решения.</w:t>
            </w:r>
            <w:r/>
          </w:p>
          <w:p w14:paraId="0E1AE363" w14:textId="77777777">
            <w:pPr>
              <w:pBdr/>
              <w:spacing w:line="288" w:lineRule="auto"/>
              <w:ind w:firstLine="567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 xml:space="preserve">Задержка распространения контекста (ЗРК) – интервал времени между моментом фиксации события агентом-источником и моментом получения обработанного </w:t>
            </w:r>
            <w:r>
              <w:rPr>
                <w:rFonts w:eastAsia="Calibri"/>
                <w:sz w:val="28"/>
                <w:szCs w:val="28"/>
                <w:lang w:eastAsia="en-US"/>
              </w:rPr>
              <w:t xml:space="preserve">контекста агентом-получателем:</w:t>
            </w:r>
            <w:r>
              <w:rPr>
                <w:rFonts w:eastAsia="Calibri"/>
                <w:sz w:val="28"/>
                <w:szCs w:val="28"/>
                <w:lang w:eastAsia="en-US"/>
              </w:rPr>
            </w:r>
          </w:p>
          <w:p w14:paraId="389216C5" w14:textId="77777777">
            <w:pPr>
              <w:pBdr/>
              <w:spacing w:line="288" w:lineRule="auto"/>
              <w:ind w:firstLine="709"/>
              <w:jc w:val="both"/>
              <w:rPr>
                <w:sz w:val="22"/>
                <w:szCs w:val="22"/>
                <w:lang w:val="en-US" w:eastAsia="en-US"/>
                <w14:ligatures w14:val="standardContextual"/>
              </w:rPr>
            </w:pPr>
            <w:r/>
            <m:oMathPara>
              <m:oMathParaPr/>
              <m:oMath>
                <m:eqArr>
                  <m:eqArrPr>
                    <m:baseJc m:val="center"/>
                    <m:maxDist m:val="on"/>
                    <m:objDist m:val="off"/>
                    <m:rSp/>
                    <m:rSpRule/>
                    <m:ctrlPr>
                      <w:rPr>
                        <w:rFonts w:ascii="Cambria Math" w:hAnsi="Cambria Math" w:eastAsia="Calibri"/>
                        <w:i/>
                        <w:sz w:val="28"/>
                        <w:szCs w:val="28"/>
                        <w:lang w:val="en-US" w:eastAsia="en-US"/>
                        <w14:ligatures w14:val="standardContextual"/>
                      </w:rPr>
                    </m:ctrlPr>
                  </m:eqArrPr>
                  <m:e>
                    <m:r>
                      <w:rPr>
                        <w:rFonts w:ascii="Cambria Math" w:hAnsi="Cambria Math" w:eastAsia="Cambria Math" w:cs="Cambria Math"/>
                        <w:sz w:val="28"/>
                        <w:szCs w:val="28"/>
                      </w:rPr>
                      <m:rPr/>
                      <m:t>ЗРК</m:t>
                    </m:r>
                    <m:r>
                      <w:rPr>
                        <w:rFonts w:ascii="Cambria Math" w:hAnsi="Cambria Math" w:eastAsia="Calibri"/>
                        <w:sz w:val="28"/>
                        <w:szCs w:val="28"/>
                        <w:lang w:val="en-US" w:eastAsia="en-US"/>
                        <w14:ligatures w14:val="standardContextual"/>
                      </w:rPr>
                      <m:rPr/>
                      <m:t>=</m:t>
                    </m:r>
                    <m:r>
                      <w:rPr>
                        <w:rFonts w:ascii="Cambria Math" w:hAnsi="Cambria Math" w:eastAsia="Cambria Math" w:cs="Cambria Math"/>
                        <w:sz w:val="28"/>
                        <w:szCs w:val="28"/>
                      </w:rPr>
                      <m:rPr/>
                      <m:t>t</m:t>
                    </m:r>
                    <m:r>
                      <w:rPr>
                        <w:rFonts w:ascii="Cambria Math" w:hAnsi="Cambria Math" w:eastAsia="Cambria Math" w:cs="Cambria Math"/>
                        <w:sz w:val="28"/>
                        <w:szCs w:val="28"/>
                      </w:rPr>
                      <m:rPr/>
                      <m:t>получ </m:t>
                    </m:r>
                    <m:r>
                      <w:rPr>
                        <w:rFonts w:ascii="Cambria Math" w:hAnsi="Cambria Math" w:eastAsia="Calibri"/>
                        <w:sz w:val="28"/>
                        <w:szCs w:val="28"/>
                        <w:lang w:eastAsia="en-US"/>
                        <w14:ligatures w14:val="standardContextual"/>
                      </w:rPr>
                      <m:rPr/>
                      <m:t>-</m:t>
                    </m:r>
                    <m:r>
                      <w:rPr>
                        <w:rFonts w:ascii="Cambria Math" w:hAnsi="Cambria Math" w:eastAsia="Cambria Math" w:cs="Cambria Math"/>
                        <w:sz w:val="28"/>
                        <w:szCs w:val="28"/>
                      </w:rPr>
                      <m:rPr/>
                      <m:t>t</m:t>
                    </m:r>
                    <m:r>
                      <w:rPr>
                        <w:rFonts w:ascii="Cambria Math" w:hAnsi="Cambria Math" w:eastAsia="Cambria Math" w:cs="Cambria Math"/>
                        <w:sz w:val="28"/>
                        <w:szCs w:val="28"/>
                      </w:rPr>
                      <m:rPr/>
                      <m:t>фикс</m:t>
                    </m:r>
                    <m:r>
                      <w:rPr>
                        <w:rFonts w:ascii="Cambria Math" w:hAnsi="Cambria Math" w:eastAsia="Calibri"/>
                        <w:sz w:val="28"/>
                        <w:szCs w:val="28"/>
                        <w:lang w:eastAsia="en-US"/>
                        <w14:ligatures w14:val="standardContextual"/>
                      </w:rPr>
                      <m:rPr/>
                      <m:t>#</m:t>
                    </m:r>
                    <m:d>
                      <m:dPr>
                        <m:ctrlPr>
                          <w:rPr>
                            <w:rFonts w:ascii="Cambria Math" w:hAnsi="Cambria Math" w:eastAsia="Calibri"/>
                            <w:i/>
                            <w:sz w:val="28"/>
                            <w:szCs w:val="28"/>
                            <w:lang w:val="en-US" w:eastAsia="en-US"/>
                            <w14:ligatures w14:val="standardContextual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eastAsia="Calibri"/>
                            <w:sz w:val="28"/>
                            <w:szCs w:val="28"/>
                            <w:lang w:val="en-US" w:eastAsia="en-US"/>
                            <w14:ligatures w14:val="standardContextual"/>
                          </w:rPr>
                          <m:rPr/>
                          <m:t>2</m:t>
                        </m:r>
                      </m:e>
                    </m:d>
                  </m:e>
                </m:eqArr>
              </m:oMath>
            </m:oMathPara>
            <w:r/>
            <w:r>
              <w:rPr>
                <w:sz w:val="22"/>
                <w:szCs w:val="22"/>
                <w:lang w:val="en-US" w:eastAsia="en-US"/>
                <w14:ligatures w14:val="standardContextual"/>
              </w:rPr>
            </w:r>
          </w:p>
          <w:p w14:paraId="57805A2F" w14:textId="77777777">
            <w:pPr>
              <w:pBdr/>
              <w:spacing w:line="288" w:lineRule="auto"/>
              <w:ind w:firstLine="567"/>
              <w:jc w:val="both"/>
              <w:rPr/>
            </w:pPr>
            <w:r>
              <w:rPr>
                <w:rFonts w:eastAsia="Calibri"/>
                <w:sz w:val="28"/>
                <w:szCs w:val="28"/>
                <w:lang w:eastAsia="en-US"/>
              </w:rPr>
              <w:t xml:space="preserve">где </w:t>
            </w:r>
            <w:r>
              <w:rPr>
                <w:rFonts w:eastAsia="Calibri"/>
                <w:i/>
                <w:iCs/>
                <w:sz w:val="28"/>
                <w:szCs w:val="28"/>
                <w:lang w:eastAsia="en-US"/>
              </w:rPr>
              <w:t xml:space="preserve">tполуч</w:t>
            </w:r>
            <w:r>
              <w:rPr>
                <w:rFonts w:eastAsia="Calibri"/>
                <w:i/>
                <w:iCs/>
                <w:sz w:val="28"/>
                <w:szCs w:val="28"/>
                <w:lang w:eastAsia="en-US"/>
              </w:rPr>
              <w:t xml:space="preserve"> </w:t>
            </w:r>
            <w:r>
              <w:rPr>
                <w:rFonts w:eastAsia="Calibri"/>
                <w:sz w:val="28"/>
                <w:szCs w:val="28"/>
                <w:lang w:eastAsia="en-US"/>
              </w:rPr>
              <w:t xml:space="preserve">– метка времени получения сообщения агентом-получателем; </w:t>
            </w:r>
            <w:r>
              <w:rPr>
                <w:rFonts w:eastAsia="Calibri"/>
                <w:i/>
                <w:iCs/>
                <w:sz w:val="28"/>
                <w:szCs w:val="28"/>
                <w:lang w:eastAsia="en-US"/>
              </w:rPr>
              <w:t xml:space="preserve">tфикс</w:t>
            </w:r>
            <w:r>
              <w:rPr>
                <w:rFonts w:eastAsia="Calibri"/>
                <w:i/>
                <w:iCs/>
                <w:sz w:val="28"/>
                <w:szCs w:val="28"/>
                <w:lang w:eastAsia="en-US"/>
              </w:rPr>
              <w:t xml:space="preserve"> </w:t>
            </w:r>
            <w:r>
              <w:rPr>
                <w:rFonts w:eastAsia="Calibri"/>
                <w:sz w:val="28"/>
                <w:szCs w:val="28"/>
                <w:lang w:eastAsia="en-US"/>
              </w:rPr>
              <w:t xml:space="preserve">– метка времени регистрации события агентом-источником. Целевое значение для задач реагирования в реальном времени составляет ЗРК ≤ 500 </w:t>
            </w:r>
            <w:r>
              <w:rPr>
                <w:rFonts w:eastAsia="Calibri"/>
                <w:sz w:val="28"/>
                <w:szCs w:val="28"/>
                <w:lang w:eastAsia="en-US"/>
              </w:rPr>
              <w:t xml:space="preserve">мс</w:t>
            </w:r>
            <w:r>
              <w:rPr>
                <w:rFonts w:eastAsia="Calibri"/>
                <w:sz w:val="28"/>
                <w:szCs w:val="28"/>
                <w:lang w:eastAsia="en-US"/>
              </w:rPr>
              <w:t xml:space="preserve">, что соответствует требованиям систем класса SOAR (Security </w:t>
            </w:r>
            <w:r>
              <w:rPr>
                <w:rFonts w:eastAsia="Calibri"/>
                <w:sz w:val="28"/>
                <w:szCs w:val="28"/>
                <w:lang w:eastAsia="en-US"/>
              </w:rPr>
              <w:t xml:space="preserve">Orchestration</w:t>
            </w:r>
            <w:r>
              <w:rPr>
                <w:rFonts w:eastAsia="Calibri"/>
                <w:sz w:val="28"/>
                <w:szCs w:val="28"/>
                <w:lang w:eastAsia="en-US"/>
              </w:rPr>
              <w:t xml:space="preserve">, </w:t>
            </w:r>
            <w:r>
              <w:rPr>
                <w:rFonts w:eastAsia="Calibri"/>
                <w:sz w:val="28"/>
                <w:szCs w:val="28"/>
                <w:lang w:eastAsia="en-US"/>
              </w:rPr>
              <w:t xml:space="preserve">Automation</w:t>
            </w:r>
            <w:r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>
              <w:rPr>
                <w:rFonts w:eastAsia="Calibri"/>
                <w:sz w:val="28"/>
                <w:szCs w:val="28"/>
                <w:lang w:eastAsia="en-US"/>
              </w:rPr>
              <w:t xml:space="preserve">and</w:t>
            </w:r>
            <w:r>
              <w:rPr>
                <w:rFonts w:eastAsia="Calibri"/>
                <w:sz w:val="28"/>
                <w:szCs w:val="28"/>
                <w:lang w:eastAsia="en-US"/>
              </w:rPr>
              <w:t xml:space="preserve"> Response – </w:t>
            </w:r>
            <w:r>
              <w:rPr>
                <w:rFonts w:eastAsia="Calibri"/>
                <w:sz w:val="28"/>
                <w:szCs w:val="28"/>
                <w:lang w:eastAsia="en-US"/>
              </w:rPr>
              <w:t xml:space="preserve">оркестрация</w:t>
            </w:r>
            <w:r>
              <w:rPr>
                <w:rFonts w:eastAsia="Calibri"/>
                <w:sz w:val="28"/>
                <w:szCs w:val="28"/>
                <w:lang w:eastAsia="en-US"/>
              </w:rPr>
              <w:t xml:space="preserve">, авт</w:t>
            </w:r>
            <w:r>
              <w:rPr>
                <w:rFonts w:eastAsia="Calibri"/>
                <w:sz w:val="28"/>
                <w:szCs w:val="28"/>
                <w:lang w:eastAsia="en-US"/>
              </w:rPr>
              <w:t xml:space="preserve">оматизация и реагирование на инциденты безопасности) с автоматическим </w:t>
            </w:r>
            <w:r>
              <w:rPr>
                <w:rFonts w:eastAsia="Calibri"/>
                <w:sz w:val="28"/>
                <w:szCs w:val="28"/>
                <w:lang w:eastAsia="en-US"/>
              </w:rPr>
              <w:t xml:space="preserve">плейбук</w:t>
            </w:r>
            <w:r>
              <w:rPr>
                <w:rFonts w:eastAsia="Calibri"/>
                <w:sz w:val="28"/>
                <w:szCs w:val="28"/>
                <w:lang w:eastAsia="en-US"/>
              </w:rPr>
              <w:t xml:space="preserve">-исполнением.</w:t>
            </w:r>
            <w:r/>
          </w:p>
          <w:p w14:paraId="72109603" w14:textId="77777777">
            <w:pPr>
              <w:pBdr/>
              <w:spacing w:line="288" w:lineRule="auto"/>
              <w:ind w:firstLine="567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 xml:space="preserve">Коэффициент семантической согласованности агентов (КССА) – доля сообщений, интерпретированных агентом-получателем без запроса дополнительного уточнения:</w:t>
            </w:r>
            <w:r>
              <w:rPr>
                <w:rFonts w:eastAsia="Calibri"/>
                <w:sz w:val="28"/>
                <w:szCs w:val="28"/>
                <w:lang w:eastAsia="en-US"/>
              </w:rPr>
            </w:r>
          </w:p>
          <w:p w14:paraId="0157E23C" w14:textId="77777777">
            <w:pPr>
              <w:pBdr/>
              <w:spacing w:line="288" w:lineRule="auto"/>
              <w:ind w:firstLine="709"/>
              <w:jc w:val="both"/>
              <w:rPr>
                <w:rFonts w:eastAsia="Calibri"/>
                <w:sz w:val="28"/>
                <w:szCs w:val="28"/>
                <w:lang w:val="en-US" w:eastAsia="en-US"/>
                <w14:ligatures w14:val="standardContextual"/>
              </w:rPr>
            </w:pPr>
            <w:r/>
            <m:oMathPara>
              <m:oMathParaPr/>
              <m:oMath>
                <m:eqArr>
                  <m:eqArrPr>
                    <m:baseJc m:val="center"/>
                    <m:maxDist m:val="on"/>
                    <m:objDist m:val="off"/>
                    <m:rSp/>
                    <m:rSpRule/>
                    <m:ctrlPr>
                      <w:rPr>
                        <w:rFonts w:ascii="Cambria Math" w:hAnsi="Cambria Math" w:eastAsia="Calibri"/>
                        <w:i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eqArrPr>
                  <m:e>
                    <m:r>
                      <w:rPr>
                        <w:rFonts w:ascii="Cambria Math" w:hAnsi="Cambria Math" w:eastAsia="Cambria Math" w:cs="Cambria Math"/>
                        <w:sz w:val="28"/>
                        <w:szCs w:val="28"/>
                      </w:rPr>
                      <m:rPr/>
                      <m:t>КССА</m:t>
                    </m:r>
                    <m:r>
                      <w:rPr>
                        <w:rFonts w:ascii="Cambria Math" w:hAnsi="Cambria Math" w:eastAsia="Calibri"/>
                        <w:sz w:val="28"/>
                        <w:szCs w:val="28"/>
                        <w:lang w:val="en-US" w:eastAsia="en-US"/>
                        <w14:ligatures w14:val="standardContextual"/>
                      </w:rPr>
                      <m:rPr/>
                      <m:t>=</m:t>
                    </m:r>
                    <m:f>
                      <m:fPr>
                        <m:ctrlPr>
                          <w:rPr>
                            <w:rFonts w:ascii="Cambria Math" w:hAnsi="Cambria Math" w:eastAsia="Calibri"/>
                            <w:i/>
                            <w:sz w:val="28"/>
                            <w:szCs w:val="28"/>
                            <w:lang w:val="en-US" w:eastAsia="en-US"/>
                            <w14:ligatures w14:val="standardContextual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eastAsia="Cambria Math" w:cs="Cambria Math"/>
                            <w:sz w:val="28"/>
                            <w:szCs w:val="28"/>
                            <w:lang w:val="en-US" w:bidi="en-US"/>
                            <w14:ligatures w14:val="standardContextual"/>
                          </w:rPr>
                          <m:rPr/>
                          <m:t>N</m:t>
                        </m:r>
                        <m:r>
                          <w:rPr>
                            <w:rFonts w:ascii="Cambria Math" w:hAnsi="Cambria Math" w:eastAsia="Cambria Math" w:cs="Cambria Math"/>
                            <w:sz w:val="28"/>
                            <w:szCs w:val="28"/>
                            <w:lang w:val="en-US" w:bidi="en-US"/>
                            <w14:ligatures w14:val="standardContextual"/>
                          </w:rPr>
                          <m:rPr/>
                          <m:t>без_у</m:t>
                        </m:r>
                        <m:r>
                          <w:rPr>
                            <w:rFonts w:ascii="Cambria Math" w:hAnsi="Cambria Math" w:eastAsia="Cambria Math" w:cs="Cambria Math"/>
                            <w:sz w:val="28"/>
                            <w:szCs w:val="28"/>
                            <w:lang w:val="en-US" w:bidi="en-US"/>
                            <w14:ligatures w14:val="standardContextual"/>
                          </w:rPr>
                          <m:rPr/>
                          <m:t>точн</m:t>
                        </m:r>
                      </m:num>
                      <m:den>
                        <m:r>
                          <w:rPr>
                            <w:rFonts w:ascii="Cambria Math" w:hAnsi="Cambria Math" w:eastAsia="Cambria Math" w:cs="Cambria Math"/>
                            <w:sz w:val="28"/>
                            <w:szCs w:val="28"/>
                          </w:rPr>
                          <m:rPr/>
                          <m:t>N</m:t>
                        </m:r>
                        <m:r>
                          <w:rPr>
                            <w:rFonts w:ascii="Cambria Math" w:hAnsi="Cambria Math" w:eastAsia="Cambria Math" w:cs="Cambria Math"/>
                            <w:sz w:val="28"/>
                            <w:szCs w:val="28"/>
                          </w:rPr>
                          <m:rPr/>
                          <m:t>общ_сообщ</m:t>
                        </m:r>
                      </m:den>
                    </m:f>
                    <m:r>
                      <w:rPr>
                        <w:rFonts w:ascii="Cambria Math" w:hAnsi="Cambria Math" w:eastAsia="Calibri"/>
                        <w:sz w:val="28"/>
                        <w:szCs w:val="28"/>
                        <w:lang w:eastAsia="en-US"/>
                        <w14:ligatures w14:val="standardContextual"/>
                      </w:rPr>
                      <m:rPr/>
                      <m:t>#</m:t>
                    </m:r>
                    <m:d>
                      <m:dPr>
                        <m:ctrlPr>
                          <w:rPr>
                            <w:rFonts w:ascii="Cambria Math" w:hAnsi="Cambria Math" w:eastAsia="Calibri"/>
                            <w:i/>
                            <w:sz w:val="28"/>
                            <w:szCs w:val="28"/>
                            <w:lang w:val="en-US" w:eastAsia="en-US"/>
                            <w14:ligatures w14:val="standardContextual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eastAsia="Calibri"/>
                            <w:sz w:val="28"/>
                            <w:szCs w:val="28"/>
                            <w:lang w:val="en-US" w:eastAsia="en-US"/>
                            <w14:ligatures w14:val="standardContextual"/>
                          </w:rPr>
                          <m:rPr/>
                          <m:t>3</m:t>
                        </m:r>
                      </m:e>
                    </m:d>
                  </m:e>
                </m:eqArr>
              </m:oMath>
            </m:oMathPara>
            <w:r/>
            <w:r>
              <w:rPr>
                <w:rFonts w:eastAsia="Calibri"/>
                <w:sz w:val="28"/>
                <w:szCs w:val="28"/>
                <w:lang w:val="en-US" w:eastAsia="en-US"/>
                <w14:ligatures w14:val="standardContextual"/>
              </w:rPr>
            </w:r>
          </w:p>
          <w:p w14:paraId="238ED610" w14:textId="77777777">
            <w:pPr>
              <w:pBdr/>
              <w:spacing w:line="288" w:lineRule="auto"/>
              <w:ind w:firstLine="567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 xml:space="preserve">где </w:t>
            </w:r>
            <w:r>
              <w:rPr>
                <w:rFonts w:eastAsia="Calibri"/>
                <w:i/>
                <w:iCs/>
                <w:sz w:val="28"/>
                <w:szCs w:val="28"/>
                <w:lang w:eastAsia="en-US"/>
              </w:rPr>
              <w:t xml:space="preserve">Nбез_уточн</w:t>
            </w:r>
            <w:r>
              <w:rPr>
                <w:rFonts w:eastAsia="Calibri"/>
                <w:sz w:val="28"/>
                <w:szCs w:val="28"/>
                <w:lang w:eastAsia="en-US"/>
              </w:rPr>
              <w:t xml:space="preserve"> – количество сообщений, обработанных без запроса пояснения; </w:t>
            </w:r>
            <w:r>
              <w:rPr>
                <w:rFonts w:eastAsia="Calibri"/>
                <w:i/>
                <w:iCs/>
                <w:sz w:val="28"/>
                <w:szCs w:val="28"/>
                <w:lang w:eastAsia="en-US"/>
              </w:rPr>
              <w:t xml:space="preserve">Nобщ_сообщ</w:t>
            </w:r>
            <w:r>
              <w:rPr>
                <w:rFonts w:eastAsia="Calibri"/>
                <w:sz w:val="28"/>
                <w:szCs w:val="28"/>
                <w:lang w:eastAsia="en-US"/>
              </w:rPr>
              <w:t xml:space="preserve"> – общее число принятых сообщений за период наблюдения. Низкое значение КССА </w:t>
            </w:r>
            <w:r>
              <w:rPr>
                <w:rFonts w:eastAsia="Calibri"/>
                <w:sz w:val="28"/>
                <w:szCs w:val="28"/>
                <w:lang w:eastAsia="en-US"/>
              </w:rPr>
              <w:t xml:space="preserve">(&lt; 0</w:t>
            </w:r>
            <w:r>
              <w:rPr>
                <w:rFonts w:eastAsia="Calibri"/>
                <w:sz w:val="28"/>
                <w:szCs w:val="28"/>
                <w:lang w:eastAsia="en-US"/>
              </w:rPr>
              <w:t xml:space="preserve">,85) указывает на семантическое рассогласование онтологий агентов и необ</w:t>
            </w:r>
            <w:r>
              <w:rPr>
                <w:rFonts w:eastAsia="Calibri"/>
                <w:sz w:val="28"/>
                <w:szCs w:val="28"/>
                <w:lang w:eastAsia="en-US"/>
              </w:rPr>
              <w:t xml:space="preserve">ходимость введения промежуточного слоя трансляции контекста.</w:t>
            </w:r>
            <w:r>
              <w:rPr>
                <w:rFonts w:eastAsia="Calibri"/>
                <w:sz w:val="28"/>
                <w:szCs w:val="28"/>
                <w:lang w:eastAsia="en-US"/>
              </w:rPr>
            </w:r>
          </w:p>
          <w:p w14:paraId="39B6FB7B" w14:textId="77777777">
            <w:pPr>
              <w:pBdr/>
              <w:spacing w:line="288" w:lineRule="auto"/>
              <w:ind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Концептуальная архитектура брокера контекста</w:t>
            </w:r>
            <w:r>
              <w:rPr>
                <w:b/>
                <w:bCs/>
                <w:sz w:val="28"/>
                <w:szCs w:val="28"/>
              </w:rPr>
            </w:r>
          </w:p>
          <w:p w14:paraId="3BDA7098" w14:textId="77777777">
            <w:pPr>
              <w:pBdr/>
              <w:spacing w:line="288" w:lineRule="auto"/>
              <w:ind w:firstLine="567"/>
              <w:jc w:val="both"/>
              <w:rPr/>
            </w:pPr>
            <w:r>
              <w:rPr>
                <w:sz w:val="28"/>
                <w:szCs w:val="28"/>
              </w:rPr>
              <w:t xml:space="preserve">На основе проведённого анализа предлагается трёхуровневая архитектура взаимодействия автономных агентов кибербезопасности с централизованным брокером контекста.</w:t>
            </w:r>
            <w:r/>
          </w:p>
          <w:p w14:paraId="461E3D5A" w14:textId="77777777">
            <w:pPr>
              <w:pBdr/>
              <w:spacing w:line="288" w:lineRule="auto"/>
              <w:ind w:firstLine="567"/>
              <w:jc w:val="both"/>
              <w:rPr/>
            </w:pPr>
            <w:r>
              <w:rPr>
                <w:b/>
                <w:bCs/>
                <w:sz w:val="28"/>
                <w:szCs w:val="28"/>
              </w:rPr>
              <w:t xml:space="preserve">Уровень агентов</w:t>
            </w:r>
            <w:r>
              <w:rPr>
                <w:sz w:val="28"/>
                <w:szCs w:val="28"/>
              </w:rPr>
              <w:t xml:space="preserve"> включает три специализированных типа: агент обнаружения (</w:t>
            </w:r>
            <w:r>
              <w:rPr>
                <w:sz w:val="28"/>
                <w:szCs w:val="28"/>
              </w:rPr>
              <w:t xml:space="preserve">Detection</w:t>
            </w:r>
            <w:r>
              <w:rPr>
                <w:sz w:val="28"/>
                <w:szCs w:val="28"/>
              </w:rPr>
              <w:t xml:space="preserve"> Agent) потре</w:t>
            </w:r>
            <w:r>
              <w:rPr>
                <w:sz w:val="28"/>
                <w:szCs w:val="28"/>
              </w:rPr>
              <w:t xml:space="preserve">бляет телеметрию из EDR/NDR-источников, нормализуя события по схеме OCSF; агент обогащения (</w:t>
            </w:r>
            <w:r>
              <w:rPr>
                <w:sz w:val="28"/>
                <w:szCs w:val="28"/>
              </w:rPr>
              <w:t xml:space="preserve">Enrichment</w:t>
            </w:r>
            <w:r>
              <w:rPr>
                <w:sz w:val="28"/>
                <w:szCs w:val="28"/>
              </w:rPr>
              <w:t xml:space="preserve"> Agent) взаимодействует с </w:t>
            </w:r>
            <w:r>
              <w:rPr>
                <w:sz w:val="28"/>
                <w:szCs w:val="28"/>
              </w:rPr>
              <w:t xml:space="preserve">Threat</w:t>
            </w:r>
            <w:r>
              <w:rPr>
                <w:sz w:val="28"/>
                <w:szCs w:val="28"/>
              </w:rPr>
              <w:t xml:space="preserve"> Intelligence платформами через TAXII 2.1, извлекая STIX 2.1 объекты (</w:t>
            </w:r>
            <w:r>
              <w:rPr>
                <w:sz w:val="28"/>
                <w:szCs w:val="28"/>
              </w:rPr>
              <w:t xml:space="preserve">Indicator</w:t>
            </w:r>
            <w:r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 xml:space="preserve">Attack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Pattern</w:t>
            </w:r>
            <w:r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 xml:space="preserve">Threat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Actor</w:t>
            </w:r>
            <w:r>
              <w:rPr>
                <w:sz w:val="28"/>
                <w:szCs w:val="28"/>
              </w:rPr>
              <w:t xml:space="preserve">); агент реаг</w:t>
            </w:r>
            <w:r>
              <w:rPr>
                <w:sz w:val="28"/>
                <w:szCs w:val="28"/>
              </w:rPr>
              <w:t xml:space="preserve">ирования (Response Agent) инициирует защитные действия через MCP-инструменты и команды OpenC2 (блокировка хоста, изоляция процесса, обновление правил межсетевого экрана).</w:t>
            </w:r>
            <w:r/>
          </w:p>
          <w:p w14:paraId="11248023" w14:textId="77777777">
            <w:pPr>
              <w:pBdr/>
              <w:spacing w:line="288" w:lineRule="auto"/>
              <w:ind w:firstLine="567"/>
              <w:jc w:val="both"/>
              <w:rPr/>
            </w:pPr>
            <w:r>
              <w:rPr>
                <w:b/>
                <w:bCs/>
                <w:sz w:val="28"/>
                <w:szCs w:val="28"/>
              </w:rPr>
              <w:t xml:space="preserve">Уровень брокера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 xml:space="preserve">контекста</w:t>
            </w:r>
            <w:r>
              <w:rPr>
                <w:sz w:val="28"/>
                <w:szCs w:val="28"/>
              </w:rPr>
              <w:t xml:space="preserve"> реализует четыре модуля: а) протокольный транслятор (STIX </w:t>
            </w:r>
            <w:r>
              <w:rPr>
                <w:rFonts w:eastAsia="Calibri"/>
                <w:sz w:val="28"/>
                <w:szCs w:val="28"/>
                <w:lang w:eastAsia="en-US"/>
              </w:rPr>
              <w:t xml:space="preserve">–</w:t>
            </w:r>
            <w:r>
              <w:rPr>
                <w:sz w:val="28"/>
                <w:szCs w:val="28"/>
              </w:rPr>
              <w:t xml:space="preserve"> OCSF </w:t>
            </w:r>
            <w:r>
              <w:rPr>
                <w:rFonts w:eastAsia="Calibri"/>
                <w:sz w:val="28"/>
                <w:szCs w:val="28"/>
                <w:lang w:eastAsia="en-US"/>
              </w:rPr>
              <w:t xml:space="preserve">–</w:t>
            </w:r>
            <w:r>
              <w:rPr>
                <w:sz w:val="28"/>
                <w:szCs w:val="28"/>
              </w:rPr>
              <w:t xml:space="preserve"> MCP/A2A), обеспечивающий преобразование форматов без потери семантики; б) семантический обогатитель на базе онтологии </w:t>
            </w:r>
            <w:r>
              <w:rPr>
                <w:sz w:val="28"/>
                <w:szCs w:val="28"/>
              </w:rPr>
              <w:t xml:space="preserve">MITRE ATT&amp;CK, добавляющий атрибуты </w:t>
            </w:r>
            <w:r>
              <w:rPr>
                <w:sz w:val="28"/>
                <w:szCs w:val="28"/>
              </w:rPr>
              <w:t xml:space="preserve">Tactic</w:t>
            </w:r>
            <w:r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 xml:space="preserve">Technique</w:t>
            </w:r>
            <w:r>
              <w:rPr>
                <w:sz w:val="28"/>
                <w:szCs w:val="28"/>
              </w:rPr>
              <w:t xml:space="preserve">, Sub-</w:t>
            </w:r>
            <w:r>
              <w:rPr>
                <w:sz w:val="28"/>
                <w:szCs w:val="28"/>
              </w:rPr>
              <w:t xml:space="preserve">technique</w:t>
            </w:r>
            <w:r>
              <w:rPr>
                <w:sz w:val="28"/>
                <w:szCs w:val="28"/>
              </w:rPr>
              <w:t xml:space="preserve">; в) маршрутизатор сообщений по типу события и уровню критичнос</w:t>
            </w:r>
            <w:r>
              <w:rPr>
                <w:sz w:val="28"/>
                <w:szCs w:val="28"/>
              </w:rPr>
              <w:t xml:space="preserve">ти; г) менеджер версий контекста с временной разметкой для аудита.</w:t>
            </w:r>
            <w:r/>
          </w:p>
          <w:p w14:paraId="40547B68" w14:textId="77777777">
            <w:pPr>
              <w:pBdr/>
              <w:spacing w:line="288" w:lineRule="auto"/>
              <w:ind w:firstLine="567"/>
              <w:jc w:val="both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Уровень </w:t>
            </w:r>
            <w:r>
              <w:rPr>
                <w:b/>
                <w:bCs/>
                <w:sz w:val="28"/>
                <w:szCs w:val="28"/>
              </w:rPr>
              <w:t xml:space="preserve">оркестрации</w:t>
            </w:r>
            <w:r>
              <w:rPr>
                <w:sz w:val="28"/>
                <w:szCs w:val="28"/>
              </w:rPr>
              <w:t xml:space="preserve"> обеспечивает согласованное принятие решений: при КПК ≥ 0,7 и КССА ≥ 0,85 агент реагирования действует автономно; при несоблюдении хотя бы одного порога управление переда</w:t>
            </w:r>
            <w:r>
              <w:rPr>
                <w:sz w:val="28"/>
                <w:szCs w:val="28"/>
              </w:rPr>
              <w:t xml:space="preserve">ётся аналитику SOC с автоматически сформированной сводкой контекста. Взаимодействие агентов осуществляется по протоколу A2A через механизм задач (Task) и артефактов (</w:t>
            </w:r>
            <w:r>
              <w:rPr>
                <w:sz w:val="28"/>
                <w:szCs w:val="28"/>
              </w:rPr>
              <w:t xml:space="preserve">Artifact</w:t>
            </w:r>
            <w:r>
              <w:rPr>
                <w:sz w:val="28"/>
                <w:szCs w:val="28"/>
              </w:rPr>
              <w:t xml:space="preserve">).</w:t>
            </w:r>
            <w:r>
              <w:rPr>
                <w:sz w:val="28"/>
                <w:szCs w:val="28"/>
              </w:rPr>
            </w:r>
          </w:p>
          <w:p w14:paraId="040F2392" w14:textId="77777777">
            <w:pPr>
              <w:pBdr/>
              <w:spacing w:line="288" w:lineRule="auto"/>
              <w:ind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Вывод</w:t>
            </w:r>
            <w:r>
              <w:rPr>
                <w:b/>
                <w:bCs/>
                <w:sz w:val="28"/>
                <w:szCs w:val="28"/>
              </w:rPr>
            </w:r>
          </w:p>
          <w:p w14:paraId="53D442E6" w14:textId="77777777">
            <w:pPr>
              <w:pBdr/>
              <w:spacing w:line="288" w:lineRule="auto"/>
              <w:ind w:firstLine="567"/>
              <w:jc w:val="both"/>
              <w:rPr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  <w:lang w:eastAsia="en-US"/>
                <w14:ligatures w14:val="standardContextual"/>
              </w:rPr>
              <w:t xml:space="preserve">Проведённый анализ показывает, что существующие протоколы обмена контекст</w:t>
            </w:r>
            <w:r>
              <w:rPr>
                <w:rFonts w:eastAsia="Calibri"/>
                <w:sz w:val="28"/>
                <w:szCs w:val="28"/>
                <w:lang w:eastAsia="en-US"/>
                <w14:ligatures w14:val="standardContextual"/>
              </w:rPr>
              <w:t xml:space="preserve">ом – STIX 2.1/TAXII 2.1, OCSF, CACAO 2.0, OpenC2, MCP и A2A – охватывают различные, частично пересекающиеся аспекты взаимодействия агентов кибербезопасности, однако ни один из них в отдельности не обеспечивает полного цикла координации: от нормализации тел</w:t>
            </w:r>
            <w:r>
              <w:rPr>
                <w:rFonts w:eastAsia="Calibri"/>
                <w:sz w:val="28"/>
                <w:szCs w:val="28"/>
                <w:lang w:eastAsia="en-US"/>
                <w14:ligatures w14:val="standardContextual"/>
              </w:rPr>
              <w:t xml:space="preserve">еметрии до исполнения согласованного ответного действия. Введённые метрики КПК, ЗРК и КССА образуют количественный базис для экспериментальной оценки архитектурных решений. Разработка брокера контекста, интегрирующего семантику OCSF, разведывательный форма</w:t>
            </w:r>
            <w:r>
              <w:rPr>
                <w:rFonts w:eastAsia="Calibri"/>
                <w:sz w:val="28"/>
                <w:szCs w:val="28"/>
                <w:lang w:eastAsia="en-US"/>
                <w14:ligatures w14:val="standardContextual"/>
              </w:rPr>
              <w:t xml:space="preserve">т STIX 2.1, исполнительные стандарты OpenC2/CACAO и </w:t>
            </w:r>
            <w:r>
              <w:rPr>
                <w:rFonts w:eastAsia="Calibri"/>
                <w:sz w:val="28"/>
                <w:szCs w:val="28"/>
                <w:lang w:eastAsia="en-US"/>
                <w14:ligatures w14:val="standardContextual"/>
              </w:rPr>
              <w:t xml:space="preserve">агентные</w:t>
            </w:r>
            <w:r>
              <w:rPr>
                <w:rFonts w:eastAsia="Calibri"/>
                <w:sz w:val="28"/>
                <w:szCs w:val="28"/>
                <w:lang w:eastAsia="en-US"/>
                <w14:ligatures w14:val="standardContextual"/>
              </w:rPr>
              <w:t xml:space="preserve"> транспорты MCP/A2A с привязкой к таксономии MITRE ATT&amp;CK, формирует основу для последующей реализации прототипа и сравнительного тестирования. Дальнейшее развитие работы предполагает формализацию</w:t>
            </w:r>
            <w:r>
              <w:rPr>
                <w:rFonts w:eastAsia="Calibri"/>
                <w:sz w:val="28"/>
                <w:szCs w:val="28"/>
                <w:lang w:eastAsia="en-US"/>
                <w14:ligatures w14:val="standardContextual"/>
              </w:rPr>
              <w:t xml:space="preserve"> онтологии контекста безопасности, нагрузочное тестирование брокера по показателю ЗРК и верификацию пороговых значений КПК и КССА на реальных данных SOC.</w:t>
            </w:r>
            <w:r>
              <w:rPr>
                <w:sz w:val="28"/>
                <w:szCs w:val="28"/>
              </w:rPr>
            </w:r>
          </w:p>
          <w:p w14:paraId="11174780" w14:textId="77777777">
            <w:pPr>
              <w:pBdr/>
              <w:spacing w:line="288" w:lineRule="auto"/>
              <w:ind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Список источников и литературы</w:t>
            </w:r>
            <w:r>
              <w:rPr>
                <w:b/>
                <w:bCs/>
                <w:sz w:val="28"/>
                <w:szCs w:val="28"/>
              </w:rPr>
            </w:r>
          </w:p>
          <w:p w14:paraId="451EBA17" w14:textId="77777777">
            <w:pPr>
              <w:pBdr/>
              <w:spacing w:line="288" w:lineRule="auto"/>
              <w:ind w:firstLine="567"/>
              <w:jc w:val="both"/>
              <w:rPr/>
            </w:pPr>
            <w:r>
              <w:t xml:space="preserve">1. Городецкий В. И., Котенко И. В., </w:t>
            </w:r>
            <w:r>
              <w:t xml:space="preserve">Карсаев</w:t>
            </w:r>
            <w:r>
              <w:t xml:space="preserve"> О. В. </w:t>
            </w:r>
            <w:r>
              <w:t xml:space="preserve">Многоагентная</w:t>
            </w:r>
            <w:r>
              <w:t xml:space="preserve"> система</w:t>
            </w:r>
            <w:r>
              <w:t xml:space="preserve"> защиты информации в компьютерных сетях: механизмы обучения и формирования решений для обнаружения вторжений // Проблемы информатизации. 2000. № 2. С. 67–73.</w:t>
            </w:r>
            <w:r/>
          </w:p>
          <w:p w14:paraId="46D5CDDC" w14:textId="77777777">
            <w:pPr>
              <w:pBdr/>
              <w:spacing w:line="288" w:lineRule="auto"/>
              <w:ind w:firstLine="567"/>
              <w:jc w:val="both"/>
              <w:rPr>
                <w:lang w:val="en-US"/>
              </w:rPr>
            </w:pPr>
            <w:r>
              <w:t xml:space="preserve">2. </w:t>
            </w:r>
            <w:r>
              <w:t xml:space="preserve">Браницкий</w:t>
            </w:r>
            <w:r>
              <w:t xml:space="preserve"> А. А., Котенко И. В. Анализ и классификация методов обнаружения сетевых атак // Инфор</w:t>
            </w:r>
            <w:r>
              <w:t xml:space="preserve">матика и автоматизация (Труды СПИИРАН). 2016. </w:t>
            </w:r>
            <w:r>
              <w:t xml:space="preserve">Вып</w:t>
            </w:r>
            <w:r>
              <w:t xml:space="preserve">. 45. С. 207–244. </w:t>
            </w:r>
            <w:r>
              <w:rPr>
                <w:lang w:val="en-US"/>
              </w:rPr>
              <w:t xml:space="preserve">DOI: 10.15622/sp.45.9.</w:t>
            </w:r>
            <w:r>
              <w:rPr>
                <w:lang w:val="en-US"/>
              </w:rPr>
            </w:r>
          </w:p>
          <w:p w14:paraId="13475208" w14:textId="77777777">
            <w:pPr>
              <w:pBdr/>
              <w:spacing w:line="288" w:lineRule="auto"/>
              <w:ind w:firstLine="567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3</w:t>
            </w:r>
            <w:r>
              <w:rPr>
                <w:lang w:val="en-US"/>
              </w:rPr>
              <w:t xml:space="preserve">. Linux Foundation. Open Cybersecurity Schema Framework (OCSF) Joins the Linux Foundation. Press Release, November 19, 2024. URL: https://www.linuxfoundation.org/pre</w:t>
            </w:r>
            <w:r>
              <w:rPr>
                <w:lang w:val="en-US"/>
              </w:rPr>
              <w:t xml:space="preserve">ss/open-cybersecurity-schema-framework-ocsf-joins-the-linux-foundation-to-optimize-critical-security-data (</w:t>
            </w:r>
            <w:r>
              <w:t xml:space="preserve">дата</w:t>
            </w:r>
            <w:r>
              <w:rPr>
                <w:lang w:val="en-US"/>
              </w:rPr>
              <w:t xml:space="preserve"> </w:t>
            </w:r>
            <w:r>
              <w:t xml:space="preserve">обращения</w:t>
            </w:r>
            <w:r>
              <w:rPr>
                <w:lang w:val="en-US"/>
              </w:rPr>
              <w:t xml:space="preserve">: 19.04.2026).</w:t>
            </w:r>
            <w:r>
              <w:rPr>
                <w:lang w:val="en-US"/>
              </w:rPr>
            </w:r>
          </w:p>
          <w:p w14:paraId="3222BFF8" w14:textId="77777777">
            <w:pPr>
              <w:pBdr/>
              <w:spacing w:line="288" w:lineRule="auto"/>
              <w:ind/>
              <w:jc w:val="both"/>
              <w:rPr>
                <w:b/>
                <w:color w:val="d9d9d9"/>
                <w:sz w:val="22"/>
                <w:szCs w:val="22"/>
                <w:lang w:val="en-US"/>
              </w:rPr>
            </w:pPr>
            <w:r>
              <w:rPr>
                <w:b/>
                <w:color w:val="d9d9d9"/>
                <w:sz w:val="22"/>
                <w:szCs w:val="22"/>
                <w:lang w:val="en-US"/>
              </w:rPr>
            </w:r>
            <w:r>
              <w:rPr>
                <w:b/>
                <w:color w:val="d9d9d9"/>
                <w:sz w:val="22"/>
                <w:szCs w:val="22"/>
                <w:lang w:val="en-US"/>
              </w:rPr>
            </w:r>
          </w:p>
          <w:p w14:paraId="7A2B565F" w14:textId="77777777">
            <w:pPr>
              <w:pBdr/>
              <w:tabs>
                <w:tab w:val="left" w:leader="none" w:pos="180"/>
              </w:tabs>
              <w:spacing w:line="288" w:lineRule="auto"/>
              <w:ind w:firstLine="540"/>
              <w:jc w:val="right"/>
              <w:rPr>
                <w:b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 xml:space="preserve">© </w:t>
            </w:r>
            <w:r>
              <w:rPr>
                <w:iCs/>
                <w:sz w:val="28"/>
                <w:szCs w:val="28"/>
              </w:rPr>
              <w:t xml:space="preserve">Мухаметшин А.Р., 2026</w:t>
            </w:r>
            <w:r>
              <w:rPr>
                <w:b/>
                <w:sz w:val="28"/>
                <w:szCs w:val="28"/>
              </w:rPr>
            </w:r>
          </w:p>
        </w:tc>
      </w:tr>
    </w:tbl>
    <w:p w14:paraId="116E67C5" w14:textId="77777777">
      <w:pPr>
        <w:pBdr/>
        <w:tabs>
          <w:tab w:val="left" w:leader="none" w:pos="2950"/>
        </w:tabs>
        <w:spacing w:line="288" w:lineRule="auto"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1134" w:bottom="1134" w:left="1134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E0E3BCC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1BAB6CEB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40503050406030204"/>
  </w:font>
  <w:font w:name="Wingdings">
    <w:panose1 w:val="05000000000000000000"/>
  </w:font>
  <w:font w:name="Courier New">
    <w:panose1 w:val="02070309020205020404"/>
  </w:font>
  <w:font w:name="Tahoma">
    <w:panose1 w:val="020B0604030504040204"/>
  </w:font>
  <w:font w:name="Symbol">
    <w:panose1 w:val="05050102010706020507"/>
  </w:font>
  <w:font w:name="Times New Roman Полужирный">
    <w:panose1 w:val="020206030504050203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09647D6E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1FE04FD5" w14:textId="77777777"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232672"/>
    <w:lvl w:ilvl="0">
      <w:isLgl w:val="false"/>
      <w:lvlJc w:val="left"/>
      <w:lvlText w:val="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">
    <w:nsid w:val="294D2680"/>
    <w:lvl w:ilvl="0">
      <w:isLgl w:val="false"/>
      <w:lvlJc w:val="left"/>
      <w:lvlText w:val="%1"/>
      <w:numFmt w:val="decimal"/>
      <w:pPr>
        <w:pBdr/>
        <w:spacing/>
        <w:ind w:hanging="360" w:left="927"/>
      </w:pPr>
      <w:rPr>
        <w:rFonts w:hint="default"/>
      </w:rPr>
      <w:start w:val="2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4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6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8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0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2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4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6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87"/>
      </w:pPr>
      <w:rPr/>
      <w:start w:val="1"/>
      <w:suff w:val="tab"/>
    </w:lvl>
  </w:abstractNum>
  <w:abstractNum w:abstractNumId="2">
    <w:nsid w:val="2F0332B6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3">
    <w:nsid w:val="55CB1E7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50">
    <w:name w:val="Heading 1 Char"/>
    <w:basedOn w:val="718"/>
    <w:link w:val="7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18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3">
    <w:name w:val="Heading 4 Char"/>
    <w:basedOn w:val="718"/>
    <w:link w:val="71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18"/>
    <w:link w:val="7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18"/>
    <w:link w:val="71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18"/>
    <w:link w:val="71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18"/>
    <w:link w:val="71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18"/>
    <w:link w:val="71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18"/>
    <w:link w:val="85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18"/>
    <w:link w:val="85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18"/>
    <w:link w:val="85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18"/>
    <w:link w:val="86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85">
    <w:name w:val="Endnote Text Char"/>
    <w:basedOn w:val="718"/>
    <w:link w:val="875"/>
    <w:uiPriority w:val="99"/>
    <w:semiHidden/>
    <w:pPr>
      <w:pBdr/>
      <w:spacing/>
      <w:ind/>
    </w:pPr>
    <w:rPr>
      <w:sz w:val="20"/>
      <w:szCs w:val="20"/>
    </w:rPr>
  </w:style>
  <w:style w:type="paragraph" w:styleId="708" w:default="1">
    <w:name w:val="Normal"/>
    <w:qFormat/>
    <w:pPr>
      <w:pBdr/>
      <w:spacing/>
      <w:ind/>
    </w:pPr>
    <w:rPr>
      <w:rFonts w:ascii="Times New Roman" w:hAnsi="Times New Roman" w:eastAsia="Times New Roman"/>
      <w:sz w:val="24"/>
      <w:szCs w:val="24"/>
    </w:rPr>
  </w:style>
  <w:style w:type="paragraph" w:styleId="709">
    <w:name w:val="Heading 1"/>
    <w:basedOn w:val="708"/>
    <w:next w:val="708"/>
    <w:link w:val="84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2f5496" w:themeColor="accent1" w:themeShade="BF"/>
      <w:sz w:val="40"/>
      <w:szCs w:val="40"/>
    </w:rPr>
  </w:style>
  <w:style w:type="paragraph" w:styleId="710">
    <w:name w:val="Heading 2"/>
    <w:basedOn w:val="708"/>
    <w:next w:val="708"/>
    <w:link w:val="84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2f5496" w:themeColor="accent1" w:themeShade="BF"/>
      <w:sz w:val="32"/>
      <w:szCs w:val="32"/>
    </w:rPr>
  </w:style>
  <w:style w:type="paragraph" w:styleId="711">
    <w:name w:val="Heading 3"/>
    <w:basedOn w:val="708"/>
    <w:next w:val="708"/>
    <w:link w:val="896"/>
    <w:uiPriority w:val="9"/>
    <w:qFormat/>
    <w:pPr>
      <w:keepNext w:val="true"/>
      <w:keepLines w:val="true"/>
      <w:pBdr/>
      <w:spacing/>
      <w:ind/>
      <w:jc w:val="right"/>
      <w:outlineLvl w:val="2"/>
    </w:pPr>
    <w:rPr>
      <w:rFonts w:ascii="Times New Roman Полужирный" w:hAnsi="Times New Roman Полужирный"/>
      <w:b/>
      <w:bCs/>
      <w:sz w:val="22"/>
    </w:rPr>
  </w:style>
  <w:style w:type="paragraph" w:styleId="712">
    <w:name w:val="Heading 4"/>
    <w:basedOn w:val="708"/>
    <w:next w:val="708"/>
    <w:link w:val="84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2f5496" w:themeColor="accent1" w:themeShade="BF"/>
    </w:rPr>
  </w:style>
  <w:style w:type="paragraph" w:styleId="713">
    <w:name w:val="Heading 5"/>
    <w:basedOn w:val="708"/>
    <w:next w:val="708"/>
    <w:link w:val="85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2f5496" w:themeColor="accent1" w:themeShade="BF"/>
    </w:rPr>
  </w:style>
  <w:style w:type="paragraph" w:styleId="714">
    <w:name w:val="Heading 6"/>
    <w:basedOn w:val="708"/>
    <w:next w:val="708"/>
    <w:link w:val="851"/>
    <w:uiPriority w:val="9"/>
    <w:unhideWhenUsed/>
    <w:qFormat/>
    <w:pPr>
      <w:keepNext w:val="true"/>
      <w:keepLines w:val="true"/>
      <w:pBdr/>
      <w:spacing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15">
    <w:name w:val="Heading 7"/>
    <w:basedOn w:val="708"/>
    <w:next w:val="708"/>
    <w:link w:val="852"/>
    <w:uiPriority w:val="9"/>
    <w:unhideWhenUsed/>
    <w:qFormat/>
    <w:pPr>
      <w:keepNext w:val="true"/>
      <w:keepLines w:val="true"/>
      <w:pBdr/>
      <w:spacing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16">
    <w:name w:val="Heading 8"/>
    <w:basedOn w:val="708"/>
    <w:next w:val="708"/>
    <w:link w:val="853"/>
    <w:uiPriority w:val="9"/>
    <w:unhideWhenUsed/>
    <w:qFormat/>
    <w:pPr>
      <w:keepNext w:val="true"/>
      <w:keepLines w:val="true"/>
      <w:pBdr/>
      <w:spacing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17">
    <w:name w:val="Heading 9"/>
    <w:basedOn w:val="708"/>
    <w:next w:val="708"/>
    <w:link w:val="854"/>
    <w:uiPriority w:val="9"/>
    <w:unhideWhenUsed/>
    <w:qFormat/>
    <w:pPr>
      <w:keepNext w:val="true"/>
      <w:keepLines w:val="true"/>
      <w:pBdr/>
      <w:spacing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18" w:default="1">
    <w:name w:val="Default Paragraph Font"/>
    <w:uiPriority w:val="1"/>
    <w:semiHidden/>
    <w:unhideWhenUsed/>
    <w:pPr>
      <w:pBdr/>
      <w:spacing/>
      <w:ind/>
    </w:pPr>
  </w:style>
  <w:style w:type="table" w:styleId="71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0" w:default="1">
    <w:name w:val="No List"/>
    <w:uiPriority w:val="99"/>
    <w:semiHidden/>
    <w:unhideWhenUsed/>
    <w:pPr>
      <w:pBdr/>
      <w:spacing/>
      <w:ind/>
    </w:pPr>
  </w:style>
  <w:style w:type="table" w:styleId="721" w:customStyle="1">
    <w:name w:val="Table Grid Light"/>
    <w:basedOn w:val="719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1"/>
    <w:basedOn w:val="719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2"/>
    <w:basedOn w:val="719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3"/>
    <w:basedOn w:val="71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4"/>
    <w:basedOn w:val="71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5"/>
    <w:basedOn w:val="71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"/>
    <w:basedOn w:val="719"/>
    <w:uiPriority w:val="99"/>
    <w:pPr>
      <w:pBdr/>
      <w:spacing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 w:customStyle="1">
    <w:name w:val="Grid Table 1 Light - Accent 1"/>
    <w:basedOn w:val="719"/>
    <w:uiPriority w:val="99"/>
    <w:pPr>
      <w:pBdr/>
      <w:spacing/>
      <w:ind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 w:customStyle="1">
    <w:name w:val="Grid Table 1 Light - Accent 2"/>
    <w:basedOn w:val="719"/>
    <w:uiPriority w:val="99"/>
    <w:pPr>
      <w:pBdr/>
      <w:spacing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 w:customStyle="1">
    <w:name w:val="Grid Table 1 Light - Accent 3"/>
    <w:basedOn w:val="719"/>
    <w:uiPriority w:val="99"/>
    <w:pPr>
      <w:pBdr/>
      <w:spacing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 w:customStyle="1">
    <w:name w:val="Grid Table 1 Light - Accent 4"/>
    <w:basedOn w:val="719"/>
    <w:uiPriority w:val="99"/>
    <w:pPr>
      <w:pBdr/>
      <w:spacing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 w:customStyle="1">
    <w:name w:val="Grid Table 1 Light - Accent 5"/>
    <w:basedOn w:val="719"/>
    <w:uiPriority w:val="99"/>
    <w:pPr>
      <w:pBdr/>
      <w:spacing/>
      <w:ind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ec4e6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 w:customStyle="1">
    <w:name w:val="Grid Table 1 Light - Accent 6"/>
    <w:basedOn w:val="719"/>
    <w:uiPriority w:val="99"/>
    <w:pPr>
      <w:pBdr/>
      <w:spacing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"/>
    <w:basedOn w:val="719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 w:customStyle="1">
    <w:name w:val="Grid Table 2 - Accent 1"/>
    <w:basedOn w:val="719"/>
    <w:uiPriority w:val="99"/>
    <w:pPr>
      <w:pBdr/>
      <w:spacing/>
      <w:ind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37dc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37dc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 w:customStyle="1">
    <w:name w:val="Grid Table 2 - Accent 2"/>
    <w:basedOn w:val="719"/>
    <w:uiPriority w:val="99"/>
    <w:pPr>
      <w:pBdr/>
      <w:spacing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 w:customStyle="1">
    <w:name w:val="Grid Table 2 - Accent 3"/>
    <w:basedOn w:val="719"/>
    <w:uiPriority w:val="99"/>
    <w:pPr>
      <w:pBdr/>
      <w:spacing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 w:customStyle="1">
    <w:name w:val="Grid Table 2 - Accent 4"/>
    <w:basedOn w:val="719"/>
    <w:uiPriority w:val="99"/>
    <w:pPr>
      <w:pBdr/>
      <w:spacing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 w:customStyle="1">
    <w:name w:val="Grid Table 2 - Accent 5"/>
    <w:basedOn w:val="719"/>
    <w:uiPriority w:val="99"/>
    <w:pPr>
      <w:pBdr/>
      <w:spacing/>
      <w:ind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 w:customStyle="1">
    <w:name w:val="Grid Table 2 - Accent 6"/>
    <w:basedOn w:val="719"/>
    <w:uiPriority w:val="99"/>
    <w:pPr>
      <w:pBdr/>
      <w:spacing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"/>
    <w:basedOn w:val="719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 w:customStyle="1">
    <w:name w:val="Grid Table 3 - Accent 1"/>
    <w:basedOn w:val="719"/>
    <w:uiPriority w:val="99"/>
    <w:pPr>
      <w:pBdr/>
      <w:spacing/>
      <w:ind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 w:customStyle="1">
    <w:name w:val="Grid Table 3 - Accent 2"/>
    <w:basedOn w:val="719"/>
    <w:uiPriority w:val="99"/>
    <w:pPr>
      <w:pBdr/>
      <w:spacing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 w:customStyle="1">
    <w:name w:val="Grid Table 3 - Accent 3"/>
    <w:basedOn w:val="719"/>
    <w:uiPriority w:val="99"/>
    <w:pPr>
      <w:pBdr/>
      <w:spacing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 w:customStyle="1">
    <w:name w:val="Grid Table 3 - Accent 4"/>
    <w:basedOn w:val="719"/>
    <w:uiPriority w:val="99"/>
    <w:pPr>
      <w:pBdr/>
      <w:spacing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 w:customStyle="1">
    <w:name w:val="Grid Table 3 - Accent 5"/>
    <w:basedOn w:val="719"/>
    <w:uiPriority w:val="99"/>
    <w:pPr>
      <w:pBdr/>
      <w:spacing/>
      <w:ind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 w:customStyle="1">
    <w:name w:val="Grid Table 3 - Accent 6"/>
    <w:basedOn w:val="719"/>
    <w:uiPriority w:val="99"/>
    <w:pPr>
      <w:pBdr/>
      <w:spacing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"/>
    <w:basedOn w:val="719"/>
    <w:uiPriority w:val="5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 w:customStyle="1">
    <w:name w:val="Grid Table 4 - Accent 1"/>
    <w:basedOn w:val="719"/>
    <w:uiPriority w:val="59"/>
    <w:pPr>
      <w:pBdr/>
      <w:spacing/>
      <w:ind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3f3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3f3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>
          <w:top w:val="single" w:color="537dc8" w:themeColor="accent1" w:themeTint="EA" w:sz="4" w:space="0"/>
          <w:left w:val="single" w:color="537dc8" w:themeColor="accent1" w:themeTint="EA" w:sz="4" w:space="0"/>
          <w:bottom w:val="single" w:color="537dc8" w:themeColor="accent1" w:themeTint="EA" w:sz="4" w:space="0"/>
          <w:right w:val="single" w:color="537dc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37dc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 w:customStyle="1">
    <w:name w:val="Grid Table 4 - Accent 2"/>
    <w:basedOn w:val="719"/>
    <w:uiPriority w:val="59"/>
    <w:pPr>
      <w:pBdr/>
      <w:spacing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 w:customStyle="1">
    <w:name w:val="Grid Table 4 - Accent 3"/>
    <w:basedOn w:val="719"/>
    <w:uiPriority w:val="59"/>
    <w:pPr>
      <w:pBdr/>
      <w:spacing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 w:customStyle="1">
    <w:name w:val="Grid Table 4 - Accent 4"/>
    <w:basedOn w:val="719"/>
    <w:uiPriority w:val="59"/>
    <w:pPr>
      <w:pBdr/>
      <w:spacing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 w:customStyle="1">
    <w:name w:val="Grid Table 4 - Accent 5"/>
    <w:basedOn w:val="719"/>
    <w:uiPriority w:val="59"/>
    <w:pPr>
      <w:pBdr/>
      <w:spacing/>
      <w:ind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 w:customStyle="1">
    <w:name w:val="Grid Table 4 - Accent 6"/>
    <w:basedOn w:val="719"/>
    <w:uiPriority w:val="59"/>
    <w:pPr>
      <w:pBdr/>
      <w:spacing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"/>
    <w:basedOn w:val="719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 w:customStyle="1">
    <w:name w:val="Grid Table 5 Dark- Accent 1"/>
    <w:basedOn w:val="719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1" w:themeTint="34" w:fill="d8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4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4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 w:customStyle="1">
    <w:name w:val="Grid Table 5 Dark - Accent 2"/>
    <w:basedOn w:val="719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 w:customStyle="1">
    <w:name w:val="Grid Table 5 Dark - Accent 3"/>
    <w:basedOn w:val="719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 w:customStyle="1">
    <w:name w:val="Grid Table 5 Dark- Accent 4"/>
    <w:basedOn w:val="719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 w:customStyle="1">
    <w:name w:val="Grid Table 5 Dark - Accent 5"/>
    <w:basedOn w:val="719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5" w:themeTint="34" w:fill="ddea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0eb" w:themeColor="accent5" w:themeTint="75" w:fill="b3d0eb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0eb" w:themeColor="accent5" w:themeTint="75" w:fill="b3d0eb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 w:customStyle="1">
    <w:name w:val="Grid Table 5 Dark - Accent 6"/>
    <w:basedOn w:val="719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"/>
    <w:basedOn w:val="719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 w:customStyle="1">
    <w:name w:val="Grid Table 6 Colorful - Accent 1"/>
    <w:basedOn w:val="719"/>
    <w:uiPriority w:val="99"/>
    <w:pPr>
      <w:pBdr/>
      <w:spacing/>
      <w:ind/>
    </w:pPr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cPr>
      <w:tcBorders/>
    </w:tcPr>
    <w:tblStylePr w:type="band1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0b7e1" w:themeColor="accent1" w:themeTint="80" w:sz="12" w:space="0"/>
        </w:tcBorders>
      </w:tcPr>
    </w:tblStylePr>
    <w:tblStylePr w:type="lastCol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 w:customStyle="1">
    <w:name w:val="Grid Table 6 Colorful - Accent 2"/>
    <w:basedOn w:val="719"/>
    <w:uiPriority w:val="99"/>
    <w:pPr>
      <w:pBdr/>
      <w:spacing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 w:customStyle="1">
    <w:name w:val="Grid Table 6 Colorful - Accent 3"/>
    <w:basedOn w:val="719"/>
    <w:uiPriority w:val="99"/>
    <w:pPr>
      <w:pBdr/>
      <w:spacing/>
      <w:ind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 w:customStyle="1">
    <w:name w:val="Grid Table 6 Colorful - Accent 4"/>
    <w:basedOn w:val="719"/>
    <w:uiPriority w:val="99"/>
    <w:pPr>
      <w:pBdr/>
      <w:spacing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 w:customStyle="1">
    <w:name w:val="Grid Table 6 Colorful - Accent 5"/>
    <w:basedOn w:val="719"/>
    <w:uiPriority w:val="99"/>
    <w:pPr>
      <w:pBdr/>
      <w:spacing/>
      <w:ind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5" w:sz="12" w:space="0"/>
        </w:tcBorders>
      </w:tcPr>
    </w:tblStylePr>
    <w:tblStylePr w:type="la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 w:customStyle="1">
    <w:name w:val="Grid Table 6 Colorful - Accent 6"/>
    <w:basedOn w:val="719"/>
    <w:uiPriority w:val="99"/>
    <w:pPr>
      <w:pBdr/>
      <w:spacing/>
      <w:ind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"/>
    <w:basedOn w:val="719"/>
    <w:uiPriority w:val="99"/>
    <w:pPr>
      <w:pBdr/>
      <w:spacing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 w:customStyle="1">
    <w:name w:val="Grid Table 7 Colorful - Accent 1"/>
    <w:basedOn w:val="719"/>
    <w:uiPriority w:val="99"/>
    <w:pPr>
      <w:pBdr/>
      <w:spacing/>
      <w:ind/>
    </w:pPr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cPr>
      <w:tcBorders/>
    </w:tcPr>
    <w:tblStylePr w:type="band1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0b7e1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0b7e1" w:themeColor="accent1" w:themeTint="80" w:sz="4" w:space="0"/>
        </w:tcBorders>
      </w:tcPr>
    </w:tblStylePr>
    <w:tblStylePr w:type="firstRow">
      <w:rPr>
        <w:rFonts w:ascii="Arial" w:hAnsi="Arial"/>
        <w:b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0b7e1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0b7e1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0b7e1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 w:customStyle="1">
    <w:name w:val="Grid Table 7 Colorful - Accent 2"/>
    <w:basedOn w:val="719"/>
    <w:uiPriority w:val="99"/>
    <w:pPr>
      <w:pBdr/>
      <w:spacing/>
      <w:ind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 w:customStyle="1">
    <w:name w:val="Grid Table 7 Colorful - Accent 3"/>
    <w:basedOn w:val="719"/>
    <w:uiPriority w:val="99"/>
    <w:pPr>
      <w:pBdr/>
      <w:spacing/>
      <w:ind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5a5a5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5a5a5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 w:customStyle="1">
    <w:name w:val="Grid Table 7 Colorful - Accent 4"/>
    <w:basedOn w:val="719"/>
    <w:uiPriority w:val="99"/>
    <w:pPr>
      <w:pBdr/>
      <w:spacing/>
      <w:ind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 w:customStyle="1">
    <w:name w:val="Grid Table 7 Colorful - Accent 5"/>
    <w:basedOn w:val="719"/>
    <w:uiPriority w:val="99"/>
    <w:pPr>
      <w:pBdr/>
      <w:spacing/>
      <w:ind/>
    </w:pPr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a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2c6e7" w:themeColor="accent5" w:themeTint="90" w:sz="4" w:space="0"/>
        </w:tcBorders>
      </w:tcPr>
    </w:tblStylePr>
    <w:tblStylePr w:type="firstRow">
      <w:rPr>
        <w:rFonts w:ascii="Arial" w:hAnsi="Arial"/>
        <w:b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2c6e7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2c6e7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2c6e7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 w:customStyle="1">
    <w:name w:val="Grid Table 7 Colorful - Accent 6"/>
    <w:basedOn w:val="719"/>
    <w:uiPriority w:val="99"/>
    <w:pPr>
      <w:pBdr/>
      <w:spacing/>
      <w:ind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dd394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dd394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"/>
    <w:basedOn w:val="71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 w:customStyle="1">
    <w:name w:val="List Table 1 Light - Accent 1"/>
    <w:basedOn w:val="71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 w:customStyle="1">
    <w:name w:val="List Table 1 Light - Accent 2"/>
    <w:basedOn w:val="71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 w:customStyle="1">
    <w:name w:val="List Table 1 Light - Accent 3"/>
    <w:basedOn w:val="71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 w:customStyle="1">
    <w:name w:val="List Table 1 Light - Accent 4"/>
    <w:basedOn w:val="71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 w:customStyle="1">
    <w:name w:val="List Table 1 Light - Accent 5"/>
    <w:basedOn w:val="71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 w:customStyle="1">
    <w:name w:val="List Table 1 Light - Accent 6"/>
    <w:basedOn w:val="71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"/>
    <w:basedOn w:val="719"/>
    <w:uiPriority w:val="9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 w:customStyle="1">
    <w:name w:val="List Table 2 - Accent 1"/>
    <w:basedOn w:val="719"/>
    <w:uiPriority w:val="99"/>
    <w:pPr>
      <w:pBdr/>
      <w:spacing/>
      <w:ind/>
    </w:pPr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 w:customStyle="1">
    <w:name w:val="List Table 2 - Accent 2"/>
    <w:basedOn w:val="719"/>
    <w:uiPriority w:val="99"/>
    <w:pPr>
      <w:pBdr/>
      <w:spacing/>
      <w:ind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 w:customStyle="1">
    <w:name w:val="List Table 2 - Accent 3"/>
    <w:basedOn w:val="719"/>
    <w:uiPriority w:val="99"/>
    <w:pPr>
      <w:pBdr/>
      <w:spacing/>
      <w:ind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 w:customStyle="1">
    <w:name w:val="List Table 2 - Accent 4"/>
    <w:basedOn w:val="719"/>
    <w:uiPriority w:val="99"/>
    <w:pPr>
      <w:pBdr/>
      <w:spacing/>
      <w:ind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 w:customStyle="1">
    <w:name w:val="List Table 2 - Accent 5"/>
    <w:basedOn w:val="719"/>
    <w:uiPriority w:val="99"/>
    <w:pPr>
      <w:pBdr/>
      <w:spacing/>
      <w:ind/>
    </w:pPr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 w:customStyle="1">
    <w:name w:val="List Table 2 - Accent 6"/>
    <w:basedOn w:val="719"/>
    <w:uiPriority w:val="99"/>
    <w:pPr>
      <w:pBdr/>
      <w:spacing/>
      <w:ind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"/>
    <w:basedOn w:val="719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 w:customStyle="1">
    <w:name w:val="List Table 3 - Accent 1"/>
    <w:basedOn w:val="719"/>
    <w:uiPriority w:val="99"/>
    <w:pPr>
      <w:pBdr/>
      <w:spacing/>
      <w:ind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 w:customStyle="1">
    <w:name w:val="List Table 3 - Accent 2"/>
    <w:basedOn w:val="719"/>
    <w:uiPriority w:val="99"/>
    <w:pPr>
      <w:pBdr/>
      <w:spacing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 w:customStyle="1">
    <w:name w:val="List Table 3 - Accent 3"/>
    <w:basedOn w:val="719"/>
    <w:uiPriority w:val="99"/>
    <w:pPr>
      <w:pBdr/>
      <w:spacing/>
      <w:ind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 w:customStyle="1">
    <w:name w:val="List Table 3 - Accent 4"/>
    <w:basedOn w:val="719"/>
    <w:uiPriority w:val="99"/>
    <w:pPr>
      <w:pBdr/>
      <w:spacing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 w:customStyle="1">
    <w:name w:val="List Table 3 - Accent 5"/>
    <w:basedOn w:val="719"/>
    <w:uiPriority w:val="99"/>
    <w:pPr>
      <w:pBdr/>
      <w:spacing/>
      <w:ind/>
    </w:pPr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4" w:space="0"/>
          <w:right w:val="single" w:color="9bc2e5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 w:customStyle="1">
    <w:name w:val="List Table 3 - Accent 6"/>
    <w:basedOn w:val="719"/>
    <w:uiPriority w:val="99"/>
    <w:pPr>
      <w:pBdr/>
      <w:spacing/>
      <w:ind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"/>
    <w:basedOn w:val="719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 w:customStyle="1">
    <w:name w:val="List Table 4 - Accent 1"/>
    <w:basedOn w:val="719"/>
    <w:uiPriority w:val="99"/>
    <w:pPr>
      <w:pBdr/>
      <w:spacing/>
      <w:ind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 w:customStyle="1">
    <w:name w:val="List Table 4 - Accent 2"/>
    <w:basedOn w:val="719"/>
    <w:uiPriority w:val="99"/>
    <w:pPr>
      <w:pBdr/>
      <w:spacing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 w:customStyle="1">
    <w:name w:val="List Table 4 - Accent 3"/>
    <w:basedOn w:val="719"/>
    <w:uiPriority w:val="99"/>
    <w:pPr>
      <w:pBdr/>
      <w:spacing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 w:customStyle="1">
    <w:name w:val="List Table 4 - Accent 4"/>
    <w:basedOn w:val="719"/>
    <w:uiPriority w:val="99"/>
    <w:pPr>
      <w:pBdr/>
      <w:spacing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 w:customStyle="1">
    <w:name w:val="List Table 4 - Accent 5"/>
    <w:basedOn w:val="719"/>
    <w:uiPriority w:val="99"/>
    <w:pPr>
      <w:pBdr/>
      <w:spacing/>
      <w:ind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 w:customStyle="1">
    <w:name w:val="List Table 4 - Accent 6"/>
    <w:basedOn w:val="719"/>
    <w:uiPriority w:val="99"/>
    <w:pPr>
      <w:pBdr/>
      <w:spacing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"/>
    <w:basedOn w:val="719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 w:customStyle="1">
    <w:name w:val="List Table 5 Dark - Accent 1"/>
    <w:basedOn w:val="719"/>
    <w:uiPriority w:val="99"/>
    <w:pPr>
      <w:pBdr/>
      <w:spacing/>
      <w:ind/>
    </w:pPr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  <w:shd w:val="clear" w:color="4472c4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4472c4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 w:customStyle="1">
    <w:name w:val="List Table 5 Dark - Accent 2"/>
    <w:basedOn w:val="719"/>
    <w:uiPriority w:val="99"/>
    <w:pPr>
      <w:pBdr/>
      <w:spacing/>
      <w:ind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 w:customStyle="1">
    <w:name w:val="List Table 5 Dark - Accent 3"/>
    <w:basedOn w:val="719"/>
    <w:uiPriority w:val="99"/>
    <w:pPr>
      <w:pBdr/>
      <w:spacing/>
      <w:ind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 w:customStyle="1">
    <w:name w:val="List Table 5 Dark - Accent 4"/>
    <w:basedOn w:val="719"/>
    <w:uiPriority w:val="99"/>
    <w:pPr>
      <w:pBdr/>
      <w:spacing/>
      <w:ind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 w:customStyle="1">
    <w:name w:val="List Table 5 Dark - Accent 5"/>
    <w:basedOn w:val="719"/>
    <w:uiPriority w:val="99"/>
    <w:pPr>
      <w:pBdr/>
      <w:spacing/>
      <w:ind/>
    </w:pPr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  <w:shd w:val="clear" w:color="9bc2e5" w:themeColor="accent5" w:themeTint="9A" w:fill="9bc2e5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9bc2e5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bc2e5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 w:customStyle="1">
    <w:name w:val="List Table 5 Dark - Accent 6"/>
    <w:basedOn w:val="719"/>
    <w:uiPriority w:val="99"/>
    <w:pPr>
      <w:pBdr/>
      <w:spacing/>
      <w:ind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"/>
    <w:basedOn w:val="719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 w:customStyle="1">
    <w:name w:val="List Table 6 Colorful - Accent 1"/>
    <w:basedOn w:val="719"/>
    <w:uiPriority w:val="99"/>
    <w:pPr>
      <w:pBdr/>
      <w:spacing/>
      <w:ind/>
    </w:p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1" w:sz="4" w:space="0"/>
        </w:tcBorders>
      </w:tcPr>
    </w:tblStylePr>
    <w:tblStylePr w:type="lastCol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 w:customStyle="1">
    <w:name w:val="List Table 6 Colorful - Accent 2"/>
    <w:basedOn w:val="719"/>
    <w:uiPriority w:val="99"/>
    <w:pPr>
      <w:pBdr/>
      <w:spacing/>
      <w:ind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 w:customStyle="1">
    <w:name w:val="List Table 6 Colorful - Accent 3"/>
    <w:basedOn w:val="719"/>
    <w:uiPriority w:val="99"/>
    <w:pPr>
      <w:pBdr/>
      <w:spacing/>
      <w:ind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 w:customStyle="1">
    <w:name w:val="List Table 6 Colorful - Accent 4"/>
    <w:basedOn w:val="719"/>
    <w:uiPriority w:val="99"/>
    <w:pPr>
      <w:pBdr/>
      <w:spacing/>
      <w:ind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 w:customStyle="1">
    <w:name w:val="List Table 6 Colorful - Accent 5"/>
    <w:basedOn w:val="719"/>
    <w:uiPriority w:val="99"/>
    <w:pPr>
      <w:pBdr/>
      <w:spacing/>
      <w:ind/>
    </w:pPr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bc2e5" w:themeColor="accent5" w:themeTint="9A" w:sz="4" w:space="0"/>
        </w:tcBorders>
      </w:tcPr>
    </w:tblStylePr>
    <w:tblStylePr w:type="lastCol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List Table 6 Colorful - Accent 6"/>
    <w:basedOn w:val="719"/>
    <w:uiPriority w:val="99"/>
    <w:pPr>
      <w:pBdr/>
      <w:spacing/>
      <w:ind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"/>
    <w:basedOn w:val="719"/>
    <w:uiPriority w:val="99"/>
    <w:pPr>
      <w:pBdr/>
      <w:spacing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List Table 7 Colorful - Accent 1"/>
    <w:basedOn w:val="719"/>
    <w:uiPriority w:val="99"/>
    <w:pPr>
      <w:pBdr/>
      <w:spacing/>
      <w:ind/>
    </w:pPr>
    <w:tblPr>
      <w:tblStyleRowBandSize w:val="1"/>
      <w:tblStyleColBandSize w:val="1"/>
      <w:tblBorders>
        <w:right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472c4" w:themeColor="accent1" w:sz="4" w:space="0"/>
        </w:tcBorders>
      </w:tcPr>
    </w:tblStylePr>
    <w:tblStylePr w:type="firstRow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472c4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4472c4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472c4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List Table 7 Colorful - Accent 2"/>
    <w:basedOn w:val="719"/>
    <w:uiPriority w:val="99"/>
    <w:pPr>
      <w:pBdr/>
      <w:spacing/>
      <w:ind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List Table 7 Colorful - Accent 3"/>
    <w:basedOn w:val="719"/>
    <w:uiPriority w:val="99"/>
    <w:pPr>
      <w:pBdr/>
      <w:spacing/>
      <w:ind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9c9c9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c9c9c9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List Table 7 Colorful - Accent 4"/>
    <w:basedOn w:val="719"/>
    <w:uiPriority w:val="99"/>
    <w:pPr>
      <w:pBdr/>
      <w:spacing/>
      <w:ind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List Table 7 Colorful - Accent 5"/>
    <w:basedOn w:val="719"/>
    <w:uiPriority w:val="99"/>
    <w:pPr>
      <w:pBdr/>
      <w:spacing/>
      <w:ind/>
    </w:pPr>
    <w:tblPr>
      <w:tblStyleRowBandSize w:val="1"/>
      <w:tblStyleColBandSize w:val="1"/>
      <w:tblBorders>
        <w:right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bc2e5" w:themeColor="accent5" w:themeTint="9A" w:sz="4" w:space="0"/>
        </w:tcBorders>
      </w:tcPr>
    </w:tblStylePr>
    <w:tblStylePr w:type="firstRow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bc2e5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bc2e5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c2e5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List Table 7 Colorful - Accent 6"/>
    <w:basedOn w:val="719"/>
    <w:uiPriority w:val="99"/>
    <w:pPr>
      <w:pBdr/>
      <w:spacing/>
      <w:ind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9d08e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9d08e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Lined - Accent"/>
    <w:basedOn w:val="71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Lined - Accent 1"/>
    <w:basedOn w:val="71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Lined - Accent 2"/>
    <w:basedOn w:val="71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Lined - Accent 3"/>
    <w:basedOn w:val="71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Lined - Accent 4"/>
    <w:basedOn w:val="71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Lined - Accent 5"/>
    <w:basedOn w:val="71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Lined - Accent 6"/>
    <w:basedOn w:val="71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Bordered &amp; Lined - Accent"/>
    <w:basedOn w:val="71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Bordered &amp; Lined - Accent 1"/>
    <w:basedOn w:val="71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54175" w:themeColor="accent1" w:themeShade="95" w:sz="4" w:space="0"/>
        <w:left w:val="single" w:color="254175" w:themeColor="accent1" w:themeShade="95" w:sz="4" w:space="0"/>
        <w:bottom w:val="single" w:color="254175" w:themeColor="accent1" w:themeShade="95" w:sz="4" w:space="0"/>
        <w:right w:val="single" w:color="254175" w:themeColor="accent1" w:themeShade="95" w:sz="4" w:space="0"/>
        <w:insideH w:val="single" w:color="254175" w:themeColor="accent1" w:themeShade="95" w:sz="4" w:space="0"/>
        <w:insideV w:val="single" w:color="254175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Bordered &amp; Lined - Accent 2"/>
    <w:basedOn w:val="71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Bordered &amp; Lined - Accent 3"/>
    <w:basedOn w:val="71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Bordered &amp; Lined - Accent 4"/>
    <w:basedOn w:val="71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Bordered &amp; Lined - Accent 5"/>
    <w:basedOn w:val="71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45a8d" w:themeColor="accent5" w:themeShade="95" w:sz="4" w:space="0"/>
        <w:left w:val="single" w:color="245a8d" w:themeColor="accent5" w:themeShade="95" w:sz="4" w:space="0"/>
        <w:bottom w:val="single" w:color="245a8d" w:themeColor="accent5" w:themeShade="95" w:sz="4" w:space="0"/>
        <w:right w:val="single" w:color="245a8d" w:themeColor="accent5" w:themeShade="95" w:sz="4" w:space="0"/>
        <w:insideH w:val="single" w:color="245a8d" w:themeColor="accent5" w:themeShade="95" w:sz="4" w:space="0"/>
        <w:insideV w:val="single" w:color="245a8d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Bordered &amp; Lined - Accent 6"/>
    <w:basedOn w:val="71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Bordered"/>
    <w:basedOn w:val="719"/>
    <w:uiPriority w:val="99"/>
    <w:pPr>
      <w:pBdr/>
      <w:spacing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Bordered - Accent 1"/>
    <w:basedOn w:val="719"/>
    <w:uiPriority w:val="99"/>
    <w:pPr>
      <w:pBdr/>
      <w:spacing/>
      <w:ind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472c4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Bordered - Accent 2"/>
    <w:basedOn w:val="719"/>
    <w:uiPriority w:val="99"/>
    <w:pPr>
      <w:pBdr/>
      <w:spacing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Bordered - Accent 3"/>
    <w:basedOn w:val="719"/>
    <w:uiPriority w:val="99"/>
    <w:pPr>
      <w:pBdr/>
      <w:spacing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Bordered - Accent 4"/>
    <w:basedOn w:val="719"/>
    <w:uiPriority w:val="99"/>
    <w:pPr>
      <w:pBdr/>
      <w:spacing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Bordered - Accent 5"/>
    <w:basedOn w:val="719"/>
    <w:uiPriority w:val="99"/>
    <w:pPr>
      <w:pBdr/>
      <w:spacing/>
      <w:ind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bc2e5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Bordered - Accent 6"/>
    <w:basedOn w:val="719"/>
    <w:uiPriority w:val="99"/>
    <w:pPr>
      <w:pBdr/>
      <w:spacing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46" w:customStyle="1">
    <w:name w:val="Заголовок 1 Знак"/>
    <w:basedOn w:val="718"/>
    <w:link w:val="709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40"/>
      <w:szCs w:val="40"/>
    </w:rPr>
  </w:style>
  <w:style w:type="character" w:styleId="847" w:customStyle="1">
    <w:name w:val="Заголовок 2 Знак"/>
    <w:basedOn w:val="718"/>
    <w:link w:val="710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32"/>
      <w:szCs w:val="32"/>
    </w:rPr>
  </w:style>
  <w:style w:type="character" w:styleId="848" w:customStyle="1">
    <w:name w:val="Heading 3 Char"/>
    <w:basedOn w:val="718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28"/>
      <w:szCs w:val="28"/>
    </w:rPr>
  </w:style>
  <w:style w:type="character" w:styleId="849" w:customStyle="1">
    <w:name w:val="Заголовок 4 Знак"/>
    <w:basedOn w:val="718"/>
    <w:link w:val="712"/>
    <w:uiPriority w:val="9"/>
    <w:pPr>
      <w:pBdr/>
      <w:spacing/>
      <w:ind/>
    </w:pPr>
    <w:rPr>
      <w:rFonts w:ascii="Arial" w:hAnsi="Arial" w:eastAsia="Arial" w:cs="Arial"/>
      <w:i/>
      <w:iCs/>
      <w:color w:val="2f5496" w:themeColor="accent1" w:themeShade="BF"/>
    </w:rPr>
  </w:style>
  <w:style w:type="character" w:styleId="850" w:customStyle="1">
    <w:name w:val="Заголовок 5 Знак"/>
    <w:basedOn w:val="718"/>
    <w:link w:val="713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</w:rPr>
  </w:style>
  <w:style w:type="character" w:styleId="851" w:customStyle="1">
    <w:name w:val="Заголовок 6 Знак"/>
    <w:basedOn w:val="718"/>
    <w:link w:val="71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2" w:customStyle="1">
    <w:name w:val="Заголовок 7 Знак"/>
    <w:basedOn w:val="718"/>
    <w:link w:val="71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3" w:customStyle="1">
    <w:name w:val="Заголовок 8 Знак"/>
    <w:basedOn w:val="718"/>
    <w:link w:val="71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4" w:customStyle="1">
    <w:name w:val="Заголовок 9 Знак"/>
    <w:basedOn w:val="718"/>
    <w:link w:val="71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5">
    <w:name w:val="Title"/>
    <w:basedOn w:val="708"/>
    <w:next w:val="708"/>
    <w:link w:val="856"/>
    <w:uiPriority w:val="10"/>
    <w:qFormat/>
    <w:pPr>
      <w:pBdr/>
      <w:spacing w:after="80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6" w:customStyle="1">
    <w:name w:val="Заголовок Знак"/>
    <w:basedOn w:val="718"/>
    <w:link w:val="85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7">
    <w:name w:val="Subtitle"/>
    <w:basedOn w:val="708"/>
    <w:next w:val="708"/>
    <w:link w:val="85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8" w:customStyle="1">
    <w:name w:val="Подзаголовок Знак"/>
    <w:basedOn w:val="718"/>
    <w:link w:val="85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9">
    <w:name w:val="Quote"/>
    <w:basedOn w:val="708"/>
    <w:next w:val="708"/>
    <w:link w:val="86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0" w:customStyle="1">
    <w:name w:val="Цитата 2 Знак"/>
    <w:basedOn w:val="718"/>
    <w:link w:val="85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Intense Emphasis"/>
    <w:basedOn w:val="718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862">
    <w:name w:val="Intense Quote"/>
    <w:basedOn w:val="708"/>
    <w:next w:val="708"/>
    <w:link w:val="863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863" w:customStyle="1">
    <w:name w:val="Выделенная цитата Знак"/>
    <w:basedOn w:val="718"/>
    <w:link w:val="862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864">
    <w:name w:val="Intense Reference"/>
    <w:basedOn w:val="718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paragraph" w:styleId="865">
    <w:name w:val="No Spacing"/>
    <w:basedOn w:val="708"/>
    <w:uiPriority w:val="1"/>
    <w:qFormat/>
    <w:pPr>
      <w:pBdr/>
      <w:spacing/>
      <w:ind/>
    </w:pPr>
  </w:style>
  <w:style w:type="character" w:styleId="866">
    <w:name w:val="Subtle Emphasis"/>
    <w:basedOn w:val="71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7">
    <w:name w:val="Emphasis"/>
    <w:basedOn w:val="718"/>
    <w:uiPriority w:val="20"/>
    <w:qFormat/>
    <w:pPr>
      <w:pBdr/>
      <w:spacing/>
      <w:ind/>
    </w:pPr>
    <w:rPr>
      <w:i/>
      <w:iCs/>
    </w:rPr>
  </w:style>
  <w:style w:type="character" w:styleId="868">
    <w:name w:val="Strong"/>
    <w:basedOn w:val="718"/>
    <w:uiPriority w:val="22"/>
    <w:qFormat/>
    <w:pPr>
      <w:pBdr/>
      <w:spacing/>
      <w:ind/>
    </w:pPr>
    <w:rPr>
      <w:b/>
      <w:bCs/>
    </w:rPr>
  </w:style>
  <w:style w:type="character" w:styleId="869">
    <w:name w:val="Subtle Reference"/>
    <w:basedOn w:val="71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0">
    <w:name w:val="Book Title"/>
    <w:basedOn w:val="71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71" w:customStyle="1">
    <w:name w:val="Header Char"/>
    <w:basedOn w:val="718"/>
    <w:uiPriority w:val="99"/>
    <w:pPr>
      <w:pBdr/>
      <w:spacing/>
      <w:ind/>
    </w:pPr>
  </w:style>
  <w:style w:type="character" w:styleId="872" w:customStyle="1">
    <w:name w:val="Footer Char"/>
    <w:basedOn w:val="718"/>
    <w:uiPriority w:val="99"/>
    <w:pPr>
      <w:pBdr/>
      <w:spacing/>
      <w:ind/>
    </w:pPr>
  </w:style>
  <w:style w:type="paragraph" w:styleId="873">
    <w:name w:val="Caption"/>
    <w:basedOn w:val="708"/>
    <w:next w:val="708"/>
    <w:uiPriority w:val="35"/>
    <w:unhideWhenUsed/>
    <w:qFormat/>
    <w:pPr>
      <w:pBdr/>
      <w:spacing w:after="200"/>
      <w:ind/>
    </w:pPr>
    <w:rPr>
      <w:i/>
      <w:iCs/>
      <w:color w:val="44546a" w:themeColor="text2"/>
      <w:sz w:val="18"/>
      <w:szCs w:val="18"/>
    </w:rPr>
  </w:style>
  <w:style w:type="character" w:styleId="874" w:customStyle="1">
    <w:name w:val="Footnote Text Char"/>
    <w:basedOn w:val="718"/>
    <w:uiPriority w:val="99"/>
    <w:semiHidden/>
    <w:pPr>
      <w:pBdr/>
      <w:spacing/>
      <w:ind/>
    </w:pPr>
    <w:rPr>
      <w:sz w:val="20"/>
      <w:szCs w:val="20"/>
    </w:rPr>
  </w:style>
  <w:style w:type="paragraph" w:styleId="875">
    <w:name w:val="endnote text"/>
    <w:basedOn w:val="708"/>
    <w:link w:val="87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876" w:customStyle="1">
    <w:name w:val="Текст концевой сноски Знак"/>
    <w:basedOn w:val="718"/>
    <w:link w:val="875"/>
    <w:uiPriority w:val="99"/>
    <w:semiHidden/>
    <w:pPr>
      <w:pBdr/>
      <w:spacing/>
      <w:ind/>
    </w:pPr>
    <w:rPr>
      <w:sz w:val="20"/>
      <w:szCs w:val="20"/>
    </w:rPr>
  </w:style>
  <w:style w:type="character" w:styleId="877">
    <w:name w:val="endnote reference"/>
    <w:basedOn w:val="718"/>
    <w:uiPriority w:val="99"/>
    <w:semiHidden/>
    <w:unhideWhenUsed/>
    <w:pPr>
      <w:pBdr/>
      <w:spacing/>
      <w:ind/>
    </w:pPr>
    <w:rPr>
      <w:vertAlign w:val="superscript"/>
    </w:rPr>
  </w:style>
  <w:style w:type="paragraph" w:styleId="878">
    <w:name w:val="toc 1"/>
    <w:basedOn w:val="708"/>
    <w:next w:val="708"/>
    <w:uiPriority w:val="39"/>
    <w:unhideWhenUsed/>
    <w:pPr>
      <w:pBdr/>
      <w:spacing w:after="100"/>
      <w:ind/>
    </w:pPr>
  </w:style>
  <w:style w:type="paragraph" w:styleId="879">
    <w:name w:val="toc 2"/>
    <w:basedOn w:val="708"/>
    <w:next w:val="708"/>
    <w:uiPriority w:val="39"/>
    <w:unhideWhenUsed/>
    <w:pPr>
      <w:pBdr/>
      <w:spacing w:after="100"/>
      <w:ind w:left="220"/>
    </w:pPr>
  </w:style>
  <w:style w:type="paragraph" w:styleId="880">
    <w:name w:val="toc 3"/>
    <w:basedOn w:val="708"/>
    <w:next w:val="708"/>
    <w:uiPriority w:val="39"/>
    <w:unhideWhenUsed/>
    <w:pPr>
      <w:pBdr/>
      <w:spacing w:after="100"/>
      <w:ind w:left="440"/>
    </w:pPr>
  </w:style>
  <w:style w:type="paragraph" w:styleId="881">
    <w:name w:val="toc 4"/>
    <w:basedOn w:val="708"/>
    <w:next w:val="708"/>
    <w:uiPriority w:val="39"/>
    <w:unhideWhenUsed/>
    <w:pPr>
      <w:pBdr/>
      <w:spacing w:after="100"/>
      <w:ind w:left="660"/>
    </w:pPr>
  </w:style>
  <w:style w:type="paragraph" w:styleId="882">
    <w:name w:val="toc 5"/>
    <w:basedOn w:val="708"/>
    <w:next w:val="708"/>
    <w:uiPriority w:val="39"/>
    <w:unhideWhenUsed/>
    <w:pPr>
      <w:pBdr/>
      <w:spacing w:after="100"/>
      <w:ind w:left="880"/>
    </w:pPr>
  </w:style>
  <w:style w:type="paragraph" w:styleId="883">
    <w:name w:val="toc 6"/>
    <w:basedOn w:val="708"/>
    <w:next w:val="708"/>
    <w:uiPriority w:val="39"/>
    <w:unhideWhenUsed/>
    <w:pPr>
      <w:pBdr/>
      <w:spacing w:after="100"/>
      <w:ind w:left="1100"/>
    </w:pPr>
  </w:style>
  <w:style w:type="paragraph" w:styleId="884">
    <w:name w:val="toc 7"/>
    <w:basedOn w:val="708"/>
    <w:next w:val="708"/>
    <w:uiPriority w:val="39"/>
    <w:unhideWhenUsed/>
    <w:pPr>
      <w:pBdr/>
      <w:spacing w:after="100"/>
      <w:ind w:left="1320"/>
    </w:pPr>
  </w:style>
  <w:style w:type="paragraph" w:styleId="885">
    <w:name w:val="toc 8"/>
    <w:basedOn w:val="708"/>
    <w:next w:val="708"/>
    <w:uiPriority w:val="39"/>
    <w:unhideWhenUsed/>
    <w:pPr>
      <w:pBdr/>
      <w:spacing w:after="100"/>
      <w:ind w:left="1540"/>
    </w:pPr>
  </w:style>
  <w:style w:type="paragraph" w:styleId="886">
    <w:name w:val="toc 9"/>
    <w:basedOn w:val="708"/>
    <w:next w:val="708"/>
    <w:uiPriority w:val="39"/>
    <w:unhideWhenUsed/>
    <w:pPr>
      <w:pBdr/>
      <w:spacing w:after="100"/>
      <w:ind w:left="1760"/>
    </w:pPr>
  </w:style>
  <w:style w:type="character" w:styleId="887">
    <w:name w:val="Placeholder Text"/>
    <w:basedOn w:val="718"/>
    <w:uiPriority w:val="99"/>
    <w:semiHidden/>
    <w:pPr>
      <w:pBdr/>
      <w:spacing/>
      <w:ind/>
    </w:pPr>
    <w:rPr>
      <w:color w:val="666666"/>
    </w:rPr>
  </w:style>
  <w:style w:type="paragraph" w:styleId="888">
    <w:name w:val="TOC Heading"/>
    <w:uiPriority w:val="39"/>
    <w:unhideWhenUsed/>
    <w:pPr>
      <w:pBdr/>
      <w:spacing/>
      <w:ind/>
    </w:pPr>
  </w:style>
  <w:style w:type="paragraph" w:styleId="889">
    <w:name w:val="table of figures"/>
    <w:basedOn w:val="708"/>
    <w:next w:val="708"/>
    <w:uiPriority w:val="99"/>
    <w:unhideWhenUsed/>
    <w:pPr>
      <w:pBdr/>
      <w:spacing/>
      <w:ind/>
    </w:pPr>
  </w:style>
  <w:style w:type="paragraph" w:styleId="890">
    <w:name w:val="Balloon Text"/>
    <w:basedOn w:val="708"/>
    <w:link w:val="891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891" w:customStyle="1">
    <w:name w:val="Текст выноски Знак"/>
    <w:link w:val="890"/>
    <w:uiPriority w:val="99"/>
    <w:semiHidden/>
    <w:pPr>
      <w:pBdr/>
      <w:spacing/>
      <w:ind/>
    </w:pPr>
    <w:rPr>
      <w:rFonts w:ascii="Tahoma" w:hAnsi="Tahoma" w:eastAsia="Times New Roman" w:cs="Tahoma"/>
      <w:sz w:val="16"/>
      <w:szCs w:val="16"/>
      <w:lang w:eastAsia="ru-RU"/>
    </w:rPr>
  </w:style>
  <w:style w:type="table" w:styleId="892">
    <w:name w:val="Table Grid"/>
    <w:basedOn w:val="719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3" w:customStyle="1">
    <w:name w:val="Default"/>
    <w:link w:val="897"/>
    <w:pPr>
      <w:pBdr/>
      <w:spacing/>
      <w:ind/>
    </w:pPr>
    <w:rPr>
      <w:rFonts w:ascii="Times New Roman" w:hAnsi="Times New Roman" w:eastAsia="Times New Roman"/>
      <w:color w:val="000000"/>
      <w:sz w:val="24"/>
      <w:szCs w:val="24"/>
    </w:rPr>
  </w:style>
  <w:style w:type="paragraph" w:styleId="894">
    <w:name w:val="List Paragraph"/>
    <w:basedOn w:val="708"/>
    <w:uiPriority w:val="34"/>
    <w:qFormat/>
    <w:pPr>
      <w:pBdr/>
      <w:spacing w:after="200" w:line="276" w:lineRule="auto"/>
      <w:ind w:left="720"/>
      <w:contextualSpacing w:val="true"/>
    </w:pPr>
    <w:rPr>
      <w:rFonts w:ascii="Calibri" w:hAnsi="Calibri"/>
      <w:sz w:val="22"/>
      <w:szCs w:val="22"/>
    </w:rPr>
  </w:style>
  <w:style w:type="character" w:styleId="895">
    <w:name w:val="Hyperlink"/>
    <w:uiPriority w:val="99"/>
    <w:unhideWhenUsed/>
    <w:pPr>
      <w:pBdr/>
      <w:spacing/>
      <w:ind/>
    </w:pPr>
    <w:rPr>
      <w:color w:val="0000ff"/>
      <w:u w:val="single"/>
    </w:rPr>
  </w:style>
  <w:style w:type="character" w:styleId="896" w:customStyle="1">
    <w:name w:val="Заголовок 3 Знак"/>
    <w:link w:val="711"/>
    <w:uiPriority w:val="9"/>
    <w:pPr>
      <w:pBdr/>
      <w:spacing/>
      <w:ind/>
    </w:pPr>
    <w:rPr>
      <w:rFonts w:ascii="Times New Roman Полужирный" w:hAnsi="Times New Roman Полужирный" w:eastAsia="Times New Roman" w:cs="Times New Roman"/>
      <w:b/>
      <w:bCs/>
      <w:szCs w:val="24"/>
      <w:lang w:eastAsia="ru-RU"/>
    </w:rPr>
  </w:style>
  <w:style w:type="character" w:styleId="897" w:customStyle="1">
    <w:name w:val="Default Знак"/>
    <w:link w:val="893"/>
    <w:pPr>
      <w:pBdr/>
      <w:spacing/>
      <w:ind/>
    </w:pPr>
    <w:rPr>
      <w:rFonts w:ascii="Times New Roman" w:hAnsi="Times New Roman" w:eastAsia="Times New Roman"/>
      <w:color w:val="000000"/>
      <w:sz w:val="24"/>
      <w:szCs w:val="24"/>
      <w:lang w:eastAsia="ru-RU" w:bidi="ar-SA"/>
    </w:rPr>
  </w:style>
  <w:style w:type="character" w:styleId="898">
    <w:name w:val="FollowedHyperlink"/>
    <w:uiPriority w:val="99"/>
    <w:semiHidden/>
    <w:unhideWhenUsed/>
    <w:pPr>
      <w:pBdr/>
      <w:spacing/>
      <w:ind/>
    </w:pPr>
    <w:rPr>
      <w:color w:val="800080"/>
      <w:u w:val="single"/>
    </w:rPr>
  </w:style>
  <w:style w:type="paragraph" w:styleId="899">
    <w:name w:val="Header"/>
    <w:basedOn w:val="708"/>
    <w:link w:val="900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00" w:customStyle="1">
    <w:name w:val="Верхний колонтитул Знак"/>
    <w:link w:val="899"/>
    <w:uiPriority w:val="99"/>
    <w:pPr>
      <w:pBdr/>
      <w:spacing/>
      <w:ind/>
    </w:pPr>
    <w:rPr>
      <w:rFonts w:ascii="Times New Roman" w:hAnsi="Times New Roman" w:eastAsia="Times New Roman"/>
      <w:sz w:val="24"/>
      <w:szCs w:val="24"/>
    </w:rPr>
  </w:style>
  <w:style w:type="paragraph" w:styleId="901">
    <w:name w:val="Footer"/>
    <w:basedOn w:val="708"/>
    <w:link w:val="902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02" w:customStyle="1">
    <w:name w:val="Нижний колонтитул Знак"/>
    <w:link w:val="901"/>
    <w:uiPriority w:val="99"/>
    <w:pPr>
      <w:pBdr/>
      <w:spacing/>
      <w:ind/>
    </w:pPr>
    <w:rPr>
      <w:rFonts w:ascii="Times New Roman" w:hAnsi="Times New Roman" w:eastAsia="Times New Roman"/>
      <w:sz w:val="24"/>
      <w:szCs w:val="24"/>
    </w:rPr>
  </w:style>
  <w:style w:type="character" w:styleId="903">
    <w:name w:val="Unresolved Mention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904">
    <w:name w:val="footnote text"/>
    <w:basedOn w:val="708"/>
    <w:link w:val="905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05" w:customStyle="1">
    <w:name w:val="Текст сноски Знак"/>
    <w:link w:val="904"/>
    <w:uiPriority w:val="99"/>
    <w:semiHidden/>
    <w:pPr>
      <w:pBdr/>
      <w:spacing/>
      <w:ind/>
    </w:pPr>
    <w:rPr>
      <w:rFonts w:ascii="Times New Roman" w:hAnsi="Times New Roman" w:eastAsia="Times New Roman"/>
    </w:rPr>
  </w:style>
  <w:style w:type="character" w:styleId="906">
    <w:name w:val="footnote reference"/>
    <w:uiPriority w:val="99"/>
    <w:semiHidden/>
    <w:unhideWhenUsed/>
    <w:pPr>
      <w:pBdr/>
      <w:spacing/>
      <w:ind/>
    </w:pPr>
    <w:rPr>
      <w:vertAlign w:val="superscript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6CEBFD-903E-4EE7-BAA2-4F4119907A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>DG Win&amp;Soft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Шульгин В.А.</dc:creator>
  <cp:keywords/>
  <cp:revision>6</cp:revision>
  <dcterms:created xsi:type="dcterms:W3CDTF">2026-03-24T12:18:00Z</dcterms:created>
  <dcterms:modified xsi:type="dcterms:W3CDTF">2026-04-19T18:45:25Z</dcterms:modified>
</cp:coreProperties>
</file>