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1443D11D">
      <w:pPr>
        <w:pStyle w:val="1_36"/>
        <w:pBdr/>
        <w:spacing/>
        <w:ind w:left="4034"/>
        <w:rPr>
          <w:sz w:val="20"/>
        </w:rPr>
      </w:pPr>
      <w:r>
        <w:rPr>
          <w:sz w:val="20"/>
        </w:rPr>
      </w:r>
      <w:r>
        <w:rPr>
          <w:sz w:val="20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942296" cy="1052607"/>
                <wp:effectExtent l="0" t="0" r="0" b="0"/>
                <wp:docPr id="1" name="Image 1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23091978" name="Image 1"/>
                        <pic:cNvPicPr/>
                        <pic:nvPr/>
                      </pic:nvPicPr>
                      <pic:blipFill rotWithShape="1">
                        <a:blip r:embed="rId10"/>
                        <a:stretch/>
                      </pic:blipFill>
                      <pic:spPr bwMode="auto">
                        <a:xfrm>
                          <a:off x="0" y="0"/>
                          <a:ext cx="942295" cy="105260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74.20pt;height:82.88pt;mso-wrap-distance-left:0.00pt;mso-wrap-distance-top:0.00pt;mso-wrap-distance-right:0.00pt;mso-wrap-distance-bottom:0.00pt;z-index:1;" stroked="false">
                <v:imagedata r:id="rId10" o:title=""/>
                <o:lock v:ext="edit" rotation="t"/>
              </v:shape>
            </w:pict>
          </mc:Fallback>
        </mc:AlternateContent>
      </w:r>
      <w:r>
        <w:rPr>
          <w:sz w:val="20"/>
        </w:rPr>
      </w:r>
      <w:r>
        <w:rPr>
          <w:sz w:val="20"/>
        </w:rPr>
      </w:r>
      <w:r>
        <w:rPr>
          <w:sz w:val="20"/>
        </w:rPr>
      </w:r>
    </w:p>
    <w:p w14:paraId="09B69638">
      <w:pPr>
        <w:pStyle w:val="1_36"/>
        <w:pBdr/>
        <w:spacing w:before="36"/>
        <w:ind w:right="302" w:left="20"/>
        <w:jc w:val="center"/>
        <w:rPr/>
      </w:pPr>
      <w:r>
        <w:t xml:space="preserve">МИНОБРНАУКИ</w:t>
      </w:r>
      <w:r>
        <w:rPr>
          <w:spacing w:val="-17"/>
        </w:rPr>
        <w:t xml:space="preserve"> </w:t>
      </w:r>
      <w:r>
        <w:rPr>
          <w:spacing w:val="-2"/>
        </w:rPr>
        <w:t xml:space="preserve">РОССИИ</w:t>
      </w:r>
      <w:r/>
      <w:r/>
    </w:p>
    <w:p w14:paraId="25CC8182">
      <w:pPr>
        <w:pStyle w:val="1_36"/>
        <w:pBdr/>
        <w:spacing w:before="48" w:line="259" w:lineRule="auto"/>
        <w:ind w:right="302" w:left="24"/>
        <w:jc w:val="center"/>
        <w:rPr/>
      </w:pPr>
      <w:r>
        <w:t xml:space="preserve">Федеральное</w:t>
      </w:r>
      <w:r>
        <w:rPr>
          <w:spacing w:val="-9"/>
        </w:rPr>
        <w:t xml:space="preserve"> </w:t>
      </w:r>
      <w:r>
        <w:t xml:space="preserve">государственное</w:t>
      </w:r>
      <w:r>
        <w:rPr>
          <w:spacing w:val="-9"/>
        </w:rPr>
        <w:t xml:space="preserve"> </w:t>
      </w:r>
      <w:r>
        <w:t xml:space="preserve">бюджетное</w:t>
      </w:r>
      <w:r>
        <w:rPr>
          <w:spacing w:val="-9"/>
        </w:rPr>
        <w:t xml:space="preserve"> </w:t>
      </w:r>
      <w:r>
        <w:t xml:space="preserve">образовательное</w:t>
      </w:r>
      <w:r>
        <w:rPr>
          <w:spacing w:val="-11"/>
        </w:rPr>
        <w:t xml:space="preserve"> </w:t>
      </w:r>
      <w:r>
        <w:t xml:space="preserve">учреждение высшего образования</w:t>
      </w:r>
      <w:r/>
      <w:r/>
    </w:p>
    <w:p w14:paraId="441AC4D0">
      <w:pPr>
        <w:pStyle w:val="1_36"/>
        <w:pBdr/>
        <w:spacing w:before="65"/>
        <w:ind w:right="302" w:left="19"/>
        <w:jc w:val="center"/>
        <w:rPr/>
      </w:pPr>
      <w:r>
        <w:t xml:space="preserve">«МИРЭА</w:t>
      </w:r>
      <w:r>
        <w:rPr>
          <w:spacing w:val="-10"/>
        </w:rPr>
        <w:t xml:space="preserve"> </w:t>
      </w:r>
      <w:r>
        <w:t xml:space="preserve">–</w:t>
      </w:r>
      <w:r>
        <w:rPr>
          <w:spacing w:val="-8"/>
        </w:rPr>
        <w:t xml:space="preserve"> </w:t>
      </w:r>
      <w:r>
        <w:t xml:space="preserve">Российский</w:t>
      </w:r>
      <w:r>
        <w:rPr>
          <w:spacing w:val="-8"/>
        </w:rPr>
        <w:t xml:space="preserve"> </w:t>
      </w:r>
      <w:r>
        <w:t xml:space="preserve">технологический</w:t>
      </w:r>
      <w:r>
        <w:rPr>
          <w:spacing w:val="-7"/>
        </w:rPr>
        <w:t xml:space="preserve"> </w:t>
      </w:r>
      <w:r>
        <w:rPr>
          <w:spacing w:val="-2"/>
        </w:rPr>
        <w:t xml:space="preserve">университет»</w:t>
      </w:r>
      <w:r/>
      <w:r/>
    </w:p>
    <w:p w14:paraId="201C1883">
      <w:pPr>
        <w:pStyle w:val="1_36"/>
        <w:pBdr/>
        <w:spacing w:before="289"/>
        <w:ind/>
        <w:rPr/>
      </w:pPr>
      <w:r/>
      <w:r/>
      <w:r/>
    </w:p>
    <w:p w14:paraId="7A051B3C">
      <w:pPr>
        <w:pStyle w:val="1_36"/>
        <w:pBdr/>
        <w:spacing w:before="1"/>
        <w:ind w:right="302" w:left="26"/>
        <w:jc w:val="center"/>
        <w:rPr/>
      </w:pPr>
      <w:r>
        <w:t xml:space="preserve">РТУ</w:t>
      </w:r>
      <w:r>
        <w:rPr>
          <w:spacing w:val="-2"/>
        </w:rPr>
        <w:t xml:space="preserve"> МИРЭА</w:t>
      </w:r>
      <w:r/>
      <w:r/>
    </w:p>
    <w:p w14:paraId="3C05BECC">
      <w:pPr>
        <w:pStyle w:val="1_36"/>
        <w:pBdr/>
        <w:spacing w:before="266"/>
        <w:ind w:right="302"/>
        <w:jc w:val="center"/>
        <w:rPr/>
      </w:pPr>
      <w:r>
        <w:t xml:space="preserve">Институт</w:t>
      </w:r>
      <w:r>
        <w:rPr>
          <w:spacing w:val="-12"/>
        </w:rPr>
        <w:t xml:space="preserve"> </w:t>
      </w:r>
      <w:r>
        <w:t xml:space="preserve">Кибербезопасности</w:t>
      </w:r>
      <w:r>
        <w:rPr>
          <w:spacing w:val="-8"/>
        </w:rPr>
        <w:t xml:space="preserve"> </w:t>
      </w:r>
      <w:r>
        <w:t xml:space="preserve">и</w:t>
      </w:r>
      <w:r>
        <w:rPr>
          <w:spacing w:val="-8"/>
        </w:rPr>
        <w:t xml:space="preserve"> </w:t>
      </w:r>
      <w:r>
        <w:t xml:space="preserve">цифровых</w:t>
      </w:r>
      <w:r>
        <w:rPr>
          <w:spacing w:val="-7"/>
        </w:rPr>
        <w:t xml:space="preserve"> </w:t>
      </w:r>
      <w:r>
        <w:rPr>
          <w:spacing w:val="-2"/>
        </w:rPr>
        <w:t xml:space="preserve">технологий</w:t>
      </w:r>
      <w:r/>
      <w:r/>
    </w:p>
    <w:p w14:paraId="3C3B63F4">
      <w:pPr>
        <w:pStyle w:val="1_36"/>
        <w:pBdr/>
        <w:spacing w:before="266"/>
        <w:ind w:right="302" w:left="9"/>
        <w:jc w:val="center"/>
        <w:rPr/>
      </w:pPr>
      <w:r>
        <w:t xml:space="preserve">Кафедра</w:t>
      </w:r>
      <w:r>
        <w:rPr>
          <w:spacing w:val="-9"/>
        </w:rPr>
        <w:t xml:space="preserve"> </w:t>
      </w:r>
      <w:r>
        <w:t xml:space="preserve">КБ-4</w:t>
      </w:r>
      <w:r>
        <w:rPr>
          <w:spacing w:val="-7"/>
        </w:rPr>
        <w:t xml:space="preserve"> </w:t>
      </w:r>
      <w:r>
        <w:t xml:space="preserve">«Интеллектуальные</w:t>
      </w:r>
      <w:r>
        <w:rPr>
          <w:spacing w:val="-8"/>
        </w:rPr>
        <w:t xml:space="preserve"> </w:t>
      </w:r>
      <w:r>
        <w:t xml:space="preserve">системы</w:t>
      </w:r>
      <w:r>
        <w:rPr>
          <w:spacing w:val="-9"/>
        </w:rPr>
        <w:t xml:space="preserve"> </w:t>
      </w:r>
      <w:r>
        <w:t xml:space="preserve">информационной</w:t>
      </w:r>
      <w:r>
        <w:rPr>
          <w:spacing w:val="-10"/>
        </w:rPr>
        <w:t xml:space="preserve"> </w:t>
      </w:r>
      <w:r>
        <w:rPr>
          <w:spacing w:val="-2"/>
        </w:rPr>
        <w:t xml:space="preserve">безопасности»</w:t>
      </w:r>
      <w:r/>
      <w:r/>
    </w:p>
    <w:p w14:paraId="0FF1CE1F">
      <w:pPr>
        <w:pStyle w:val="1_36"/>
        <w:pBdr/>
        <w:spacing/>
        <w:ind/>
        <w:rPr/>
      </w:pPr>
      <w:r/>
      <w:r/>
      <w:r/>
    </w:p>
    <w:p w14:paraId="672830A9">
      <w:pPr>
        <w:pStyle w:val="1_36"/>
        <w:pBdr/>
        <w:spacing/>
        <w:ind/>
        <w:rPr/>
      </w:pPr>
      <w:r/>
      <w:r/>
      <w:r/>
    </w:p>
    <w:p w14:paraId="65797D4D">
      <w:pPr>
        <w:pStyle w:val="1_36"/>
        <w:pBdr/>
        <w:spacing/>
        <w:ind/>
        <w:rPr/>
      </w:pPr>
      <w:r/>
      <w:r/>
      <w:r/>
    </w:p>
    <w:p w14:paraId="724E7E67">
      <w:pPr>
        <w:pStyle w:val="1_36"/>
        <w:pBdr/>
        <w:spacing/>
        <w:ind/>
        <w:rPr/>
      </w:pPr>
      <w:r/>
      <w:r/>
      <w:r/>
    </w:p>
    <w:p w14:paraId="6387E3E9">
      <w:pPr>
        <w:pStyle w:val="1_36"/>
        <w:pBdr/>
        <w:spacing w:before="225"/>
        <w:ind/>
        <w:rPr/>
      </w:pPr>
      <w:r/>
      <w:r/>
      <w:r/>
    </w:p>
    <w:p w14:paraId="4B4D5EB5">
      <w:pPr>
        <w:pStyle w:val="1_36"/>
        <w:pBdr/>
        <w:spacing w:before="1"/>
        <w:ind w:right="302" w:left="26"/>
        <w:jc w:val="center"/>
        <w:rPr/>
      </w:pPr>
      <w:r>
        <w:t xml:space="preserve">Практические</w:t>
      </w:r>
      <w:r>
        <w:rPr>
          <w:spacing w:val="-6"/>
        </w:rPr>
        <w:t xml:space="preserve"> </w:t>
      </w:r>
      <w:r>
        <w:t xml:space="preserve">задания</w:t>
      </w:r>
      <w:r>
        <w:rPr>
          <w:spacing w:val="-6"/>
        </w:rPr>
        <w:t xml:space="preserve"> </w:t>
      </w:r>
      <w:r>
        <w:t xml:space="preserve">№</w:t>
      </w:r>
      <w:r>
        <w:rPr>
          <w:spacing w:val="-8"/>
        </w:rPr>
        <w:t xml:space="preserve"> </w:t>
      </w:r>
      <w:r>
        <w:rPr>
          <w:spacing w:val="-5"/>
        </w:rPr>
        <w:t xml:space="preserve">5,6</w:t>
      </w:r>
      <w:r/>
      <w:r/>
    </w:p>
    <w:p w14:paraId="6A3EE885">
      <w:pPr>
        <w:pStyle w:val="1_36"/>
        <w:pBdr/>
        <w:spacing w:before="266"/>
        <w:ind w:right="302" w:left="16"/>
        <w:jc w:val="center"/>
        <w:rPr/>
      </w:pPr>
      <w:r>
        <w:t xml:space="preserve">по</w:t>
      </w:r>
      <w:r>
        <w:rPr>
          <w:spacing w:val="-10"/>
        </w:rPr>
        <w:t xml:space="preserve"> </w:t>
      </w:r>
      <w:r>
        <w:t xml:space="preserve">дисциплине:</w:t>
      </w:r>
      <w:r>
        <w:rPr>
          <w:spacing w:val="-6"/>
        </w:rPr>
        <w:t xml:space="preserve"> </w:t>
      </w:r>
      <w:r>
        <w:t xml:space="preserve">«Гибкое</w:t>
      </w:r>
      <w:r>
        <w:rPr>
          <w:spacing w:val="-7"/>
        </w:rPr>
        <w:t xml:space="preserve"> </w:t>
      </w:r>
      <w:r>
        <w:t xml:space="preserve">управление</w:t>
      </w:r>
      <w:r>
        <w:rPr>
          <w:spacing w:val="-6"/>
        </w:rPr>
        <w:t xml:space="preserve"> </w:t>
      </w:r>
      <w:r>
        <w:rPr>
          <w:spacing w:val="-2"/>
        </w:rPr>
        <w:t xml:space="preserve">проектами»</w:t>
      </w:r>
      <w:r/>
      <w:r/>
    </w:p>
    <w:p w14:paraId="7BF726EF">
      <w:pPr>
        <w:pStyle w:val="1_36"/>
        <w:pBdr/>
        <w:spacing/>
        <w:ind/>
        <w:rPr/>
      </w:pPr>
      <w:r/>
      <w:r/>
      <w:r/>
    </w:p>
    <w:p w14:paraId="258DC7E6">
      <w:pPr>
        <w:pStyle w:val="1_36"/>
        <w:pBdr/>
        <w:spacing w:before="39"/>
        <w:ind/>
        <w:rPr/>
      </w:pPr>
      <w:r/>
      <w:r/>
      <w:r/>
    </w:p>
    <w:p w14:paraId="7579D856">
      <w:pPr>
        <w:pStyle w:val="1_36"/>
        <w:pBdr/>
        <w:spacing w:before="1" w:line="412" w:lineRule="auto"/>
        <w:ind w:right="797" w:hanging="32" w:left="5602"/>
        <w:rPr/>
      </w:pPr>
      <w:r>
        <w:t xml:space="preserve">Выполнил:</w:t>
      </w:r>
      <w:r>
        <w:rPr>
          <w:spacing w:val="-16"/>
        </w:rPr>
        <w:t xml:space="preserve"> </w:t>
      </w:r>
      <w:r>
        <w:t xml:space="preserve">студент</w:t>
      </w:r>
      <w:r>
        <w:rPr>
          <w:spacing w:val="-18"/>
        </w:rPr>
        <w:t xml:space="preserve"> </w:t>
      </w:r>
      <w:r>
        <w:t xml:space="preserve">группы </w:t>
      </w:r>
      <w:r>
        <w:rPr>
          <w:spacing w:val="-2"/>
        </w:rPr>
        <w:t xml:space="preserve">ББМО-01-25</w:t>
      </w:r>
      <w:r/>
      <w:r/>
    </w:p>
    <w:p w14:paraId="7B574457">
      <w:pPr>
        <w:pBdr/>
        <w:spacing w:before="34" w:line="393" w:lineRule="auto"/>
        <w:ind w:right="404" w:firstLine="0" w:left="5602"/>
        <w:jc w:val="left"/>
        <w:rPr>
          <w:i/>
          <w:sz w:val="28"/>
        </w:rPr>
      </w:pPr>
      <w:r>
        <w:rPr>
          <w:i/>
          <w:sz w:val="28"/>
        </w:rPr>
        <w:t xml:space="preserve">Мухаметшин А. Р. </w:t>
      </w:r>
      <w:r>
        <w:rPr>
          <w:sz w:val="28"/>
        </w:rPr>
        <w:t xml:space="preserve">Проверила: </w:t>
      </w:r>
      <w:r>
        <w:rPr>
          <w:i/>
          <w:sz w:val="28"/>
          <w:u w:val="single"/>
        </w:rPr>
        <w:t xml:space="preserve">Тарасова</w:t>
      </w:r>
      <w:r>
        <w:rPr>
          <w:i/>
          <w:spacing w:val="40"/>
          <w:sz w:val="28"/>
        </w:rPr>
        <w:t xml:space="preserve"> </w:t>
      </w:r>
      <w:r>
        <w:rPr>
          <w:i/>
          <w:spacing w:val="-2"/>
          <w:sz w:val="28"/>
          <w:u w:val="single"/>
        </w:rPr>
        <w:t xml:space="preserve">Н. В.</w:t>
      </w:r>
      <w:r>
        <w:rPr>
          <w:i/>
          <w:sz w:val="28"/>
        </w:rPr>
      </w:r>
      <w:r>
        <w:rPr>
          <w:i/>
          <w:sz w:val="28"/>
        </w:rPr>
      </w:r>
    </w:p>
    <w:p w14:paraId="21C51C5F">
      <w:pPr>
        <w:pStyle w:val="1_36"/>
        <w:pBdr/>
        <w:spacing/>
        <w:ind/>
        <w:rPr>
          <w:i/>
          <w:sz w:val="24"/>
        </w:rPr>
      </w:pPr>
      <w:r>
        <w:rPr>
          <w:i/>
          <w:sz w:val="24"/>
        </w:rPr>
      </w:r>
      <w:r>
        <w:rPr>
          <w:i/>
          <w:sz w:val="24"/>
        </w:rPr>
      </w:r>
      <w:r>
        <w:rPr>
          <w:i/>
          <w:sz w:val="24"/>
        </w:rPr>
      </w:r>
    </w:p>
    <w:p w14:paraId="6F32F06B">
      <w:pPr>
        <w:pStyle w:val="1_36"/>
        <w:pBdr/>
        <w:spacing/>
        <w:ind/>
        <w:rPr>
          <w:i/>
          <w:sz w:val="24"/>
        </w:rPr>
      </w:pPr>
      <w:r>
        <w:rPr>
          <w:i/>
          <w:sz w:val="24"/>
        </w:rPr>
      </w:r>
      <w:r>
        <w:rPr>
          <w:i/>
          <w:sz w:val="24"/>
        </w:rPr>
      </w:r>
      <w:r>
        <w:rPr>
          <w:i/>
          <w:sz w:val="24"/>
        </w:rPr>
      </w:r>
    </w:p>
    <w:p w14:paraId="4B264A0B">
      <w:pPr>
        <w:pStyle w:val="1_36"/>
        <w:pBdr/>
        <w:spacing/>
        <w:ind/>
        <w:rPr>
          <w:i/>
          <w:sz w:val="24"/>
        </w:rPr>
      </w:pPr>
      <w:r>
        <w:rPr>
          <w:i/>
          <w:sz w:val="24"/>
        </w:rPr>
      </w:r>
      <w:r>
        <w:rPr>
          <w:i/>
          <w:sz w:val="24"/>
        </w:rPr>
      </w:r>
      <w:r>
        <w:rPr>
          <w:i/>
          <w:sz w:val="24"/>
        </w:rPr>
      </w:r>
    </w:p>
    <w:p w14:paraId="09A4335B">
      <w:pPr>
        <w:pStyle w:val="1_36"/>
        <w:pBdr/>
        <w:spacing/>
        <w:ind/>
        <w:rPr>
          <w:i/>
          <w:sz w:val="24"/>
        </w:rPr>
      </w:pPr>
      <w:r>
        <w:rPr>
          <w:i/>
          <w:sz w:val="24"/>
        </w:rPr>
      </w:r>
      <w:r>
        <w:rPr>
          <w:i/>
          <w:sz w:val="24"/>
        </w:rPr>
      </w:r>
      <w:r>
        <w:rPr>
          <w:i/>
          <w:sz w:val="24"/>
        </w:rPr>
      </w:r>
    </w:p>
    <w:p w14:paraId="2012C8C5">
      <w:pPr>
        <w:pStyle w:val="1_36"/>
        <w:pBdr/>
        <w:spacing/>
        <w:ind/>
        <w:rPr>
          <w:i/>
          <w:sz w:val="24"/>
        </w:rPr>
      </w:pPr>
      <w:r>
        <w:rPr>
          <w:i/>
          <w:sz w:val="24"/>
        </w:rPr>
      </w:r>
      <w:r>
        <w:rPr>
          <w:i/>
          <w:sz w:val="24"/>
        </w:rPr>
      </w:r>
      <w:r>
        <w:rPr>
          <w:i/>
          <w:sz w:val="24"/>
        </w:rPr>
      </w:r>
    </w:p>
    <w:p w14:paraId="1FA9DAC8">
      <w:pPr>
        <w:pStyle w:val="1_36"/>
        <w:pBdr/>
        <w:spacing/>
        <w:ind/>
        <w:rPr>
          <w:i/>
          <w:sz w:val="24"/>
        </w:rPr>
      </w:pPr>
      <w:r>
        <w:rPr>
          <w:i/>
          <w:sz w:val="24"/>
        </w:rPr>
      </w:r>
      <w:r>
        <w:rPr>
          <w:i/>
          <w:sz w:val="24"/>
        </w:rPr>
      </w:r>
      <w:r>
        <w:rPr>
          <w:i/>
          <w:sz w:val="24"/>
        </w:rPr>
      </w:r>
    </w:p>
    <w:p w14:paraId="4F8AE017">
      <w:pPr>
        <w:pStyle w:val="1_36"/>
        <w:pBdr/>
        <w:spacing/>
        <w:ind/>
        <w:rPr>
          <w:i/>
          <w:sz w:val="24"/>
        </w:rPr>
      </w:pPr>
      <w:r>
        <w:rPr>
          <w:i/>
          <w:sz w:val="24"/>
        </w:rPr>
      </w:r>
      <w:r>
        <w:rPr>
          <w:i/>
          <w:sz w:val="24"/>
        </w:rPr>
      </w:r>
      <w:r>
        <w:rPr>
          <w:i/>
          <w:sz w:val="24"/>
        </w:rPr>
      </w:r>
    </w:p>
    <w:p w14:paraId="1FB90E9F">
      <w:pPr>
        <w:pStyle w:val="1_36"/>
        <w:pBdr/>
        <w:spacing w:before="95"/>
        <w:ind/>
        <w:rPr>
          <w:bCs/>
          <w:i/>
          <w:sz w:val="24"/>
          <w:szCs w:val="24"/>
        </w:rPr>
      </w:pPr>
      <w:r>
        <w:rPr>
          <w:i/>
          <w:sz w:val="24"/>
        </w:rPr>
      </w:r>
      <w:r>
        <w:rPr>
          <w:bCs/>
          <w:i/>
          <w:sz w:val="24"/>
          <w:szCs w:val="24"/>
        </w:rPr>
      </w:r>
      <w:r>
        <w:rPr>
          <w:bCs/>
          <w:i/>
          <w:sz w:val="24"/>
          <w:szCs w:val="24"/>
        </w:rPr>
      </w:r>
    </w:p>
    <w:p w14:paraId="0C1F20B8">
      <w:pPr>
        <w:pStyle w:val="1_36"/>
        <w:pBdr/>
        <w:spacing w:before="95"/>
        <w:ind/>
        <w:rPr>
          <w:bCs/>
          <w:i/>
          <w:sz w:val="24"/>
          <w:szCs w:val="24"/>
        </w:rPr>
      </w:pPr>
      <w:r>
        <w:rPr>
          <w:bCs/>
          <w:i/>
          <w:sz w:val="24"/>
          <w:szCs w:val="24"/>
        </w:rPr>
      </w:r>
      <w:r>
        <w:rPr>
          <w:bCs/>
          <w:i/>
          <w:sz w:val="24"/>
          <w:szCs w:val="24"/>
        </w:rPr>
      </w:r>
      <w:r>
        <w:rPr>
          <w:bCs/>
          <w:i/>
          <w:sz w:val="24"/>
          <w:szCs w:val="24"/>
        </w:rPr>
      </w:r>
    </w:p>
    <w:p w14:paraId="3AD04C52">
      <w:pPr>
        <w:pStyle w:val="1_36"/>
        <w:pBdr/>
        <w:spacing w:before="95"/>
        <w:ind/>
        <w:rPr>
          <w:bCs/>
          <w:i/>
          <w:sz w:val="24"/>
          <w:szCs w:val="24"/>
        </w:rPr>
      </w:pPr>
      <w:r>
        <w:rPr>
          <w:i/>
          <w:sz w:val="24"/>
        </w:rPr>
      </w:r>
      <w:r>
        <w:rPr>
          <w:bCs/>
          <w:i/>
          <w:sz w:val="24"/>
          <w:szCs w:val="24"/>
        </w:rPr>
      </w:r>
      <w:r>
        <w:rPr>
          <w:bCs/>
          <w:i/>
          <w:sz w:val="24"/>
          <w:szCs w:val="24"/>
        </w:rPr>
      </w:r>
    </w:p>
    <w:p w14:paraId="04FD5364">
      <w:pPr>
        <w:pBdr/>
        <w:spacing w:before="0"/>
        <w:ind w:right="302" w:firstLine="0" w:left="24"/>
        <w:jc w:val="center"/>
        <w:rPr>
          <w:sz w:val="24"/>
        </w:rPr>
      </w:pPr>
      <w:r>
        <w:rPr>
          <w:color w:val="0e1115"/>
          <w:sz w:val="24"/>
        </w:rPr>
        <w:t xml:space="preserve">Москва</w:t>
      </w:r>
      <w:r>
        <w:rPr>
          <w:color w:val="0e1115"/>
          <w:spacing w:val="-3"/>
          <w:sz w:val="24"/>
        </w:rPr>
        <w:t xml:space="preserve"> </w:t>
      </w:r>
      <w:r>
        <w:rPr>
          <w:color w:val="0e1115"/>
          <w:spacing w:val="-4"/>
          <w:sz w:val="24"/>
        </w:rPr>
        <w:t xml:space="preserve">2026</w:t>
      </w:r>
      <w:r>
        <w:rPr>
          <w:sz w:val="24"/>
        </w:rPr>
      </w:r>
      <w:r>
        <w:rPr>
          <w:sz w:val="24"/>
        </w:rPr>
      </w:r>
    </w:p>
    <w:p>
      <w:pPr>
        <w:pBdr/>
        <w:spacing w:after="120" w:before="240" w:line="360" w:lineRule="auto"/>
        <w:ind/>
        <w:jc w:val="center"/>
        <w:rPr/>
      </w:pPr>
      <w:r>
        <w:rPr>
          <w:rFonts w:ascii="Times New Roman" w:hAnsi="Times New Roman" w:eastAsia="Times New Roman" w:cs="Times New Roman"/>
          <w:b/>
          <w:bCs/>
          <w:caps/>
          <w:sz w:val="28"/>
          <w:szCs w:val="28"/>
        </w:rPr>
        <w:t xml:space="preserve">ЗАДАНИЕ 5. КОМАНДА ПРОЕКТА</w:t>
      </w:r>
      <w:r/>
    </w:p>
    <w:p>
      <w:pPr>
        <w:pBdr/>
        <w:spacing w:after="100" w:before="200" w:line="360" w:lineRule="auto"/>
        <w:ind/>
        <w:jc w:val="center"/>
        <w:rPr/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Часть 1. Вопросы для обсуждения</w:t>
      </w:r>
      <w:r/>
    </w:p>
    <w:p>
      <w:pPr>
        <w:pBdr/>
        <w:spacing w:after="80" w:before="160" w:line="360" w:lineRule="auto"/>
        <w:ind w:firstLine="709"/>
        <w:jc w:val="left"/>
        <w:rPr/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Вопрос 1. Состав проектной команды</w:t>
      </w:r>
      <w:r/>
    </w:p>
    <w:p>
      <w:pPr>
        <w:pBdr/>
        <w:spacing w:after="0" w:before="0" w:line="360" w:lineRule="auto"/>
        <w:ind w:firstLine="709"/>
        <w:jc w:val="both"/>
        <w:rPr/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</w:rPr>
        <w:t xml:space="preserve">В качестве примера рассмотрим проект по разработке и запуску нового программного продукта — мобильного приложения для управления корпоративными задачами.</w:t>
      </w:r>
      <w:r/>
    </w:p>
    <w:p>
      <w:pPr>
        <w:pBdr/>
        <w:spacing w:after="80" w:before="80" w:line="360" w:lineRule="auto"/>
        <w:ind/>
        <w:jc w:val="center"/>
        <w:rPr/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Таблица 1 – Состав проектной команды и ключевые функции</w:t>
      </w:r>
      <w:r/>
    </w:p>
    <w:tbl>
      <w:tblPr>
        <w:tblW w:w="950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4500"/>
        <w:gridCol w:w="5000"/>
      </w:tblGrid>
      <w:tr>
        <w:trPr/>
        <w:tc>
          <w:tcPr>
            <w:shd w:val="clear" w:color="auto" w:fill="d9d9d9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4500" w:type="dxa"/>
            <w:vAlign w:val="center"/>
            <w:textDirection w:val="lrTb"/>
            <w:noWrap w:val="false"/>
          </w:tcPr>
          <w:p>
            <w:pPr>
              <w:pBdr/>
              <w:spacing w:after="0" w:before="0" w:line="276" w:lineRule="auto"/>
              <w:ind/>
              <w:jc w:val="left"/>
              <w:rPr/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 xml:space="preserve">Должность в проекте</w:t>
            </w:r>
            <w:r/>
          </w:p>
        </w:tc>
        <w:tc>
          <w:tcPr>
            <w:shd w:val="clear" w:color="auto" w:fill="d9d9d9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5000" w:type="dxa"/>
            <w:vAlign w:val="center"/>
            <w:textDirection w:val="lrTb"/>
            <w:noWrap w:val="false"/>
          </w:tcPr>
          <w:p>
            <w:pPr>
              <w:pBdr/>
              <w:spacing w:after="0" w:before="0" w:line="276" w:lineRule="auto"/>
              <w:ind/>
              <w:jc w:val="left"/>
              <w:rPr/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 xml:space="preserve">Функция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4500" w:type="dxa"/>
            <w:vAlign w:val="center"/>
            <w:textDirection w:val="lrTb"/>
            <w:noWrap w:val="false"/>
          </w:tcPr>
          <w:p>
            <w:pPr>
              <w:pBdr/>
              <w:spacing w:after="0" w:before="0" w:line="276" w:lineRule="auto"/>
              <w:ind/>
              <w:jc w:val="left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 xml:space="preserve">Менеджер проекта</w:t>
            </w:r>
            <w:r/>
          </w:p>
        </w:tc>
        <w:tc>
          <w:tcPr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5000" w:type="dxa"/>
            <w:vAlign w:val="center"/>
            <w:textDirection w:val="lrTb"/>
            <w:noWrap w:val="false"/>
          </w:tcPr>
          <w:p>
            <w:pPr>
              <w:pBdr/>
              <w:spacing w:after="0" w:before="0" w:line="276" w:lineRule="auto"/>
              <w:ind/>
              <w:jc w:val="left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 xml:space="preserve">Общее руководство, контроль сроков, бюджета и качества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4500" w:type="dxa"/>
            <w:vAlign w:val="center"/>
            <w:textDirection w:val="lrTb"/>
            <w:noWrap w:val="false"/>
          </w:tcPr>
          <w:p>
            <w:pPr>
              <w:pBdr/>
              <w:spacing w:after="0" w:before="0" w:line="276" w:lineRule="auto"/>
              <w:ind/>
              <w:jc w:val="left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 xml:space="preserve">Менеджер по финансам</w:t>
            </w:r>
            <w:r/>
          </w:p>
        </w:tc>
        <w:tc>
          <w:tcPr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5000" w:type="dxa"/>
            <w:vAlign w:val="center"/>
            <w:textDirection w:val="lrTb"/>
            <w:noWrap w:val="false"/>
          </w:tcPr>
          <w:p>
            <w:pPr>
              <w:pBdr/>
              <w:spacing w:after="0" w:before="0" w:line="276" w:lineRule="auto"/>
              <w:ind/>
              <w:jc w:val="left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 xml:space="preserve">Финансовое планирование, контроль расходов, отчётность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4500" w:type="dxa"/>
            <w:vAlign w:val="center"/>
            <w:textDirection w:val="lrTb"/>
            <w:noWrap w:val="false"/>
          </w:tcPr>
          <w:p>
            <w:pPr>
              <w:pBdr/>
              <w:spacing w:after="0" w:before="0" w:line="276" w:lineRule="auto"/>
              <w:ind/>
              <w:jc w:val="left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 xml:space="preserve">Менеджер по качеству</w:t>
            </w:r>
            <w:r/>
          </w:p>
        </w:tc>
        <w:tc>
          <w:tcPr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5000" w:type="dxa"/>
            <w:vAlign w:val="center"/>
            <w:textDirection w:val="lrTb"/>
            <w:noWrap w:val="false"/>
          </w:tcPr>
          <w:p>
            <w:pPr>
              <w:pBdr/>
              <w:spacing w:after="0" w:before="0" w:line="276" w:lineRule="auto"/>
              <w:ind/>
              <w:jc w:val="left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 xml:space="preserve">Контроль качества продукта, тестирование, верификация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4500" w:type="dxa"/>
            <w:vAlign w:val="center"/>
            <w:textDirection w:val="lrTb"/>
            <w:noWrap w:val="false"/>
          </w:tcPr>
          <w:p>
            <w:pPr>
              <w:pBdr/>
              <w:spacing w:after="0" w:before="0" w:line="276" w:lineRule="auto"/>
              <w:ind/>
              <w:jc w:val="left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 xml:space="preserve">Менеджер по закупкам</w:t>
            </w:r>
            <w:r/>
          </w:p>
        </w:tc>
        <w:tc>
          <w:tcPr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5000" w:type="dxa"/>
            <w:vAlign w:val="center"/>
            <w:textDirection w:val="lrTb"/>
            <w:noWrap w:val="false"/>
          </w:tcPr>
          <w:p>
            <w:pPr>
              <w:pBdr/>
              <w:spacing w:after="0" w:before="0" w:line="276" w:lineRule="auto"/>
              <w:ind/>
              <w:jc w:val="left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 xml:space="preserve">Закупка ПО, лицензий, взаимодействие с поставщиками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4500" w:type="dxa"/>
            <w:vAlign w:val="center"/>
            <w:textDirection w:val="lrTb"/>
            <w:noWrap w:val="false"/>
          </w:tcPr>
          <w:p>
            <w:pPr>
              <w:pBdr/>
              <w:spacing w:after="0" w:before="0" w:line="276" w:lineRule="auto"/>
              <w:ind/>
              <w:jc w:val="left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 xml:space="preserve">Менеджер по производству (разработке)</w:t>
            </w:r>
            <w:r/>
          </w:p>
        </w:tc>
        <w:tc>
          <w:tcPr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5000" w:type="dxa"/>
            <w:vAlign w:val="center"/>
            <w:textDirection w:val="lrTb"/>
            <w:noWrap w:val="false"/>
          </w:tcPr>
          <w:p>
            <w:pPr>
              <w:pBdr/>
              <w:spacing w:after="0" w:before="0" w:line="276" w:lineRule="auto"/>
              <w:ind/>
              <w:jc w:val="left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 xml:space="preserve">Управление командой разработчиков, технический контроль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4500" w:type="dxa"/>
            <w:vAlign w:val="center"/>
            <w:textDirection w:val="lrTb"/>
            <w:noWrap w:val="false"/>
          </w:tcPr>
          <w:p>
            <w:pPr>
              <w:pBdr/>
              <w:spacing w:after="0" w:before="0" w:line="276" w:lineRule="auto"/>
              <w:ind/>
              <w:jc w:val="left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 xml:space="preserve">Менеджер проектного офиса</w:t>
            </w:r>
            <w:r/>
          </w:p>
        </w:tc>
        <w:tc>
          <w:tcPr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5000" w:type="dxa"/>
            <w:vAlign w:val="center"/>
            <w:textDirection w:val="lrTb"/>
            <w:noWrap w:val="false"/>
          </w:tcPr>
          <w:p>
            <w:pPr>
              <w:pBdr/>
              <w:spacing w:after="0" w:before="0" w:line="276" w:lineRule="auto"/>
              <w:ind/>
              <w:jc w:val="left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 xml:space="preserve">Документооборот, стандартизация процессов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4500" w:type="dxa"/>
            <w:vAlign w:val="center"/>
            <w:textDirection w:val="lrTb"/>
            <w:noWrap w:val="false"/>
          </w:tcPr>
          <w:p>
            <w:pPr>
              <w:pBdr/>
              <w:spacing w:after="0" w:before="0" w:line="276" w:lineRule="auto"/>
              <w:ind/>
              <w:jc w:val="left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 xml:space="preserve">Менеджер по персоналу</w:t>
            </w:r>
            <w:r/>
          </w:p>
        </w:tc>
        <w:tc>
          <w:tcPr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5000" w:type="dxa"/>
            <w:vAlign w:val="center"/>
            <w:textDirection w:val="lrTb"/>
            <w:noWrap w:val="false"/>
          </w:tcPr>
          <w:p>
            <w:pPr>
              <w:pBdr/>
              <w:spacing w:after="0" w:before="0" w:line="276" w:lineRule="auto"/>
              <w:ind/>
              <w:jc w:val="left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 xml:space="preserve">Подбор, мотивация и развитие членов команды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4500" w:type="dxa"/>
            <w:vAlign w:val="center"/>
            <w:textDirection w:val="lrTb"/>
            <w:noWrap w:val="false"/>
          </w:tcPr>
          <w:p>
            <w:pPr>
              <w:pBdr/>
              <w:spacing w:after="0" w:before="0" w:line="276" w:lineRule="auto"/>
              <w:ind/>
              <w:jc w:val="left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 xml:space="preserve">Менеджер по контрактам</w:t>
            </w:r>
            <w:r/>
          </w:p>
        </w:tc>
        <w:tc>
          <w:tcPr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5000" w:type="dxa"/>
            <w:vAlign w:val="center"/>
            <w:textDirection w:val="lrTb"/>
            <w:noWrap w:val="false"/>
          </w:tcPr>
          <w:p>
            <w:pPr>
              <w:pBdr/>
              <w:spacing w:after="0" w:before="0" w:line="276" w:lineRule="auto"/>
              <w:ind/>
              <w:jc w:val="left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 xml:space="preserve">Заключение договоров с подрядчиками и клиентами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4500" w:type="dxa"/>
            <w:vAlign w:val="center"/>
            <w:textDirection w:val="lrTb"/>
            <w:noWrap w:val="false"/>
          </w:tcPr>
          <w:p>
            <w:pPr>
              <w:pBdr/>
              <w:spacing w:after="0" w:before="0" w:line="276" w:lineRule="auto"/>
              <w:ind/>
              <w:jc w:val="left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 xml:space="preserve">Менеджер по связям с общественностью</w:t>
            </w:r>
            <w:r/>
          </w:p>
        </w:tc>
        <w:tc>
          <w:tcPr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5000" w:type="dxa"/>
            <w:vAlign w:val="center"/>
            <w:textDirection w:val="lrTb"/>
            <w:noWrap w:val="false"/>
          </w:tcPr>
          <w:p>
            <w:pPr>
              <w:pBdr/>
              <w:spacing w:after="0" w:before="0" w:line="276" w:lineRule="auto"/>
              <w:ind/>
              <w:jc w:val="left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 xml:space="preserve">PR, работа со СМИ, коммуникации с заинтересованными сторонами</w:t>
            </w:r>
            <w:r/>
          </w:p>
        </w:tc>
      </w:tr>
    </w:tbl>
    <w:p>
      <w:pPr>
        <w:pBdr/>
        <w:spacing w:after="80" w:before="160" w:line="360" w:lineRule="auto"/>
        <w:ind w:firstLine="709"/>
        <w:jc w:val="left"/>
        <w:rPr/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Вопрос 2. Этапы развития команды и препятствия</w:t>
      </w:r>
      <w:r/>
    </w:p>
    <w:p>
      <w:pPr>
        <w:pBdr/>
        <w:spacing w:after="0" w:before="0" w:line="360" w:lineRule="auto"/>
        <w:ind w:firstLine="709"/>
        <w:jc w:val="both"/>
        <w:rPr/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</w:rPr>
        <w:t xml:space="preserve">Основные этапы развития проектной команды по модели Такмана:</w:t>
      </w:r>
      <w:r/>
    </w:p>
    <w:p>
      <w:pPr>
        <w:pStyle w:val="733"/>
        <w:numPr>
          <w:ilvl w:val="0"/>
          <w:numId w:val="2"/>
        </w:numPr>
        <w:pBdr/>
        <w:spacing w:after="0" w:before="0" w:line="360" w:lineRule="auto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Формирование (Forming) — знакомство участников, определение ролей и ожиданий;</w:t>
      </w:r>
      <w:r/>
    </w:p>
    <w:p>
      <w:pPr>
        <w:pStyle w:val="733"/>
        <w:numPr>
          <w:ilvl w:val="0"/>
          <w:numId w:val="2"/>
        </w:numPr>
        <w:pBdr/>
        <w:spacing w:after="0" w:before="0" w:line="360" w:lineRule="auto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Конфронтация (Storming) — проявление противоречий и конкуренция за влияние;</w:t>
      </w:r>
      <w:r/>
    </w:p>
    <w:p>
      <w:pPr>
        <w:pStyle w:val="733"/>
        <w:numPr>
          <w:ilvl w:val="0"/>
          <w:numId w:val="2"/>
        </w:numPr>
        <w:pBdr/>
        <w:spacing w:after="0" w:before="0" w:line="360" w:lineRule="auto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Нормирование (Norming) — выработка общих норм, правил и процедур;</w:t>
      </w:r>
      <w:r/>
    </w:p>
    <w:p>
      <w:pPr>
        <w:pStyle w:val="733"/>
        <w:numPr>
          <w:ilvl w:val="0"/>
          <w:numId w:val="2"/>
        </w:numPr>
        <w:pBdr/>
        <w:spacing w:after="0" w:before="0" w:line="360" w:lineRule="auto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Функционирование (Performing) — слаженная работа, высокая производительность;</w:t>
      </w:r>
      <w:r/>
    </w:p>
    <w:p>
      <w:pPr>
        <w:pStyle w:val="733"/>
        <w:numPr>
          <w:ilvl w:val="0"/>
          <w:numId w:val="2"/>
        </w:numPr>
        <w:pBdr/>
        <w:spacing w:after="0" w:before="0" w:line="360" w:lineRule="auto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Расставание (Adjourning) — завершение проекта, расформирование команды.</w:t>
      </w:r>
      <w:r/>
    </w:p>
    <w:p>
      <w:pPr>
        <w:pBdr/>
        <w:spacing w:after="0" w:before="0" w:line="360" w:lineRule="auto"/>
        <w:ind w:firstLine="709"/>
        <w:jc w:val="both"/>
        <w:rPr/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</w:rPr>
        <w:t xml:space="preserve">Препятствия на первом этапе (Forming): неясность целей проекта, неопределённость ролей, отсутствие доверия между участниками, различия в корпоративной культуре, страх неудачи и нежелание брать на себя ответственность.</w:t>
      </w:r>
      <w:r/>
    </w:p>
    <w:p>
      <w:pPr>
        <w:pBdr/>
        <w:spacing w:after="0" w:before="0" w:line="360" w:lineRule="auto"/>
        <w:ind w:firstLine="709"/>
        <w:jc w:val="both"/>
        <w:rPr/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</w:rPr>
        <w:t xml:space="preserve">Менеджер при отборе кандидатов должен учитывать: коммуникабельность и готовность к работе в команде, совместимость ценностей и рабочего стиля, опыт работы в проектных структурах, а также способность быстро адаптироваться к новым условиям.</w:t>
      </w:r>
      <w:r/>
    </w:p>
    <w:p>
      <w:pPr>
        <w:pBdr/>
        <w:spacing w:after="80" w:before="160" w:line="360" w:lineRule="auto"/>
        <w:ind w:firstLine="709"/>
        <w:jc w:val="left"/>
        <w:rPr/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Вопрос 3. Проблемы команды из 20 человек</w:t>
      </w:r>
      <w:r/>
    </w:p>
    <w:p>
      <w:pPr>
        <w:pBdr/>
        <w:spacing w:after="0" w:before="0" w:line="360" w:lineRule="auto"/>
        <w:ind w:firstLine="709"/>
        <w:jc w:val="both"/>
        <w:rPr/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</w:rPr>
        <w:t xml:space="preserve">Если состав команды превышает рекомендуемые 10 человек и достигает 20 участников, с высокой вероятностью возникнут следующие проблемы:</w:t>
      </w:r>
      <w:r/>
    </w:p>
    <w:p>
      <w:pPr>
        <w:pStyle w:val="733"/>
        <w:numPr>
          <w:ilvl w:val="0"/>
          <w:numId w:val="2"/>
        </w:numPr>
        <w:pBdr/>
        <w:spacing w:after="0" w:before="0" w:line="360" w:lineRule="auto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Усложнение коммуникаций: количество коммуникационных каналов растёт по формуле n(n–1)/2, что при 20 участниках даёт 190 возможных каналов связи вместо 45 при 10;</w:t>
      </w:r>
      <w:r/>
    </w:p>
    <w:p>
      <w:pPr>
        <w:pStyle w:val="733"/>
        <w:numPr>
          <w:ilvl w:val="0"/>
          <w:numId w:val="2"/>
        </w:numPr>
        <w:pBdr/>
        <w:spacing w:after="0" w:before="0" w:line="360" w:lineRule="auto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Размывание ответственности: при большом числе участников снижается персональная ответственность, возникает «социальное безделье»;</w:t>
      </w:r>
      <w:r/>
    </w:p>
    <w:p>
      <w:pPr>
        <w:pStyle w:val="733"/>
        <w:numPr>
          <w:ilvl w:val="0"/>
          <w:numId w:val="2"/>
        </w:numPr>
        <w:pBdr/>
        <w:spacing w:after="0" w:before="0" w:line="360" w:lineRule="auto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Трудности с принятием решений: согласование позиций 20 человек требует значительно больше времени;</w:t>
      </w:r>
      <w:r/>
    </w:p>
    <w:p>
      <w:pPr>
        <w:pStyle w:val="733"/>
        <w:numPr>
          <w:ilvl w:val="0"/>
          <w:numId w:val="2"/>
        </w:numPr>
        <w:pBdr/>
        <w:spacing w:after="0" w:before="0" w:line="360" w:lineRule="auto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Конфликты и микрогруппы: в крупной команде неизбежно образуются неформальные коалиции, преследующие собственные интересы;</w:t>
      </w:r>
      <w:r/>
    </w:p>
    <w:p>
      <w:pPr>
        <w:pStyle w:val="733"/>
        <w:numPr>
          <w:ilvl w:val="0"/>
          <w:numId w:val="2"/>
        </w:numPr>
        <w:pBdr/>
        <w:spacing w:after="0" w:before="0" w:line="360" w:lineRule="auto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Снижение управляемости: менеджеру проекта сложно контролировать работу каждого члена команды и поддерживать командный дух.</w:t>
      </w:r>
      <w:r/>
    </w:p>
    <w:p>
      <w:pPr>
        <w:pBdr/>
        <w:spacing w:after="80" w:before="160" w:line="360" w:lineRule="auto"/>
        <w:ind w:firstLine="709"/>
        <w:jc w:val="left"/>
        <w:rPr/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Вопросы 4–5. Действие на собрании после презентации</w:t>
      </w:r>
      <w:r/>
    </w:p>
    <w:p>
      <w:pPr>
        <w:pBdr/>
        <w:spacing w:after="0" w:before="0" w:line="360" w:lineRule="auto"/>
        <w:ind w:firstLine="709"/>
        <w:jc w:val="both"/>
        <w:rPr/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</w:rPr>
        <w:t xml:space="preserve">Наиболее целесообразным является вариант а) — отчитаться о результатах презентации и похвалить членов команды за хорошо выполненную работу.</w:t>
      </w:r>
      <w:r/>
    </w:p>
    <w:p>
      <w:pPr>
        <w:pBdr/>
        <w:spacing w:after="0" w:before="0" w:line="360" w:lineRule="auto"/>
        <w:ind w:firstLine="709"/>
        <w:jc w:val="both"/>
        <w:rPr/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</w:rPr>
        <w:t xml:space="preserve">Обоснование: проект развивается по плану, а значит, команда справляется со своими задачами. Признание и публичная похвала — ключевые мо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</w:rPr>
        <w:t xml:space="preserve">тивационные инструменты, повышающие удовлетворённость членов команды и укрепляющие их приверженность проекту. Согласно двухфакторной теории Герцберга, признание достижений относится к «мотивирующим факторам», непосредственно влияющим на производительность.</w:t>
      </w:r>
      <w:r/>
    </w:p>
    <w:p>
      <w:pPr>
        <w:pBdr/>
        <w:spacing w:after="0" w:before="0" w:line="360" w:lineRule="auto"/>
        <w:ind w:firstLine="709"/>
        <w:jc w:val="both"/>
        <w:rPr/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</w:rPr>
        <w:t xml:space="preserve">Влияние на будущую работу: если руководитель отмечает успехи команды, участники чувствуют, что их вклад ц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</w:rPr>
        <w:t xml:space="preserve">енится, что усиливает энтузиазм и ответственный подход к выполнению аналогичных задач в будущем. Напротив, игнорирование заслуг (варианты б и г) или акцент исключительно на недостатках (вариант в) демотивирует команду и снижает качество последующей работы.</w:t>
      </w:r>
      <w:r/>
    </w:p>
    <w:p>
      <w:pPr>
        <w:pBdr/>
        <w:spacing w:after="100" w:before="200" w:line="360" w:lineRule="auto"/>
        <w:ind/>
        <w:jc w:val="center"/>
        <w:rPr/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Часть 2. Проект по созданию интернет-магазина</w:t>
      </w:r>
      <w:r/>
    </w:p>
    <w:p>
      <w:pPr>
        <w:pBdr/>
        <w:spacing w:after="80" w:line="360" w:lineRule="auto"/>
        <w:ind w:firstLine="709"/>
        <w:jc w:val="left"/>
        <w:rPr/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Вопрос 1. Меры планирования для предотвращения кризиса</w:t>
      </w:r>
      <w:r/>
    </w:p>
    <w:p>
      <w:pPr>
        <w:pBdr/>
        <w:spacing w:after="0" w:before="0" w:line="360" w:lineRule="auto"/>
        <w:ind w:firstLine="709"/>
        <w:jc w:val="both"/>
        <w:rPr/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</w:rPr>
        <w:t xml:space="preserve">Кризисная ситуация в данном ИТ-проекте была вызвана тем, что система не прошла интеграционное тестирование к дате запуска, уже объявленной публично. Следующие меры планирования могли бы предотвратить такую ситуацию:</w:t>
      </w:r>
      <w:r/>
    </w:p>
    <w:p>
      <w:pPr>
        <w:pStyle w:val="733"/>
        <w:numPr>
          <w:ilvl w:val="0"/>
          <w:numId w:val="2"/>
        </w:numPr>
        <w:pBdr/>
        <w:spacing w:after="0" w:before="0" w:line="360" w:lineRule="auto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Поэтапное тестирование и интеграция: включение регулярных этапов интеграционного тестирования в план проекта, а не только в конечной фазе. Это позволило бы обнаружить проблему совместимости компонентов значительно раньше;</w:t>
      </w:r>
      <w:r/>
    </w:p>
    <w:p>
      <w:pPr>
        <w:pStyle w:val="733"/>
        <w:numPr>
          <w:ilvl w:val="0"/>
          <w:numId w:val="2"/>
        </w:numPr>
        <w:pBdr/>
        <w:spacing w:after="0" w:before="0" w:line="360" w:lineRule="auto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Буферное время в расписании: добавление резерва (буфера) не менее 15–20 % от общей длительности проекта на случай непредвиденных технических сложностей;</w:t>
      </w:r>
      <w:r/>
    </w:p>
    <w:p>
      <w:pPr>
        <w:pStyle w:val="733"/>
        <w:numPr>
          <w:ilvl w:val="0"/>
          <w:numId w:val="2"/>
        </w:numPr>
        <w:pBdr/>
        <w:spacing w:after="0" w:before="0" w:line="360" w:lineRule="auto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Раздельное планирование рекламной кампании: объявление о запуске публично лишь после успешного прохождения приёмочных испытаний (UAT), а не в начале работы над проектом;</w:t>
      </w:r>
      <w:r/>
    </w:p>
    <w:p>
      <w:pPr>
        <w:pStyle w:val="733"/>
        <w:numPr>
          <w:ilvl w:val="0"/>
          <w:numId w:val="2"/>
        </w:numPr>
        <w:pBdr/>
        <w:spacing w:after="0" w:before="0" w:line="360" w:lineRule="auto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Управление рисками: заблаговременная идентификация риска «неготовность системы к запуску» с разработкой резервного плана (contingency plan), что, собственно, и было реализовано методом ручного ввода данных, однако лишь в условиях уже возникшего кризиса;</w:t>
      </w:r>
      <w:r/>
    </w:p>
    <w:p>
      <w:pPr>
        <w:pStyle w:val="733"/>
        <w:numPr>
          <w:ilvl w:val="0"/>
          <w:numId w:val="2"/>
        </w:numPr>
        <w:pBdr/>
        <w:spacing w:after="0" w:before="0" w:line="360" w:lineRule="auto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Прототипирование и MVP: разработка минимально жизнеспособного продукта для проверки взаимодействия компонентов на ранних этапах.</w:t>
      </w:r>
      <w:r/>
    </w:p>
    <w:p>
      <w:pPr>
        <w:pBdr/>
        <w:spacing w:line="360" w:lineRule="auto"/>
        <w:ind w:firstLine="709"/>
        <w:jc w:val="left"/>
        <w:rPr/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Вопрос 2. Рекомендации по совершенствованию системы коммуникаций</w:t>
      </w:r>
      <w:r/>
    </w:p>
    <w:p>
      <w:pPr>
        <w:pBdr/>
        <w:spacing w:after="0" w:before="0" w:line="360" w:lineRule="auto"/>
        <w:ind w:firstLine="709"/>
        <w:jc w:val="both"/>
        <w:rPr/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</w:rPr>
        <w:t xml:space="preserve">Для улучшения коммуникаций в аналогичных проектах рекомендуется:</w:t>
      </w:r>
      <w:r/>
    </w:p>
    <w:p>
      <w:pPr>
        <w:pStyle w:val="733"/>
        <w:numPr>
          <w:ilvl w:val="0"/>
          <w:numId w:val="2"/>
        </w:numPr>
        <w:pBdr/>
        <w:spacing w:after="0" w:before="0" w:line="360" w:lineRule="auto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Создание единого информационного пространства: использование систем управления проектами (Jira, Confluence, MS Project) для централизованного хранения документации и статусов задач;</w:t>
      </w:r>
      <w:r/>
    </w:p>
    <w:p>
      <w:pPr>
        <w:pStyle w:val="733"/>
        <w:numPr>
          <w:ilvl w:val="0"/>
          <w:numId w:val="2"/>
        </w:numPr>
        <w:pBdr/>
        <w:spacing w:after="0" w:before="0" w:line="360" w:lineRule="auto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Регулярные статусные совещания: еженедельные встречи всех ключевых участников для обмена информацией о ходе работ и возникающих рисках;</w:t>
      </w:r>
      <w:r/>
    </w:p>
    <w:p>
      <w:pPr>
        <w:pStyle w:val="733"/>
        <w:numPr>
          <w:ilvl w:val="0"/>
          <w:numId w:val="2"/>
        </w:numPr>
        <w:pBdr/>
        <w:spacing w:after="0" w:before="0" w:line="360" w:lineRule="auto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Чёткая матрица ответственности (RACI): фиксация того, кто отвечает за каждый компонент системы и интерфейс между ними;</w:t>
      </w:r>
      <w:r/>
    </w:p>
    <w:p>
      <w:pPr>
        <w:pStyle w:val="733"/>
        <w:numPr>
          <w:ilvl w:val="0"/>
          <w:numId w:val="2"/>
        </w:numPr>
        <w:pBdr/>
        <w:spacing w:after="0" w:before="0" w:line="360" w:lineRule="auto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Управление ожиданиями заказчика: регулярное информирование руководства и клиентов о реальном состоянии проекта, включая риски, — без сокрытия проблем «до последнего момента»;</w:t>
      </w:r>
      <w:r/>
    </w:p>
    <w:p>
      <w:pPr>
        <w:pStyle w:val="733"/>
        <w:numPr>
          <w:ilvl w:val="0"/>
          <w:numId w:val="2"/>
        </w:numPr>
        <w:pBdr/>
        <w:spacing w:after="0" w:before="0" w:line="360" w:lineRule="auto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Эскалационные процедуры: заранее согласованные каналы и порядок сообщения о критических проблемах, требующих немедленного решения на уровне спонсора проекта.</w:t>
      </w:r>
      <w:r/>
      <w:r>
        <w:br w:type="page" w:clear="all"/>
      </w:r>
      <w:r/>
      <w:r/>
    </w:p>
    <w:p>
      <w:pPr>
        <w:pBdr/>
        <w:spacing w:after="120" w:before="240" w:line="360" w:lineRule="auto"/>
        <w:ind/>
        <w:jc w:val="center"/>
        <w:rPr/>
      </w:pPr>
      <w:r>
        <w:rPr>
          <w:rFonts w:ascii="Times New Roman" w:hAnsi="Times New Roman" w:eastAsia="Times New Roman" w:cs="Times New Roman"/>
          <w:b/>
          <w:bCs/>
          <w:caps/>
          <w:sz w:val="28"/>
          <w:szCs w:val="28"/>
        </w:rPr>
        <w:t xml:space="preserve">ЗАДАНИЕ 6. ПРИНЯТИЕ РЕШЕНИЙ В УПРАВЛЕНИИ ПРОЕКТАМИ</w:t>
      </w:r>
      <w:r/>
    </w:p>
    <w:p>
      <w:pPr>
        <w:pBdr/>
        <w:spacing w:after="100" w:before="200" w:line="360" w:lineRule="auto"/>
        <w:ind/>
        <w:jc w:val="center"/>
        <w:rPr/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Часть 1. Вопросы для обсуждения</w:t>
      </w:r>
      <w:r/>
    </w:p>
    <w:p>
      <w:pPr>
        <w:pBdr/>
        <w:spacing w:after="80" w:before="160" w:line="360" w:lineRule="auto"/>
        <w:ind w:firstLine="709"/>
        <w:jc w:val="left"/>
        <w:rPr/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Вопрос 1. Обыденные и административные решения</w:t>
      </w:r>
      <w:r/>
    </w:p>
    <w:p>
      <w:pPr>
        <w:pBdr/>
        <w:spacing w:after="0" w:before="0" w:line="360" w:lineRule="auto"/>
        <w:ind w:firstLine="709"/>
        <w:jc w:val="both"/>
        <w:rPr/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</w:rPr>
        <w:t xml:space="preserve">Обыденные решения — это рутинные, повседневные решения, принимаемые в рамках установленны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</w:rPr>
        <w:t xml:space="preserve">х процедур, не требующие существенных аналитических усилий. Примеры в управлении проектами: согласование стандартного отчёта о статусе проекта, подтверждение расписания очередного совещания, одобрение командировки сотрудника в рамках утверждённого бюджета.</w:t>
      </w:r>
      <w:r/>
    </w:p>
    <w:p>
      <w:pPr>
        <w:pBdr/>
        <w:spacing w:after="0" w:before="0" w:line="360" w:lineRule="auto"/>
        <w:ind w:firstLine="709"/>
        <w:jc w:val="both"/>
        <w:rPr/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</w:rPr>
        <w:t xml:space="preserve">Административные решения — э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</w:rPr>
        <w:t xml:space="preserve">то решения, направленные на реализацию стратегии и достижение целей проекта, требующие анализа альтернатив. Примеры: выбор подрядчика из нескольких претендентов, утверждение изменения содержания проекта, решение о перераспределении ресурсов между задачами.</w:t>
      </w:r>
      <w:r/>
    </w:p>
    <w:p>
      <w:pPr>
        <w:pBdr/>
        <w:spacing w:after="0" w:before="0" w:line="360" w:lineRule="auto"/>
        <w:ind w:firstLine="709"/>
        <w:jc w:val="both"/>
        <w:rPr/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</w:rPr>
        <w:t xml:space="preserve">На фазе планирования преобладают административные решения (разработка стру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</w:rPr>
        <w:t xml:space="preserve">ктуры работ, определение бюджета, формирование команды). На фазе выполнения доля обыденных решений возрастает, поскольку большинство процедур уже задано планом. Таким образом, пропорция смещается от административных к обыденным по мере продвижения проекта.</w:t>
      </w:r>
      <w:r/>
    </w:p>
    <w:p>
      <w:pPr>
        <w:pBdr/>
        <w:spacing w:after="80" w:before="160" w:line="360" w:lineRule="auto"/>
        <w:ind w:firstLine="709"/>
        <w:jc w:val="left"/>
        <w:rPr/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Вопрос 2. Уровни принятия решений в проекте</w:t>
      </w:r>
      <w:r/>
    </w:p>
    <w:p>
      <w:pPr>
        <w:pBdr/>
        <w:spacing w:after="0" w:before="0" w:line="360" w:lineRule="auto"/>
        <w:ind w:firstLine="709"/>
        <w:jc w:val="both"/>
        <w:rPr/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</w:rPr>
        <w:t xml:space="preserve">Рассмотрим проект строительства нового офисного здания. Уровни принятия решений по Вудкоку и Френсису применительно к данному проекту:</w:t>
      </w:r>
      <w:r/>
    </w:p>
    <w:p>
      <w:pPr>
        <w:pBdr/>
        <w:spacing w:before="80" w:line="360" w:lineRule="auto"/>
        <w:ind/>
        <w:jc w:val="left"/>
        <w:rPr/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Таблица 2 – Уровни принятия решений в проекте строительства офисного здания</w:t>
      </w:r>
      <w:r/>
    </w:p>
    <w:tbl>
      <w:tblPr>
        <w:tblW w:w="950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2500"/>
        <w:gridCol w:w="7000"/>
      </w:tblGrid>
      <w:tr>
        <w:trPr/>
        <w:tc>
          <w:tcPr>
            <w:shd w:val="clear" w:color="auto" w:fill="d9d9d9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500" w:type="dxa"/>
            <w:vAlign w:val="center"/>
            <w:textDirection w:val="lrTb"/>
            <w:noWrap w:val="false"/>
          </w:tcPr>
          <w:p>
            <w:pPr>
              <w:pBdr/>
              <w:spacing w:after="0" w:before="0" w:line="276" w:lineRule="auto"/>
              <w:ind/>
              <w:jc w:val="left"/>
              <w:rPr/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 xml:space="preserve">Уровень</w:t>
            </w:r>
            <w:r/>
          </w:p>
        </w:tc>
        <w:tc>
          <w:tcPr>
            <w:shd w:val="clear" w:color="auto" w:fill="d9d9d9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7000" w:type="dxa"/>
            <w:vAlign w:val="center"/>
            <w:textDirection w:val="lrTb"/>
            <w:noWrap w:val="false"/>
          </w:tcPr>
          <w:p>
            <w:pPr>
              <w:pBdr/>
              <w:spacing w:after="0" w:before="0" w:line="276" w:lineRule="auto"/>
              <w:ind/>
              <w:jc w:val="left"/>
              <w:rPr/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 xml:space="preserve">Пример решения в проекте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500" w:type="dxa"/>
            <w:vAlign w:val="center"/>
            <w:textDirection w:val="lrTb"/>
            <w:noWrap w:val="false"/>
          </w:tcPr>
          <w:p>
            <w:pPr>
              <w:pBdr/>
              <w:spacing w:after="0" w:before="0" w:line="276" w:lineRule="auto"/>
              <w:ind/>
              <w:jc w:val="left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 xml:space="preserve">Рутинный</w:t>
            </w:r>
            <w:r/>
          </w:p>
        </w:tc>
        <w:tc>
          <w:tcPr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7000" w:type="dxa"/>
            <w:vAlign w:val="center"/>
            <w:textDirection w:val="lrTb"/>
            <w:noWrap w:val="false"/>
          </w:tcPr>
          <w:p>
            <w:pPr>
              <w:pBdr/>
              <w:spacing w:after="0" w:before="0" w:line="276" w:lineRule="auto"/>
              <w:ind/>
              <w:jc w:val="left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 xml:space="preserve">Ведение журнала учёта рабочего времени, ежедневная проверка техники безопасности, фиксация хода работ согласно регламенту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500" w:type="dxa"/>
            <w:vAlign w:val="center"/>
            <w:textDirection w:val="lrTb"/>
            <w:noWrap w:val="false"/>
          </w:tcPr>
          <w:p>
            <w:pPr>
              <w:pBdr/>
              <w:spacing w:after="0" w:before="0" w:line="276" w:lineRule="auto"/>
              <w:ind/>
              <w:jc w:val="left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 xml:space="preserve">Селективный</w:t>
            </w:r>
            <w:r/>
          </w:p>
        </w:tc>
        <w:tc>
          <w:tcPr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7000" w:type="dxa"/>
            <w:vAlign w:val="center"/>
            <w:textDirection w:val="lrTb"/>
            <w:noWrap w:val="false"/>
          </w:tcPr>
          <w:p>
            <w:pPr>
              <w:pBdr/>
              <w:spacing w:after="0" w:before="0" w:line="276" w:lineRule="auto"/>
              <w:ind/>
              <w:jc w:val="left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 xml:space="preserve">Выбор поставщика стройматериалов, корректировка сетевого графика при отставании от плана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500" w:type="dxa"/>
            <w:vAlign w:val="center"/>
            <w:textDirection w:val="lrTb"/>
            <w:noWrap w:val="false"/>
          </w:tcPr>
          <w:p>
            <w:pPr>
              <w:pBdr/>
              <w:spacing w:after="0" w:before="0" w:line="276" w:lineRule="auto"/>
              <w:ind/>
              <w:jc w:val="left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 xml:space="preserve">Адаптационный</w:t>
            </w:r>
            <w:r/>
          </w:p>
        </w:tc>
        <w:tc>
          <w:tcPr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7000" w:type="dxa"/>
            <w:vAlign w:val="center"/>
            <w:textDirection w:val="lrTb"/>
            <w:noWrap w:val="false"/>
          </w:tcPr>
          <w:p>
            <w:pPr>
              <w:pBdr/>
              <w:spacing w:after="0" w:before="0" w:line="276" w:lineRule="auto"/>
              <w:ind/>
              <w:jc w:val="left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 xml:space="preserve">Выявление и устранение причин отставания от графика, создание рабочей группы по снижению стоимости проекта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500" w:type="dxa"/>
            <w:vAlign w:val="center"/>
            <w:textDirection w:val="lrTb"/>
            <w:noWrap w:val="false"/>
          </w:tcPr>
          <w:p>
            <w:pPr>
              <w:pBdr/>
              <w:spacing w:after="0" w:before="0" w:line="276" w:lineRule="auto"/>
              <w:ind/>
              <w:jc w:val="left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 xml:space="preserve">Инновационный</w:t>
            </w:r>
            <w:r/>
          </w:p>
        </w:tc>
        <w:tc>
          <w:tcPr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7000" w:type="dxa"/>
            <w:vAlign w:val="center"/>
            <w:textDirection w:val="lrTb"/>
            <w:noWrap w:val="false"/>
          </w:tcPr>
          <w:p>
            <w:pPr>
              <w:pBdr/>
              <w:spacing w:after="0" w:before="0" w:line="276" w:lineRule="auto"/>
              <w:ind/>
              <w:jc w:val="left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 xml:space="preserve">Разработка новой конструктивной схемы для ускорения строительства, стратегическое решение о замене технологии монтажа</w:t>
            </w:r>
            <w:r/>
          </w:p>
        </w:tc>
      </w:tr>
    </w:tbl>
    <w:p>
      <w:pPr>
        <w:pBdr/>
        <w:spacing w:after="0" w:before="240" w:line="360" w:lineRule="auto"/>
        <w:ind w:firstLine="709"/>
        <w:jc w:val="both"/>
        <w:rPr/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</w:rPr>
        <w:t xml:space="preserve">Теоретически возможны проекты, в 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</w:rPr>
        <w:t xml:space="preserve">которых отсутствует инновационный уровень принятия решений — например, типовые строительные проекты или проекты с жёстко зафиксированными требованиями. Однако полностью исключить хотя бы рутинный и селективный уровни невозможно ни в одном реальном проекте.</w:t>
      </w:r>
      <w:r/>
    </w:p>
    <w:p>
      <w:pPr>
        <w:pBdr/>
        <w:spacing w:after="80" w:before="160" w:line="360" w:lineRule="auto"/>
        <w:ind w:firstLine="709"/>
        <w:jc w:val="left"/>
        <w:rPr/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Вопрос 3. Критерии принятия решения об увеличении команды</w:t>
      </w:r>
      <w:r/>
    </w:p>
    <w:p>
      <w:pPr>
        <w:pBdr/>
        <w:spacing w:after="0" w:before="0" w:line="360" w:lineRule="auto"/>
        <w:ind w:firstLine="709"/>
        <w:jc w:val="both"/>
        <w:rPr/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</w:rPr>
        <w:t xml:space="preserve">При рассмотрении вопроса об увеличении команды с 4 до 7 человек руководство может использовать следующие критерии:</w:t>
      </w:r>
      <w:r/>
    </w:p>
    <w:p>
      <w:pPr>
        <w:pStyle w:val="733"/>
        <w:numPr>
          <w:ilvl w:val="0"/>
          <w:numId w:val="2"/>
        </w:numPr>
        <w:pBdr/>
        <w:spacing w:after="0" w:before="0" w:line="360" w:lineRule="auto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Загруженность существующих членов команды (коэффициент использования ресурсов выше 90 %);</w:t>
      </w:r>
      <w:r/>
    </w:p>
    <w:p>
      <w:pPr>
        <w:pStyle w:val="733"/>
        <w:numPr>
          <w:ilvl w:val="0"/>
          <w:numId w:val="2"/>
        </w:numPr>
        <w:pBdr/>
        <w:spacing w:after="0" w:before="0" w:line="360" w:lineRule="auto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Отставание от базового расписания проекта более чем на 10 %;</w:t>
      </w:r>
      <w:r/>
    </w:p>
    <w:p>
      <w:pPr>
        <w:pStyle w:val="733"/>
        <w:numPr>
          <w:ilvl w:val="0"/>
          <w:numId w:val="2"/>
        </w:numPr>
        <w:pBdr/>
        <w:spacing w:after="0" w:before="0" w:line="360" w:lineRule="auto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Стоимость привлечения новых сотрудников в рамках утверждённого резервного фонда;</w:t>
      </w:r>
      <w:r/>
    </w:p>
    <w:p>
      <w:pPr>
        <w:pStyle w:val="733"/>
        <w:numPr>
          <w:ilvl w:val="0"/>
          <w:numId w:val="2"/>
        </w:numPr>
        <w:pBdr/>
        <w:spacing w:after="0" w:before="0" w:line="360" w:lineRule="auto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Наличие специфических компетенций, которых нет у текущих членов команды;</w:t>
      </w:r>
      <w:r/>
    </w:p>
    <w:p>
      <w:pPr>
        <w:pStyle w:val="733"/>
        <w:numPr>
          <w:ilvl w:val="0"/>
          <w:numId w:val="2"/>
        </w:numPr>
        <w:pBdr/>
        <w:spacing w:after="0" w:before="0" w:line="360" w:lineRule="auto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Влияние расширения команды на качество конечного продукта.</w:t>
      </w:r>
      <w:r/>
    </w:p>
    <w:p>
      <w:pPr>
        <w:pBdr/>
        <w:spacing w:after="0" w:before="0" w:line="360" w:lineRule="auto"/>
        <w:ind w:firstLine="709"/>
        <w:jc w:val="both"/>
        <w:rPr/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</w:rPr>
        <w:t xml:space="preserve">Понятия критериев и ограничений не совпадают, хотя и тесно связаны. Критерий — это показатель, по которому оценивается предпочт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</w:rPr>
        <w:t xml:space="preserve">ительность решения (например, снижение времени выполнения работ). Ограничение — это жёсткое условие, которое решение должно обязательно соблюдать (например, бюджет не должен превышать утверждённый уровень). Критерии допускают компромисс, ограничения — нет.</w:t>
      </w:r>
      <w:r/>
    </w:p>
    <w:p>
      <w:pPr>
        <w:pBdr/>
        <w:spacing w:after="80" w:before="160" w:line="360" w:lineRule="auto"/>
        <w:ind w:firstLine="709"/>
        <w:jc w:val="left"/>
        <w:rPr/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Вопрос 4. Корректирующие действия и переопределение критериев</w:t>
      </w:r>
      <w:r/>
    </w:p>
    <w:p>
      <w:pPr>
        <w:pBdr/>
        <w:spacing w:after="0" w:before="0" w:line="360" w:lineRule="auto"/>
        <w:ind w:firstLine="709"/>
        <w:jc w:val="both"/>
        <w:rPr/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</w:rPr>
        <w:t xml:space="preserve">Корректирующие действия применяются, когда ф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</w:rPr>
        <w:t xml:space="preserve">актические показатели проекта отклоняются от плановых сверх допустимых порогов. Примеры: сжатие расписания при отставании от сроков (crash), перераспределение бюджета между статьями при перерасходе, замена подрядчика при систематическом нарушении качества.</w:t>
      </w:r>
      <w:r/>
    </w:p>
    <w:p>
      <w:pPr>
        <w:pBdr/>
        <w:spacing w:after="0" w:before="0" w:line="360" w:lineRule="auto"/>
        <w:ind w:firstLine="709"/>
        <w:jc w:val="both"/>
        <w:rPr/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</w:rPr>
        <w:t xml:space="preserve">Переопределение критериев происходит при существе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</w:rPr>
        <w:t xml:space="preserve">нном изменении внешних условий или целей заказчика. Примеры: заказчик меняет приоритет с «срока» на «качество» в связи с изменением рыночной конъюнктуры; в проекте обнаруживаются новые технические ограничения, делающие первоначальный критерий недостижимым.</w:t>
      </w:r>
      <w:r/>
    </w:p>
    <w:p>
      <w:pPr>
        <w:pBdr/>
        <w:spacing w:after="80" w:before="160" w:line="360" w:lineRule="auto"/>
        <w:ind w:firstLine="709"/>
        <w:jc w:val="left"/>
        <w:rPr/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Вопрос 5. Запрограммированные и незапрограммированные решения</w:t>
      </w:r>
      <w:r/>
    </w:p>
    <w:p>
      <w:pPr>
        <w:pBdr/>
        <w:spacing w:after="0" w:before="0" w:line="360" w:lineRule="auto"/>
        <w:ind w:firstLine="709"/>
        <w:jc w:val="both"/>
        <w:rPr/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</w:rPr>
        <w:t xml:space="preserve">Запрограммированные решения принимаются по заранее установленным алгоритмам и правилам для повторяющихся, типовых ситуаций. Пример: автоматическое формирование заявки на закупку при снижении 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</w:rPr>
        <w:t xml:space="preserve">запаса материалов ниже критического уровня. Незапрограммированные решения принимаются в уникальных, слабоструктурированных ситуациях, требующих суждения и творческого подхода. Пример: решение о кардинальном изменении технологии на этапе выполнения проекта.</w:t>
      </w:r>
      <w:r/>
    </w:p>
    <w:p>
      <w:pPr>
        <w:pBdr/>
        <w:spacing w:after="0" w:before="0" w:line="360" w:lineRule="auto"/>
        <w:ind w:firstLine="709"/>
        <w:jc w:val="both"/>
        <w:rPr/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</w:rPr>
        <w:t xml:space="preserve">Запрограммировать все решения в проекте принципиально невозможно по следующим причинам: уникальность каждого проект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</w:rPr>
        <w:t xml:space="preserve">а порождает непредвиденные ситуации; внешняя среда изменяется быстрее, чем разрабатываются новые алгоритмы; часть решений требует ценностных суждений, не поддающихся формализации; человеческий фактор (конфликты, мотивация) не алгоритмизируем в полной мере.</w:t>
      </w:r>
      <w:r/>
    </w:p>
    <w:p>
      <w:pPr>
        <w:pBdr/>
        <w:spacing w:after="80" w:before="160" w:line="360" w:lineRule="auto"/>
        <w:ind w:firstLine="709"/>
        <w:jc w:val="left"/>
        <w:rPr/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Вопрос 6. Ограниченный рационализм</w:t>
      </w:r>
      <w:r/>
    </w:p>
    <w:p>
      <w:pPr>
        <w:pBdr/>
        <w:spacing w:after="0" w:before="0" w:line="360" w:lineRule="auto"/>
        <w:ind w:firstLine="709"/>
        <w:jc w:val="both"/>
        <w:rPr/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</w:rPr>
        <w:t xml:space="preserve">Признаки ограниченного рационализма (по Г. Саймону): по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</w:rPr>
        <w:t xml:space="preserve">иск не оптимального, а «достаточно хорошего» (удовлетворительного) решения; прекращение поиска альтернатив после нахождения первого приемлемого варианта; использование упрощённых моделей реальности; опора на эвристику и прошлый опыт вместо полного анализа.</w:t>
      </w:r>
      <w:r/>
    </w:p>
    <w:p>
      <w:pPr>
        <w:pBdr/>
        <w:spacing w:after="0" w:before="0" w:line="360" w:lineRule="auto"/>
        <w:ind w:firstLine="709"/>
        <w:jc w:val="both"/>
        <w:rPr/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</w:rPr>
        <w:t xml:space="preserve">Менеджеры ограничиваются удовлетворительными решениями, потому что: время и информация 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</w:rPr>
        <w:t xml:space="preserve">для полного анализа ограничены; когнитивные возможности человека не безграничны; стоимость сбора полной информации может превышать выгоду от оптимального решения; проектная среда сопряжена с высокой неопределённостью, снижающей ценность детального анализа.</w:t>
      </w:r>
      <w:r/>
    </w:p>
    <w:p>
      <w:pPr>
        <w:pBdr/>
        <w:spacing w:after="80" w:before="160" w:line="360" w:lineRule="auto"/>
        <w:ind w:firstLine="709"/>
        <w:jc w:val="left"/>
        <w:rPr/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Вопрос 7. Управление идеями: открытый или закрытый режим</w:t>
      </w:r>
      <w:r/>
    </w:p>
    <w:p>
      <w:pPr>
        <w:pBdr/>
        <w:spacing w:after="0" w:before="0" w:line="360" w:lineRule="auto"/>
        <w:ind w:firstLine="709"/>
        <w:jc w:val="both"/>
        <w:rPr/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</w:rPr>
        <w:t xml:space="preserve">Управление идеями в проекте целесообразно вести в открытом режиме с дифференцированным доступом. Открытость стимулирует коллективное творчество, снижает риск упущения ценных предложений и повышает вовлечённость команды.</w:t>
      </w:r>
      <w:r/>
    </w:p>
    <w:p>
      <w:pPr>
        <w:pBdr/>
        <w:spacing w:after="0" w:before="0" w:line="360" w:lineRule="auto"/>
        <w:ind w:firstLine="709"/>
        <w:jc w:val="both"/>
        <w:rPr/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</w:rPr>
        <w:t xml:space="preserve">Рекомендуемое распределение прав доступа:</w:t>
      </w:r>
      <w:r/>
    </w:p>
    <w:tbl>
      <w:tblPr>
        <w:tblW w:w="950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4000"/>
        <w:gridCol w:w="5500"/>
      </w:tblGrid>
      <w:tr>
        <w:trPr/>
        <w:tc>
          <w:tcPr>
            <w:shd w:val="clear" w:color="auto" w:fill="d9d9d9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4000" w:type="dxa"/>
            <w:vAlign w:val="center"/>
            <w:textDirection w:val="lrTb"/>
            <w:noWrap w:val="false"/>
          </w:tcPr>
          <w:p>
            <w:pPr>
              <w:pBdr/>
              <w:spacing w:after="0" w:before="0" w:line="276" w:lineRule="auto"/>
              <w:ind/>
              <w:jc w:val="left"/>
              <w:rPr/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 xml:space="preserve">Функция</w:t>
            </w:r>
            <w:r/>
          </w:p>
        </w:tc>
        <w:tc>
          <w:tcPr>
            <w:shd w:val="clear" w:color="auto" w:fill="d9d9d9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5500" w:type="dxa"/>
            <w:vAlign w:val="center"/>
            <w:textDirection w:val="lrTb"/>
            <w:noWrap w:val="false"/>
          </w:tcPr>
          <w:p>
            <w:pPr>
              <w:pBdr/>
              <w:spacing w:after="0" w:before="0" w:line="276" w:lineRule="auto"/>
              <w:ind/>
              <w:jc w:val="left"/>
              <w:rPr/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 xml:space="preserve">Субъект доступа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4000" w:type="dxa"/>
            <w:vAlign w:val="center"/>
            <w:textDirection w:val="lrTb"/>
            <w:noWrap w:val="false"/>
          </w:tcPr>
          <w:p>
            <w:pPr>
              <w:pBdr/>
              <w:spacing w:after="0" w:before="0" w:line="276" w:lineRule="auto"/>
              <w:ind/>
              <w:jc w:val="left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 xml:space="preserve">Просмотр идей</w:t>
            </w:r>
            <w:r/>
          </w:p>
        </w:tc>
        <w:tc>
          <w:tcPr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5500" w:type="dxa"/>
            <w:vAlign w:val="center"/>
            <w:textDirection w:val="lrTb"/>
            <w:noWrap w:val="false"/>
          </w:tcPr>
          <w:p>
            <w:pPr>
              <w:pBdr/>
              <w:spacing w:after="0" w:before="0" w:line="276" w:lineRule="auto"/>
              <w:ind/>
              <w:jc w:val="left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 xml:space="preserve">Все члены команды проекта, включая функциональных специалистов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4000" w:type="dxa"/>
            <w:vAlign w:val="center"/>
            <w:textDirection w:val="lrTb"/>
            <w:noWrap w:val="false"/>
          </w:tcPr>
          <w:p>
            <w:pPr>
              <w:pBdr/>
              <w:spacing w:after="0" w:before="0" w:line="276" w:lineRule="auto"/>
              <w:ind/>
              <w:jc w:val="left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 xml:space="preserve">Изменение идей</w:t>
            </w:r>
            <w:r/>
          </w:p>
        </w:tc>
        <w:tc>
          <w:tcPr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5500" w:type="dxa"/>
            <w:vAlign w:val="center"/>
            <w:textDirection w:val="lrTb"/>
            <w:noWrap w:val="false"/>
          </w:tcPr>
          <w:p>
            <w:pPr>
              <w:pBdr/>
              <w:spacing w:after="0" w:before="0" w:line="276" w:lineRule="auto"/>
              <w:ind/>
              <w:jc w:val="left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 xml:space="preserve">Автор идеи и менеджер проекта (или назначенный фасилитатор)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4000" w:type="dxa"/>
            <w:vAlign w:val="center"/>
            <w:textDirection w:val="lrTb"/>
            <w:noWrap w:val="false"/>
          </w:tcPr>
          <w:p>
            <w:pPr>
              <w:pBdr/>
              <w:spacing w:after="0" w:before="0" w:line="276" w:lineRule="auto"/>
              <w:ind/>
              <w:jc w:val="left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 xml:space="preserve">Добавление идей</w:t>
            </w:r>
            <w:r/>
          </w:p>
        </w:tc>
        <w:tc>
          <w:tcPr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5500" w:type="dxa"/>
            <w:vAlign w:val="center"/>
            <w:textDirection w:val="lrTb"/>
            <w:noWrap w:val="false"/>
          </w:tcPr>
          <w:p>
            <w:pPr>
              <w:pBdr/>
              <w:spacing w:after="0" w:before="0" w:line="276" w:lineRule="auto"/>
              <w:ind/>
              <w:jc w:val="left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 xml:space="preserve">Все члены команды проекта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4000" w:type="dxa"/>
            <w:vAlign w:val="center"/>
            <w:textDirection w:val="lrTb"/>
            <w:noWrap w:val="false"/>
          </w:tcPr>
          <w:p>
            <w:pPr>
              <w:pBdr/>
              <w:spacing w:after="0" w:before="0" w:line="276" w:lineRule="auto"/>
              <w:ind/>
              <w:jc w:val="left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 xml:space="preserve">Удаление идей</w:t>
            </w:r>
            <w:r/>
          </w:p>
        </w:tc>
        <w:tc>
          <w:tcPr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5500" w:type="dxa"/>
            <w:vAlign w:val="center"/>
            <w:textDirection w:val="lrTb"/>
            <w:noWrap w:val="false"/>
          </w:tcPr>
          <w:p>
            <w:pPr>
              <w:pBdr/>
              <w:spacing w:after="0" w:before="0" w:line="276" w:lineRule="auto"/>
              <w:ind/>
              <w:jc w:val="left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 xml:space="preserve">Только менеджер проекта или владелец продукта — после коллегиального обсуждения</w:t>
            </w:r>
            <w:r/>
          </w:p>
        </w:tc>
      </w:tr>
    </w:tbl>
    <w:p>
      <w:pPr>
        <w:pBdr/>
        <w:spacing w:after="100" w:before="200" w:line="360" w:lineRule="auto"/>
        <w:ind/>
        <w:jc w:val="center"/>
        <w:rPr/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Часть 2. Кейс: Туннель под Ла-Маншем</w:t>
      </w:r>
      <w:r/>
    </w:p>
    <w:p>
      <w:pPr>
        <w:pBdr/>
        <w:spacing w:after="80" w:before="160" w:line="360" w:lineRule="auto"/>
        <w:ind w:firstLine="709"/>
        <w:jc w:val="left"/>
        <w:rPr/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Вопрос 1. Меры планирования для предотвращения кризиса</w:t>
      </w:r>
      <w:r/>
    </w:p>
    <w:p>
      <w:pPr>
        <w:pBdr/>
        <w:spacing w:after="0" w:before="0" w:line="360" w:lineRule="auto"/>
        <w:ind w:firstLine="709"/>
        <w:jc w:val="both"/>
        <w:rPr/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</w:rPr>
        <w:t xml:space="preserve">История Евротуннеля показывает, что проект прерывался несколько раз из-за политических и экономических факторов. Следующие меры могли бы снизить вероятность кризиса:</w:t>
      </w:r>
      <w:r/>
    </w:p>
    <w:p>
      <w:pPr>
        <w:pStyle w:val="733"/>
        <w:numPr>
          <w:ilvl w:val="0"/>
          <w:numId w:val="2"/>
        </w:numPr>
        <w:pBdr/>
        <w:spacing w:after="0" w:before="0" w:line="360" w:lineRule="auto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Анализ политических и геополитических рисков на начальном этапе: систематическая оценка политической воли обеих сторон, включения специальных дипломатических гарантий в договорную базу;</w:t>
      </w:r>
      <w:r/>
    </w:p>
    <w:p>
      <w:pPr>
        <w:pStyle w:val="733"/>
        <w:numPr>
          <w:ilvl w:val="0"/>
          <w:numId w:val="2"/>
        </w:numPr>
        <w:pBdr/>
        <w:spacing w:after="0" w:before="0" w:line="360" w:lineRule="auto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Сценарное планирование: разработка нескольких сценариев реализации проекта с учётом различных политических и экономических условий, а также триггеров для перехода между сценариями;</w:t>
      </w:r>
      <w:r/>
    </w:p>
    <w:p>
      <w:pPr>
        <w:pStyle w:val="733"/>
        <w:numPr>
          <w:ilvl w:val="0"/>
          <w:numId w:val="2"/>
        </w:numPr>
        <w:pBdr/>
        <w:spacing w:after="0" w:before="0" w:line="360" w:lineRule="auto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Выделение проекта в международно-правовой формат: создание межправительственного органа управления проектом, чья деятельность защищена от одностороннего политического вмешательства;</w:t>
      </w:r>
      <w:r/>
    </w:p>
    <w:p>
      <w:pPr>
        <w:pStyle w:val="733"/>
        <w:numPr>
          <w:ilvl w:val="0"/>
          <w:numId w:val="2"/>
        </w:numPr>
        <w:pBdr/>
        <w:spacing w:after="0" w:before="0" w:line="360" w:lineRule="auto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Поэтапное финансирование с чёткими контрольными точками: привязка каждого транша финансирования к достижению конкретных результатов, что снижает риск бесконтрольного роста затрат;</w:t>
      </w:r>
      <w:r/>
    </w:p>
    <w:p>
      <w:pPr>
        <w:pStyle w:val="733"/>
        <w:numPr>
          <w:ilvl w:val="0"/>
          <w:numId w:val="2"/>
        </w:numPr>
        <w:pBdr/>
        <w:spacing w:after="0" w:before="0" w:line="360" w:lineRule="auto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Управление ожиданиями стейкхолдеров: системная работа с общественным мнением и политическими элитами в обеих странах для формирования устойчивой поддержки проекта.</w:t>
      </w:r>
      <w:r/>
    </w:p>
    <w:p>
      <w:pPr>
        <w:pBdr/>
        <w:spacing w:after="80" w:before="160" w:line="360" w:lineRule="auto"/>
        <w:ind w:firstLine="709"/>
        <w:jc w:val="left"/>
        <w:rPr/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Вопрос 2. Рекомендации по совершенствованию коммуникаций</w:t>
      </w:r>
      <w:r/>
    </w:p>
    <w:p>
      <w:pPr>
        <w:pBdr/>
        <w:spacing w:after="0" w:before="0" w:line="360" w:lineRule="auto"/>
        <w:ind w:firstLine="709"/>
        <w:jc w:val="both"/>
        <w:rPr/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</w:rPr>
        <w:t xml:space="preserve">В международном инфраструктурном проекте подобного масштаба система коммуникаций должна включать:</w:t>
      </w:r>
      <w:r/>
    </w:p>
    <w:p>
      <w:pPr>
        <w:pStyle w:val="733"/>
        <w:numPr>
          <w:ilvl w:val="0"/>
          <w:numId w:val="2"/>
        </w:numPr>
        <w:pBdr/>
        <w:spacing w:after="0" w:before="0" w:line="360" w:lineRule="auto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Создание двуязычного проектного офиса с представителями обеих стран, несущими равную ответственность за информационный обмен;</w:t>
      </w:r>
      <w:r/>
    </w:p>
    <w:p>
      <w:pPr>
        <w:pStyle w:val="733"/>
        <w:numPr>
          <w:ilvl w:val="0"/>
          <w:numId w:val="2"/>
        </w:numPr>
        <w:pBdr/>
        <w:spacing w:after="0" w:before="0" w:line="360" w:lineRule="auto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Регулярные совместные заседания проектного комитета на уровне министерств транспорта Великобритании и Франции;</w:t>
      </w:r>
      <w:r/>
    </w:p>
    <w:p>
      <w:pPr>
        <w:pStyle w:val="733"/>
        <w:numPr>
          <w:ilvl w:val="0"/>
          <w:numId w:val="2"/>
        </w:numPr>
        <w:pBdr/>
        <w:spacing w:after="0" w:before="0" w:line="360" w:lineRule="auto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Привлечение независимых медиаторов и международных организаций (например, ЕЭК ООН) для сглаживания возможных межгосударственных разногласий;</w:t>
      </w:r>
      <w:r/>
    </w:p>
    <w:p>
      <w:pPr>
        <w:pStyle w:val="733"/>
        <w:numPr>
          <w:ilvl w:val="0"/>
          <w:numId w:val="2"/>
        </w:numPr>
        <w:pBdr/>
        <w:spacing w:after="0" w:before="0" w:line="360" w:lineRule="auto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Публичная отчётность: периодические открытые доклады для граждан обеих стран о ходе проекта, его пользе и соблюдении бюджета;</w:t>
      </w:r>
      <w:r/>
    </w:p>
    <w:p>
      <w:pPr>
        <w:pStyle w:val="733"/>
        <w:numPr>
          <w:ilvl w:val="0"/>
          <w:numId w:val="2"/>
        </w:numPr>
        <w:pBdr/>
        <w:spacing w:after="0" w:before="0" w:line="360" w:lineRule="auto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Единая система документооборота на двух языках с чётко определёнными процедурами урегулирования разногласий.</w:t>
      </w:r>
      <w:r/>
    </w:p>
    <w:p w14:paraId="4179E61E">
      <w:pPr>
        <w:pBdr/>
        <w:spacing w:after="100" w:before="200" w:line="360" w:lineRule="auto"/>
        <w:ind/>
        <w:jc w:val="center"/>
        <w:rPr/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</w:r>
    </w:p>
    <w:p>
      <w:pPr>
        <w:pBdr/>
        <w:spacing w:after="100" w:before="200" w:line="360" w:lineRule="auto"/>
        <w:ind/>
        <w:jc w:val="center"/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Часть 2. Кейс: Скоростной участок железной дороги между Лондоном и туннелем</w:t>
      </w:r>
      <w:r/>
    </w:p>
    <w:p>
      <w:pPr>
        <w:pBdr/>
        <w:spacing w:after="80" w:before="160" w:line="360" w:lineRule="auto"/>
        <w:ind w:firstLine="709"/>
        <w:jc w:val="left"/>
        <w:rPr/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Вопрос 1. Типы проектных рисков</w:t>
      </w:r>
      <w:r/>
    </w:p>
    <w:p>
      <w:pPr>
        <w:pBdr/>
        <w:spacing w:after="0" w:before="0" w:line="360" w:lineRule="auto"/>
        <w:ind w:firstLine="709"/>
        <w:jc w:val="both"/>
        <w:rPr/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</w:rPr>
        <w:t xml:space="preserve">В данном случае команда проекта столкнулась со следующими типами рисков:</w:t>
      </w:r>
      <w:r/>
    </w:p>
    <w:p>
      <w:pPr>
        <w:pStyle w:val="733"/>
        <w:numPr>
          <w:ilvl w:val="0"/>
          <w:numId w:val="2"/>
        </w:numPr>
        <w:pBdr/>
        <w:spacing w:after="0" w:before="0" w:line="360" w:lineRule="auto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Политический риск (внешний) — протестная акция рабочих, направленная против государственной политики в области налогообложения топлива. Данный риск не связан непосредственно с проектом, однако оказал на него прямое воздействие;</w:t>
      </w:r>
      <w:r/>
    </w:p>
    <w:p>
      <w:pPr>
        <w:pStyle w:val="733"/>
        <w:numPr>
          <w:ilvl w:val="0"/>
          <w:numId w:val="2"/>
        </w:numPr>
        <w:pBdr/>
        <w:spacing w:after="0" w:before="0" w:line="360" w:lineRule="auto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Риск цепочки поставок (операционный) — блокада склада горючего прервала снабжение, что парализовало строительную технику;</w:t>
      </w:r>
      <w:r/>
    </w:p>
    <w:p>
      <w:pPr>
        <w:pStyle w:val="733"/>
        <w:numPr>
          <w:ilvl w:val="0"/>
          <w:numId w:val="2"/>
        </w:numPr>
        <w:pBdr/>
        <w:spacing w:after="0" w:before="0" w:line="360" w:lineRule="auto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Риск графика (временной) — задержка в укладке железнодорожного полотна привела к необходимости продления дорогостоящих контрактов поддержки;</w:t>
      </w:r>
      <w:r/>
    </w:p>
    <w:p>
      <w:pPr>
        <w:pStyle w:val="733"/>
        <w:numPr>
          <w:ilvl w:val="0"/>
          <w:numId w:val="2"/>
        </w:numPr>
        <w:pBdr/>
        <w:spacing w:after="0" w:before="0" w:line="360" w:lineRule="auto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Финансовый риск — вынужденное продление контрактов в сжатые сроки по нерыночным ценам повлекло незапланированные затраты;</w:t>
      </w:r>
      <w:r/>
    </w:p>
    <w:p>
      <w:pPr>
        <w:pStyle w:val="733"/>
        <w:numPr>
          <w:ilvl w:val="0"/>
          <w:numId w:val="2"/>
        </w:numPr>
        <w:pBdr/>
        <w:spacing w:after="0" w:before="0" w:line="360" w:lineRule="auto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Репутационный риск — широкое освещение проблемы в СМИ по мере приближения сроков сдачи объекта.</w:t>
      </w:r>
      <w:r/>
      <w:r>
        <w:rPr>
          <w:rFonts w:ascii="Times New Roman" w:hAnsi="Times New Roman" w:eastAsia="Times New Roman" w:cs="Times New Roman"/>
          <w:sz w:val="28"/>
          <w:szCs w:val="28"/>
        </w:rPr>
      </w:r>
      <w:r/>
      <w:r/>
    </w:p>
    <w:p>
      <w:pPr>
        <w:pBdr/>
        <w:spacing w:after="80" w:before="160" w:line="360" w:lineRule="auto"/>
        <w:ind w:firstLine="709"/>
        <w:jc w:val="left"/>
        <w:rPr/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Вопрос 2. Оценка забастовки как риска</w:t>
      </w:r>
      <w:r/>
      <w:r>
        <w:rPr>
          <w:rFonts w:ascii="Times New Roman" w:hAnsi="Times New Roman" w:eastAsia="Times New Roman" w:cs="Times New Roman"/>
          <w:sz w:val="28"/>
          <w:szCs w:val="28"/>
        </w:rPr>
      </w:r>
      <w:r/>
      <w:r/>
    </w:p>
    <w:p>
      <w:pPr>
        <w:pBdr/>
        <w:spacing w:after="0" w:before="0" w:line="360" w:lineRule="auto"/>
        <w:ind w:firstLine="709"/>
        <w:jc w:val="both"/>
        <w:rPr/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</w:rPr>
        <w:t xml:space="preserve">Блокаду склада горючего следует классифицировать как критический риск, занимающий промежуточное положение между допустимым и катастрофическим. В пользу именно такой классификации свидетельствует следующее:</w:t>
      </w:r>
      <w:r/>
    </w:p>
    <w:p>
      <w:pPr>
        <w:pStyle w:val="733"/>
        <w:numPr>
          <w:ilvl w:val="0"/>
          <w:numId w:val="2"/>
        </w:numPr>
        <w:pBdr/>
        <w:spacing w:after="0" w:before="0" w:line="360" w:lineRule="auto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Воздействие на проект было высоким: произошла полная остановка строительных работ, потребовавшая продления дорогостоящих контрактов;</w:t>
      </w:r>
      <w:r/>
    </w:p>
    <w:p>
      <w:pPr>
        <w:pStyle w:val="733"/>
        <w:numPr>
          <w:ilvl w:val="0"/>
          <w:numId w:val="2"/>
        </w:numPr>
        <w:pBdr/>
        <w:spacing w:after="0" w:before="0" w:line="360" w:lineRule="auto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Вместе с тем риск не является катастрофическим, поскольку не поставил под угрозу жизнь людей, не уничтожил уже созданные результаты проекта и в конечном счёте был преодолён без отказа от проекта;</w:t>
      </w:r>
      <w:r/>
    </w:p>
    <w:p>
      <w:pPr>
        <w:pStyle w:val="733"/>
        <w:numPr>
          <w:ilvl w:val="0"/>
          <w:numId w:val="2"/>
        </w:numPr>
        <w:pBdr/>
        <w:spacing w:after="0" w:before="0" w:line="360" w:lineRule="auto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Вероятность была изначально оценена как низкая, что и обусловило недостаточность мер реагирования.</w:t>
      </w:r>
      <w:r/>
      <w:r>
        <w:rPr>
          <w:rFonts w:ascii="Times New Roman" w:hAnsi="Times New Roman" w:eastAsia="Times New Roman" w:cs="Times New Roman"/>
          <w:sz w:val="28"/>
          <w:szCs w:val="28"/>
        </w:rPr>
      </w:r>
      <w:r/>
      <w:r/>
    </w:p>
    <w:p>
      <w:pPr>
        <w:pBdr/>
        <w:spacing w:after="0" w:before="0" w:line="360" w:lineRule="auto"/>
        <w:ind w:firstLine="709"/>
        <w:jc w:val="both"/>
        <w:rPr/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</w:rPr>
        <w:t xml:space="preserve">Таким образом, ошибка заключалась не в самом факте признания риска маловероятным, а в разработке лишь одной меры реагирования (пересмотр стоимости и графика) без разработки альтернативных источников снабжения топливом.</w:t>
      </w:r>
      <w:r/>
      <w:r>
        <w:rPr>
          <w:rFonts w:ascii="Times New Roman" w:hAnsi="Times New Roman" w:eastAsia="Times New Roman" w:cs="Times New Roman"/>
          <w:sz w:val="28"/>
          <w:szCs w:val="28"/>
        </w:rPr>
      </w:r>
      <w:r/>
      <w:r/>
    </w:p>
    <w:p>
      <w:pPr>
        <w:pBdr/>
        <w:spacing w:after="80" w:before="160" w:line="360" w:lineRule="auto"/>
        <w:ind w:firstLine="709"/>
        <w:jc w:val="left"/>
        <w:rPr/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Вопрос 3. Вероятность наступления риска блокады на разных фазах жизненного цикла</w:t>
      </w:r>
      <w:r/>
      <w:r>
        <w:rPr>
          <w:rFonts w:ascii="Times New Roman" w:hAnsi="Times New Roman" w:eastAsia="Times New Roman" w:cs="Times New Roman"/>
          <w:sz w:val="28"/>
          <w:szCs w:val="28"/>
        </w:rPr>
      </w:r>
      <w:r/>
      <w:r/>
    </w:p>
    <w:p>
      <w:pPr>
        <w:pBdr/>
        <w:spacing w:after="0" w:before="0" w:line="360" w:lineRule="auto"/>
        <w:ind w:firstLine="709"/>
        <w:jc w:val="both"/>
        <w:rPr/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</w:rPr>
        <w:t xml:space="preserve">Оценка вероятности риска блокады склада горючего на различных фазах жизненного цикла проекта:</w:t>
      </w:r>
      <w:r/>
      <w:r>
        <w:rPr>
          <w:rFonts w:ascii="Times New Roman" w:hAnsi="Times New Roman" w:eastAsia="Times New Roman" w:cs="Times New Roman"/>
          <w:sz w:val="28"/>
          <w:szCs w:val="28"/>
        </w:rPr>
      </w:r>
      <w:r/>
      <w:r/>
    </w:p>
    <w:tbl>
      <w:tblPr>
        <w:tblW w:w="950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2800"/>
        <w:gridCol w:w="2300"/>
        <w:gridCol w:w="4400"/>
      </w:tblGrid>
      <w:tr>
        <w:trPr/>
        <w:tc>
          <w:tcPr>
            <w:shd w:val="clear" w:color="auto" w:fill="d9d9d9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800" w:type="dxa"/>
            <w:vAlign w:val="center"/>
            <w:textDirection w:val="lrTb"/>
            <w:noWrap w:val="false"/>
          </w:tcPr>
          <w:p>
            <w:pPr>
              <w:pBdr/>
              <w:spacing w:after="0" w:before="0" w:line="276" w:lineRule="auto"/>
              <w:ind/>
              <w:jc w:val="left"/>
              <w:rPr/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 xml:space="preserve">Фаза проекта</w:t>
            </w:r>
            <w:r/>
          </w:p>
        </w:tc>
        <w:tc>
          <w:tcPr>
            <w:shd w:val="clear" w:color="auto" w:fill="d9d9d9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300" w:type="dxa"/>
            <w:vAlign w:val="center"/>
            <w:textDirection w:val="lrTb"/>
            <w:noWrap w:val="false"/>
          </w:tcPr>
          <w:p>
            <w:pPr>
              <w:pBdr/>
              <w:spacing w:after="0" w:before="0" w:line="276" w:lineRule="auto"/>
              <w:ind/>
              <w:jc w:val="left"/>
              <w:rPr/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 xml:space="preserve">Вероятность риска</w:t>
            </w:r>
            <w:r/>
          </w:p>
        </w:tc>
        <w:tc>
          <w:tcPr>
            <w:shd w:val="clear" w:color="auto" w:fill="d9d9d9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4400" w:type="dxa"/>
            <w:vAlign w:val="center"/>
            <w:textDirection w:val="lrTb"/>
            <w:noWrap w:val="false"/>
          </w:tcPr>
          <w:p>
            <w:pPr>
              <w:pBdr/>
              <w:spacing w:after="0" w:before="0" w:line="276" w:lineRule="auto"/>
              <w:ind/>
              <w:jc w:val="left"/>
              <w:rPr/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 xml:space="preserve">Обоснование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800" w:type="dxa"/>
            <w:vAlign w:val="center"/>
            <w:textDirection w:val="lrTb"/>
            <w:noWrap w:val="false"/>
          </w:tcPr>
          <w:p>
            <w:pPr>
              <w:pBdr/>
              <w:spacing w:after="0" w:before="0" w:line="276" w:lineRule="auto"/>
              <w:ind/>
              <w:jc w:val="left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 xml:space="preserve">Инициация</w:t>
            </w:r>
            <w:r/>
          </w:p>
        </w:tc>
        <w:tc>
          <w:tcPr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300" w:type="dxa"/>
            <w:vAlign w:val="center"/>
            <w:textDirection w:val="lrTb"/>
            <w:noWrap w:val="false"/>
          </w:tcPr>
          <w:p>
            <w:pPr>
              <w:pBdr/>
              <w:spacing w:after="0" w:before="0" w:line="276" w:lineRule="auto"/>
              <w:ind/>
              <w:jc w:val="left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 xml:space="preserve">Низкая</w:t>
            </w:r>
            <w:r/>
          </w:p>
        </w:tc>
        <w:tc>
          <w:tcPr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4400" w:type="dxa"/>
            <w:vAlign w:val="center"/>
            <w:textDirection w:val="lrTb"/>
            <w:noWrap w:val="false"/>
          </w:tcPr>
          <w:p>
            <w:pPr>
              <w:pBdr/>
              <w:spacing w:after="0" w:before="0" w:line="276" w:lineRule="auto"/>
              <w:ind/>
              <w:jc w:val="left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 xml:space="preserve">Строительные работы ещё не ведутся, потребность в топливе минимальна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800" w:type="dxa"/>
            <w:vAlign w:val="center"/>
            <w:textDirection w:val="lrTb"/>
            <w:noWrap w:val="false"/>
          </w:tcPr>
          <w:p>
            <w:pPr>
              <w:pBdr/>
              <w:spacing w:after="0" w:before="0" w:line="276" w:lineRule="auto"/>
              <w:ind/>
              <w:jc w:val="left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 xml:space="preserve">Планирование</w:t>
            </w:r>
            <w:r/>
          </w:p>
        </w:tc>
        <w:tc>
          <w:tcPr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300" w:type="dxa"/>
            <w:vAlign w:val="center"/>
            <w:textDirection w:val="lrTb"/>
            <w:noWrap w:val="false"/>
          </w:tcPr>
          <w:p>
            <w:pPr>
              <w:pBdr/>
              <w:spacing w:after="0" w:before="0" w:line="276" w:lineRule="auto"/>
              <w:ind/>
              <w:jc w:val="left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 xml:space="preserve">Низкая</w:t>
            </w:r>
            <w:r/>
          </w:p>
        </w:tc>
        <w:tc>
          <w:tcPr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4400" w:type="dxa"/>
            <w:vAlign w:val="center"/>
            <w:textDirection w:val="lrTb"/>
            <w:noWrap w:val="false"/>
          </w:tcPr>
          <w:p>
            <w:pPr>
              <w:pBdr/>
              <w:spacing w:after="0" w:before="0" w:line="276" w:lineRule="auto"/>
              <w:ind/>
              <w:jc w:val="left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 xml:space="preserve">Основной объём работ не начат, зависимость от поставок топлива невысока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800" w:type="dxa"/>
            <w:vAlign w:val="center"/>
            <w:textDirection w:val="lrTb"/>
            <w:noWrap w:val="false"/>
          </w:tcPr>
          <w:p>
            <w:pPr>
              <w:pBdr/>
              <w:spacing w:after="0" w:before="0" w:line="276" w:lineRule="auto"/>
              <w:ind/>
              <w:jc w:val="left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 xml:space="preserve">Выполнение (начало)</w:t>
            </w:r>
            <w:r/>
          </w:p>
        </w:tc>
        <w:tc>
          <w:tcPr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300" w:type="dxa"/>
            <w:vAlign w:val="center"/>
            <w:textDirection w:val="lrTb"/>
            <w:noWrap w:val="false"/>
          </w:tcPr>
          <w:p>
            <w:pPr>
              <w:pBdr/>
              <w:spacing w:after="0" w:before="0" w:line="276" w:lineRule="auto"/>
              <w:ind/>
              <w:jc w:val="left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 xml:space="preserve">Средняя</w:t>
            </w:r>
            <w:r/>
          </w:p>
        </w:tc>
        <w:tc>
          <w:tcPr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4400" w:type="dxa"/>
            <w:vAlign w:val="center"/>
            <w:textDirection w:val="lrTb"/>
            <w:noWrap w:val="false"/>
          </w:tcPr>
          <w:p>
            <w:pPr>
              <w:pBdr/>
              <w:spacing w:after="0" w:before="0" w:line="276" w:lineRule="auto"/>
              <w:ind/>
              <w:jc w:val="left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 xml:space="preserve">Техника задействована, но ещё не в полном объёме; риск начинает проявляться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800" w:type="dxa"/>
            <w:vAlign w:val="center"/>
            <w:textDirection w:val="lrTb"/>
            <w:noWrap w:val="false"/>
          </w:tcPr>
          <w:p>
            <w:pPr>
              <w:pBdr/>
              <w:spacing w:after="0" w:before="0" w:line="276" w:lineRule="auto"/>
              <w:ind/>
              <w:jc w:val="left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 xml:space="preserve">Выполнение (активная фаза)</w:t>
            </w:r>
            <w:r/>
          </w:p>
        </w:tc>
        <w:tc>
          <w:tcPr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300" w:type="dxa"/>
            <w:vAlign w:val="center"/>
            <w:textDirection w:val="lrTb"/>
            <w:noWrap w:val="false"/>
          </w:tcPr>
          <w:p>
            <w:pPr>
              <w:pBdr/>
              <w:spacing w:after="0" w:before="0" w:line="276" w:lineRule="auto"/>
              <w:ind/>
              <w:jc w:val="left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 xml:space="preserve">Высокая</w:t>
            </w:r>
            <w:r/>
          </w:p>
        </w:tc>
        <w:tc>
          <w:tcPr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4400" w:type="dxa"/>
            <w:vAlign w:val="center"/>
            <w:textDirection w:val="lrTb"/>
            <w:noWrap w:val="false"/>
          </w:tcPr>
          <w:p>
            <w:pPr>
              <w:pBdr/>
              <w:spacing w:after="0" w:before="0" w:line="276" w:lineRule="auto"/>
              <w:ind/>
              <w:jc w:val="left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 xml:space="preserve">Полная загрузка строительной техники; блокада топлива полностью останавливает работы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800" w:type="dxa"/>
            <w:vAlign w:val="center"/>
            <w:textDirection w:val="lrTb"/>
            <w:noWrap w:val="false"/>
          </w:tcPr>
          <w:p>
            <w:pPr>
              <w:pBdr/>
              <w:spacing w:after="0" w:before="0" w:line="276" w:lineRule="auto"/>
              <w:ind/>
              <w:jc w:val="left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 xml:space="preserve">Завершение</w:t>
            </w:r>
            <w:r/>
          </w:p>
        </w:tc>
        <w:tc>
          <w:tcPr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300" w:type="dxa"/>
            <w:vAlign w:val="center"/>
            <w:textDirection w:val="lrTb"/>
            <w:noWrap w:val="false"/>
          </w:tcPr>
          <w:p>
            <w:pPr>
              <w:pBdr/>
              <w:spacing w:after="0" w:before="0" w:line="276" w:lineRule="auto"/>
              <w:ind/>
              <w:jc w:val="left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 xml:space="preserve">Средняя</w:t>
            </w:r>
            <w:r/>
          </w:p>
        </w:tc>
        <w:tc>
          <w:tcPr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4400" w:type="dxa"/>
            <w:vAlign w:val="center"/>
            <w:textDirection w:val="lrTb"/>
            <w:noWrap w:val="false"/>
          </w:tcPr>
          <w:p>
            <w:pPr>
              <w:pBdr/>
              <w:spacing w:after="0" w:before="0" w:line="276" w:lineRule="auto"/>
              <w:ind/>
              <w:jc w:val="left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 xml:space="preserve">Объём работ снижается, однако любая задержка критична из-за жёстких сроков сдачи</w:t>
            </w:r>
            <w:r/>
          </w:p>
        </w:tc>
      </w:tr>
    </w:tbl>
    <w:p>
      <w:pPr>
        <w:pBdr/>
        <w:spacing w:after="0" w:before="240" w:line="360" w:lineRule="auto"/>
        <w:ind w:firstLine="709"/>
        <w:jc w:val="both"/>
        <w:rPr/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</w:rPr>
        <w:t xml:space="preserve">Парадокс данной ситуации состоит в том, что риск был реализован именно на завершающей фазе активного строительства, когда его воздействие на проект оказалось наибольшим: задержки напрямую транслировались в нарушение публично объявлен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</w:rPr>
        <w:t xml:space="preserve">ных сроков сдачи объекта, что усиливало репутационный ущерб. Принципы риск-менеджмента требуют пересматривать оценку вероятности и воздействия рисков на каждой фазе жизненного цикла проекта, а не ограничиваться первоначальной оценкой на этапе планирования.</w:t>
      </w:r>
      <w:r/>
    </w:p>
    <w:p w14:paraId="7701BC44">
      <w:pPr>
        <w:pBdr/>
        <w:shd w:val="nil"/>
        <w:spacing/>
        <w:ind/>
        <w:rPr/>
      </w:pPr>
      <w:r>
        <w:rPr>
          <w:rFonts w:ascii="Times New Roman" w:hAnsi="Times New Roman" w:eastAsia="Times New Roman" w:cs="Times New Roman"/>
          <w:b/>
          <w:bCs/>
          <w:caps/>
          <w:sz w:val="28"/>
          <w:szCs w:val="28"/>
          <w:highlight w:val="none"/>
        </w:rPr>
        <w:br w:type="page" w:clear="all"/>
      </w:r>
      <w:r>
        <w:rPr>
          <w:rFonts w:ascii="Times New Roman" w:hAnsi="Times New Roman" w:eastAsia="Times New Roman" w:cs="Times New Roman"/>
          <w:b/>
          <w:bCs/>
          <w:caps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/>
          <w:bCs/>
          <w:caps/>
          <w:sz w:val="28"/>
          <w:szCs w:val="28"/>
          <w:highlight w:val="none"/>
        </w:rPr>
      </w:r>
    </w:p>
    <w:p>
      <w:pPr>
        <w:pBdr/>
        <w:spacing w:after="120" w:before="240" w:line="360" w:lineRule="auto"/>
        <w:ind/>
        <w:jc w:val="center"/>
        <w:rPr>
          <w:rFonts w:ascii="Times New Roman" w:hAnsi="Times New Roman" w:eastAsia="Times New Roman" w:cs="Times New Roman"/>
          <w:b/>
          <w:bCs/>
          <w:caps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/>
          <w:bCs/>
          <w:caps/>
          <w:sz w:val="28"/>
          <w:szCs w:val="28"/>
        </w:rPr>
        <w:t xml:space="preserve">ЗАКЛЮЧЕНИЕ</w:t>
      </w:r>
      <w:r/>
    </w:p>
    <w:p>
      <w:pPr>
        <w:pBdr/>
        <w:spacing w:after="0" w:before="0" w:line="360" w:lineRule="auto"/>
        <w:ind w:firstLine="709"/>
        <w:jc w:val="both"/>
        <w:rPr/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</w:rPr>
        <w:t xml:space="preserve">В рамках выполнения заданий были рассмотрены ключевые аспекты управления командой проекта и принятия решений в проектном управлении.</w:t>
      </w:r>
      <w:r/>
    </w:p>
    <w:p>
      <w:pPr>
        <w:pBdr/>
        <w:spacing w:after="0" w:before="0" w:line="360" w:lineRule="auto"/>
        <w:ind w:firstLine="709"/>
        <w:jc w:val="both"/>
        <w:rPr/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</w:rPr>
        <w:t xml:space="preserve">Анализ задания 5 позволил установить, что эффективное функционирование проектной команды обеспечивается чётким разграничением ролей и функций, оптимальным размером команды (не более 10 человек), целенаправленным прохождением этапов её развития, а также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</w:rPr>
        <w:t xml:space="preserve"> систематическим признанием достижений членов команды для поддержания мотивации. Кейс интернет-магазина продемонстрировал критическую важность интеграционного тестирования и согласования коммуникационной стратегии с реальным состоянием готовности продукта.</w:t>
      </w:r>
      <w:r/>
    </w:p>
    <w:p>
      <w:pPr>
        <w:pBdr/>
        <w:spacing w:after="0" w:before="0" w:line="360" w:lineRule="auto"/>
        <w:ind w:firstLine="709"/>
        <w:jc w:val="both"/>
        <w:rPr/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</w:rPr>
        <w:t xml:space="preserve">Анализ задания 6 показал, что принятие решений в управлении проектами охватывает несколько уровней — от рутинных до инновационных — и всегда сопряжено с ограниченным рационализмом. Кейсы туннеля под Ла-Маншем и скоростной же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</w:rPr>
        <w:t xml:space="preserve">лезнодорожной линии подтвердили необходимость динамической переоценки рисков на каждой фазе жизненного цикла проекта, разработки многовариантных планов реагирования и выстраивания надёжных межинституциональных коммуникаций в сложных международных проектах.</w:t>
      </w:r>
      <w:r/>
    </w:p>
    <w:p>
      <w:pPr>
        <w:pBdr/>
        <w:spacing w:after="0" w:before="0" w:line="360" w:lineRule="auto"/>
        <w:ind/>
        <w:rPr/>
      </w:pPr>
      <w:r>
        <w:rPr>
          <w:rFonts w:ascii="Times New Roman" w:hAnsi="Times New Roman" w:eastAsia="Times New Roman" w:cs="Times New Roman"/>
          <w:sz w:val="28"/>
          <w:szCs w:val="28"/>
        </w:rPr>
      </w:r>
      <w:r/>
    </w:p>
    <w:sectPr>
      <w:footerReference w:type="default" r:id="rId9"/>
      <w:footnotePr/>
      <w:endnotePr/>
      <w:type w:val="nextPage"/>
      <w:pgSz w:h="16838" w:orient="portrait" w:w="11906"/>
      <w:pgMar w:top="1134" w:right="850" w:bottom="1134" w:left="1701" w:header="708" w:footer="708" w:gutter="0"/>
      <w:cols w:num="1" w:sep="0" w:space="1701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Bdr/>
      <w:spacing/>
      <w:ind/>
      <w:jc w:val="center"/>
      <w:rPr/>
    </w:pPr>
    <w:r>
      <w:rPr>
        <w:rFonts w:ascii="Times New Roman" w:hAnsi="Times New Roman" w:eastAsia="Times New Roman" w:cs="Times New Roman"/>
        <w:sz w:val="24"/>
        <w:szCs w:val="24"/>
      </w:rPr>
    </w:r>
    <w:r>
      <w:rPr>
        <w:rFonts w:ascii="Times New Roman" w:hAnsi="Times New Roman" w:eastAsia="Times New Roman" w:cs="Times New Roman"/>
        <w:sz w:val="24"/>
        <w:szCs w:val="24"/>
      </w:rPr>
      <w:fldChar w:fldCharType="begin"/>
      <w:instrText xml:space="preserve">PAGE</w:instrText>
      <w:fldChar w:fldCharType="separate"/>
      <w:fldChar w:fldCharType="end"/>
    </w:r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lvl w:ilvl="0">
      <w:isLgl w:val="false"/>
      <w:lvlJc w:val="left"/>
      <w:lvlText w:val="●"/>
      <w:numFmt w:val="bullet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○"/>
      <w:numFmt w:val="bullet"/>
      <w:pPr>
        <w:pBdr/>
        <w:spacing/>
        <w:ind w:hanging="360" w:left="1440"/>
      </w:pPr>
      <w:rPr/>
      <w:start w:val="1"/>
      <w:suff w:val="tab"/>
    </w:lvl>
    <w:lvl w:ilvl="2">
      <w:isLgl w:val="false"/>
      <w:lvlJc w:val="left"/>
      <w:lvlText w:val="■"/>
      <w:numFmt w:val="bullet"/>
      <w:pPr>
        <w:pBdr/>
        <w:spacing/>
        <w:ind w:hanging="360" w:left="2160"/>
      </w:pPr>
      <w:rPr/>
      <w:start w:val="1"/>
      <w:suff w:val="tab"/>
    </w:lvl>
    <w:lvl w:ilvl="3">
      <w:isLgl w:val="false"/>
      <w:lvlJc w:val="left"/>
      <w:lvlText w:val="●"/>
      <w:numFmt w:val="bullet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○"/>
      <w:numFmt w:val="bullet"/>
      <w:pPr>
        <w:pBdr/>
        <w:spacing/>
        <w:ind w:hanging="360" w:left="3600"/>
      </w:pPr>
      <w:rPr/>
      <w:start w:val="1"/>
      <w:suff w:val="tab"/>
    </w:lvl>
    <w:lvl w:ilvl="5">
      <w:isLgl w:val="false"/>
      <w:lvlJc w:val="left"/>
      <w:lvlText w:val="■"/>
      <w:numFmt w:val="bullet"/>
      <w:pPr>
        <w:pBdr/>
        <w:spacing/>
        <w:ind w:hanging="360" w:left="4320"/>
      </w:pPr>
      <w:rPr/>
      <w:start w:val="1"/>
      <w:suff w:val="tab"/>
    </w:lvl>
    <w:lvl w:ilvl="6">
      <w:isLgl w:val="false"/>
      <w:lvlJc w:val="left"/>
      <w:lvlText w:val="●"/>
      <w:numFmt w:val="bullet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●"/>
      <w:numFmt w:val="bullet"/>
      <w:pPr>
        <w:pBdr/>
        <w:spacing/>
        <w:ind w:hanging="360" w:left="5760"/>
      </w:pPr>
      <w:rPr/>
      <w:start w:val="1"/>
      <w:suff w:val="tab"/>
    </w:lvl>
    <w:lvl w:ilvl="8">
      <w:isLgl w:val="false"/>
      <w:lvlJc w:val="left"/>
      <w:lvlText w:val="●"/>
      <w:numFmt w:val="bullet"/>
      <w:pPr>
        <w:pBdr/>
        <w:spacing/>
        <w:ind w:hanging="360" w:left="6480"/>
      </w:pPr>
      <w:rPr/>
      <w:start w:val="1"/>
      <w:suff w:val="tab"/>
    </w:lvl>
  </w:abstractNum>
  <w:abstractNum w:abstractNumId="1">
    <w:lvl w:ilvl="0">
      <w:isLgl w:val="false"/>
      <w:lvlJc w:val="left"/>
      <w:lvlText w:val="–"/>
      <w:numFmt w:val="bullet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9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8"/>
        <w:szCs w:val="28"/>
      </w:rPr>
    </w:rPrDefault>
    <w:pPrDefault>
      <w:pPr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1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">
    <w:name w:val="Table Grid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8" w:default="1">
    <w:name w:val="Normal"/>
    <w:qFormat/>
    <w:pPr>
      <w:pBdr/>
      <w:spacing/>
      <w:ind/>
    </w:pPr>
  </w:style>
  <w:style w:type="paragraph" w:styleId="145">
    <w:name w:val="Heading 7"/>
    <w:basedOn w:val="138"/>
    <w:next w:val="138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138"/>
    <w:next w:val="138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138"/>
    <w:next w:val="138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numbering" w:styleId="149" w:default="1">
    <w:name w:val="No List"/>
    <w:uiPriority w:val="99"/>
    <w:semiHidden/>
    <w:unhideWhenUsed/>
    <w:pPr>
      <w:pBdr/>
      <w:spacing/>
      <w:ind/>
    </w:pPr>
  </w:style>
  <w:style w:type="character" w:styleId="150">
    <w:name w:val="Heading 1 Char"/>
    <w:basedOn w:val="148"/>
    <w:link w:val="726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72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72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729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73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731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60">
    <w:name w:val="Title Char"/>
    <w:basedOn w:val="148"/>
    <w:link w:val="725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138"/>
    <w:next w:val="138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138"/>
    <w:next w:val="138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138"/>
    <w:next w:val="138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70">
    <w:name w:val="No Spacing"/>
    <w:basedOn w:val="138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138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138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138"/>
    <w:next w:val="138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138"/>
    <w:next w:val="138"/>
    <w:uiPriority w:val="39"/>
    <w:unhideWhenUsed/>
    <w:pPr>
      <w:pBdr/>
      <w:spacing w:after="100"/>
      <w:ind/>
    </w:pPr>
  </w:style>
  <w:style w:type="paragraph" w:styleId="190">
    <w:name w:val="toc 2"/>
    <w:basedOn w:val="138"/>
    <w:next w:val="138"/>
    <w:uiPriority w:val="39"/>
    <w:unhideWhenUsed/>
    <w:pPr>
      <w:pBdr/>
      <w:spacing w:after="100"/>
      <w:ind w:left="220"/>
    </w:pPr>
  </w:style>
  <w:style w:type="paragraph" w:styleId="191">
    <w:name w:val="toc 3"/>
    <w:basedOn w:val="138"/>
    <w:next w:val="138"/>
    <w:uiPriority w:val="39"/>
    <w:unhideWhenUsed/>
    <w:pPr>
      <w:pBdr/>
      <w:spacing w:after="100"/>
      <w:ind w:left="440"/>
    </w:pPr>
  </w:style>
  <w:style w:type="paragraph" w:styleId="192">
    <w:name w:val="toc 4"/>
    <w:basedOn w:val="138"/>
    <w:next w:val="138"/>
    <w:uiPriority w:val="39"/>
    <w:unhideWhenUsed/>
    <w:pPr>
      <w:pBdr/>
      <w:spacing w:after="100"/>
      <w:ind w:left="660"/>
    </w:pPr>
  </w:style>
  <w:style w:type="paragraph" w:styleId="193">
    <w:name w:val="toc 5"/>
    <w:basedOn w:val="138"/>
    <w:next w:val="138"/>
    <w:uiPriority w:val="39"/>
    <w:unhideWhenUsed/>
    <w:pPr>
      <w:pBdr/>
      <w:spacing w:after="100"/>
      <w:ind w:left="880"/>
    </w:pPr>
  </w:style>
  <w:style w:type="paragraph" w:styleId="194">
    <w:name w:val="toc 6"/>
    <w:basedOn w:val="138"/>
    <w:next w:val="138"/>
    <w:uiPriority w:val="39"/>
    <w:unhideWhenUsed/>
    <w:pPr>
      <w:pBdr/>
      <w:spacing w:after="100"/>
      <w:ind w:left="1100"/>
    </w:pPr>
  </w:style>
  <w:style w:type="paragraph" w:styleId="195">
    <w:name w:val="toc 7"/>
    <w:basedOn w:val="138"/>
    <w:next w:val="138"/>
    <w:uiPriority w:val="39"/>
    <w:unhideWhenUsed/>
    <w:pPr>
      <w:pBdr/>
      <w:spacing w:after="100"/>
      <w:ind w:left="1320"/>
    </w:pPr>
  </w:style>
  <w:style w:type="paragraph" w:styleId="196">
    <w:name w:val="toc 8"/>
    <w:basedOn w:val="138"/>
    <w:next w:val="138"/>
    <w:uiPriority w:val="39"/>
    <w:unhideWhenUsed/>
    <w:pPr>
      <w:pBdr/>
      <w:spacing w:after="100"/>
      <w:ind w:left="1540"/>
    </w:pPr>
  </w:style>
  <w:style w:type="paragraph" w:styleId="197">
    <w:name w:val="toc 9"/>
    <w:basedOn w:val="138"/>
    <w:next w:val="138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138"/>
    <w:next w:val="138"/>
    <w:uiPriority w:val="99"/>
    <w:unhideWhenUsed/>
    <w:pPr>
      <w:pBdr/>
      <w:spacing w:after="0" w:afterAutospacing="0"/>
      <w:ind/>
    </w:pPr>
  </w:style>
  <w:style w:type="paragraph" w:styleId="725">
    <w:name w:val="Title"/>
    <w:qFormat/>
    <w:pPr>
      <w:pBdr/>
      <w:spacing/>
      <w:ind/>
    </w:pPr>
    <w:rPr>
      <w:sz w:val="56"/>
      <w:szCs w:val="56"/>
    </w:rPr>
  </w:style>
  <w:style w:type="paragraph" w:styleId="726">
    <w:name w:val="Heading 1"/>
    <w:qFormat/>
    <w:pPr>
      <w:pBdr/>
      <w:spacing/>
      <w:ind/>
    </w:pPr>
    <w:rPr>
      <w:color w:val="2e74b5"/>
      <w:sz w:val="32"/>
      <w:szCs w:val="32"/>
    </w:rPr>
  </w:style>
  <w:style w:type="paragraph" w:styleId="727">
    <w:name w:val="Heading 2"/>
    <w:qFormat/>
    <w:pPr>
      <w:pBdr/>
      <w:spacing/>
      <w:ind/>
    </w:pPr>
    <w:rPr>
      <w:color w:val="2e74b5"/>
      <w:sz w:val="26"/>
      <w:szCs w:val="26"/>
    </w:rPr>
  </w:style>
  <w:style w:type="paragraph" w:styleId="728">
    <w:name w:val="Heading 3"/>
    <w:qFormat/>
    <w:pPr>
      <w:pBdr/>
      <w:spacing/>
      <w:ind/>
    </w:pPr>
    <w:rPr>
      <w:color w:val="1f4d78"/>
      <w:sz w:val="24"/>
      <w:szCs w:val="24"/>
    </w:rPr>
  </w:style>
  <w:style w:type="paragraph" w:styleId="729">
    <w:name w:val="Heading 4"/>
    <w:qFormat/>
    <w:pPr>
      <w:pBdr/>
      <w:spacing/>
      <w:ind/>
    </w:pPr>
    <w:rPr>
      <w:i/>
      <w:iCs/>
      <w:color w:val="2e74b5"/>
    </w:rPr>
  </w:style>
  <w:style w:type="paragraph" w:styleId="730">
    <w:name w:val="Heading 5"/>
    <w:qFormat/>
    <w:pPr>
      <w:pBdr/>
      <w:spacing/>
      <w:ind/>
    </w:pPr>
    <w:rPr>
      <w:color w:val="2e74b5"/>
    </w:rPr>
  </w:style>
  <w:style w:type="paragraph" w:styleId="731">
    <w:name w:val="Heading 6"/>
    <w:qFormat/>
    <w:pPr>
      <w:pBdr/>
      <w:spacing/>
      <w:ind/>
    </w:pPr>
    <w:rPr>
      <w:color w:val="1f4d78"/>
    </w:rPr>
  </w:style>
  <w:style w:type="paragraph" w:styleId="732">
    <w:name w:val="Strong"/>
    <w:qFormat/>
    <w:pPr>
      <w:pBdr/>
      <w:spacing/>
      <w:ind/>
    </w:pPr>
    <w:rPr>
      <w:b/>
      <w:bCs/>
    </w:rPr>
  </w:style>
  <w:style w:type="paragraph" w:styleId="733">
    <w:name w:val="List Paragraph"/>
    <w:qFormat/>
    <w:pPr>
      <w:pBdr/>
      <w:spacing/>
      <w:ind/>
    </w:pPr>
  </w:style>
  <w:style w:type="character" w:styleId="734">
    <w:name w:val="Hyperlink"/>
    <w:uiPriority w:val="99"/>
    <w:unhideWhenUsed/>
    <w:pPr>
      <w:pBdr/>
      <w:spacing/>
      <w:ind/>
    </w:pPr>
    <w:rPr>
      <w:color w:val="0563c1"/>
      <w:u w:val="single"/>
    </w:rPr>
  </w:style>
  <w:style w:type="character" w:styleId="735">
    <w:name w:val="footnote reference"/>
    <w:uiPriority w:val="99"/>
    <w:semiHidden/>
    <w:unhideWhenUsed/>
    <w:pPr>
      <w:pBdr/>
      <w:spacing/>
      <w:ind/>
    </w:pPr>
    <w:rPr>
      <w:vertAlign w:val="superscript"/>
    </w:rPr>
  </w:style>
  <w:style w:type="paragraph" w:styleId="736">
    <w:name w:val="footnote text"/>
    <w:link w:val="737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737">
    <w:name w:val="Footnote Text Char"/>
    <w:link w:val="736"/>
    <w:uiPriority w:val="99"/>
    <w:semiHidden/>
    <w:unhideWhenUsed/>
    <w:pPr>
      <w:pBdr/>
      <w:spacing/>
      <w:ind/>
    </w:pPr>
    <w:rPr>
      <w:sz w:val="20"/>
      <w:szCs w:val="20"/>
    </w:rPr>
  </w:style>
  <w:style w:type="character" w:styleId="738">
    <w:name w:val="endnote reference"/>
    <w:uiPriority w:val="99"/>
    <w:semiHidden/>
    <w:unhideWhenUsed/>
    <w:pPr>
      <w:pBdr/>
      <w:spacing/>
      <w:ind/>
    </w:pPr>
    <w:rPr>
      <w:vertAlign w:val="superscript"/>
    </w:rPr>
  </w:style>
  <w:style w:type="paragraph" w:styleId="739">
    <w:name w:val="endnote text"/>
    <w:link w:val="740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740">
    <w:name w:val="Endnote Text Char"/>
    <w:link w:val="739"/>
    <w:uiPriority w:val="99"/>
    <w:semiHidden/>
    <w:unhideWhenUsed/>
    <w:pPr>
      <w:pBdr/>
      <w:spacing/>
      <w:ind/>
    </w:pPr>
    <w:rPr>
      <w:sz w:val="20"/>
      <w:szCs w:val="20"/>
    </w:rPr>
  </w:style>
  <w:style w:type="paragraph" w:styleId="1_36" w:customStyle="1">
    <w:name w:val="Body Text"/>
    <w:basedOn w:val="979"/>
    <w:uiPriority w:val="1"/>
    <w:qFormat/>
    <w:pPr>
      <w:keepNext w:val="false"/>
      <w:keepLines w:val="false"/>
      <w:pageBreakBefore w:val="false"/>
      <w:widowControl w:val="false"/>
      <w:suppressLineNumbers w:val="false"/>
      <w:pBdr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  <w:between w:val="none" w:color="000000" w:sz="4" w:space="0"/>
      </w:pBdr>
      <w:shd w:val="nil" w:color="000000"/>
      <w:bidi w:val="false"/>
      <w:spacing w:after="0" w:afterAutospacing="0" w:before="0" w:beforeAutospacing="0" w:line="240" w:lineRule="auto"/>
      <w:ind w:right="0" w:firstLine="0" w:left="0"/>
      <w:contextualSpacing w:val="false"/>
      <w:jc w:val="left"/>
    </w:pPr>
    <w:rPr>
      <w:rFonts w:ascii="Times New Roman" w:hAnsi="Times New Roman" w:eastAsia="Times New Roman" w:cs="Times New Roman"/>
      <w:b w:val="0"/>
      <w:bCs w:val="0"/>
      <w:i w:val="0"/>
      <w:iCs w:val="0"/>
      <w:caps w:val="0"/>
      <w:smallCaps w:val="0"/>
      <w:strike w:val="0"/>
      <w:vanish w:val="0"/>
      <w:color w:val="auto"/>
      <w:spacing w:val="0"/>
      <w:position w:val="0"/>
      <w:sz w:val="28"/>
      <w:szCs w:val="28"/>
      <w:highlight w:val="none"/>
      <w:u w:val="none"/>
      <w:vertAlign w:val="baseline"/>
      <w:rtl w:val="0"/>
      <w:cs w:val="0"/>
      <w:lang w:val="ru-RU" w:eastAsia="en-US" w:bidi="ar-SA"/>
      <w14:ligatures w14:val="none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footer" Target="footer1.xml" /><Relationship Id="rId10" Type="http://schemas.openxmlformats.org/officeDocument/2006/relationships/image" Target="media/image1.png"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">
  <a:themeElements>
    <a:clrScheme name="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rgbClr val="000000"/>
        </a:solidFill>
        <a:solidFill>
          <a:srgbClr val="000000"/>
        </a:soli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ONLYOFFICE/9.2.1.43</Application>
  <HeadingPairs>
    <vt:vector size="0" baseType="variant"/>
  </HeadingPairs>
  <TitlesOfParts>
    <vt:vector size="0" baseType="lpstr"/>
  </TitlesOfPart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revision>2</cp:revision>
  <dcterms:created xsi:type="dcterms:W3CDTF">2026-04-07T09:31:17Z</dcterms:created>
  <dcterms:modified xsi:type="dcterms:W3CDTF">2026-04-07T09:37:11Z</dcterms:modified>
</cp:coreProperties>
</file>