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443D11D">
      <w:pPr>
        <w:pStyle w:val="906"/>
        <w:pBdr/>
        <w:spacing/>
        <w:ind w:left="4034"/>
        <w:rPr>
          <w:sz w:val="20"/>
        </w:rPr>
      </w:pPr>
      <w:r>
        <w:rPr>
          <w:sz w:val="20"/>
        </w:rPr>
      </w:r>
      <w:r>
        <w:rPr>
          <w:sz w:val="20"/>
        </w:rPr>
        <mc:AlternateContent>
          <mc:Choice Requires="wpg">
            <w:drawing>
              <wp:inline xmlns:wp="http://schemas.openxmlformats.org/drawingml/2006/wordprocessingDrawing" distT="0" distB="0" distL="0" distR="0">
                <wp:extent cx="942296" cy="1052607"/>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823091978" name="Image 1"/>
                        <pic:cNvPicPr/>
                        <pic:nvPr/>
                      </pic:nvPicPr>
                      <pic:blipFill rotWithShape="1">
                        <a:blip r:embed="rId10"/>
                        <a:stretch/>
                      </pic:blipFill>
                      <pic:spPr bwMode="auto">
                        <a:xfrm>
                          <a:off x="0" y="0"/>
                          <a:ext cx="942295" cy="10526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4.20pt;height:82.88pt;mso-wrap-distance-left:0.00pt;mso-wrap-distance-top:0.00pt;mso-wrap-distance-right:0.00pt;mso-wrap-distance-bottom:0.00pt;z-index:1;" stroked="false">
                <v:imagedata r:id="rId10" o:title=""/>
                <o:lock v:ext="edit" rotation="t"/>
              </v:shape>
            </w:pict>
          </mc:Fallback>
        </mc:AlternateContent>
      </w:r>
      <w:r>
        <w:rPr>
          <w:sz w:val="20"/>
        </w:rPr>
      </w:r>
      <w:r>
        <w:rPr>
          <w:sz w:val="20"/>
        </w:rPr>
      </w:r>
    </w:p>
    <w:p w14:paraId="09B69638">
      <w:pPr>
        <w:pStyle w:val="906"/>
        <w:pBdr/>
        <w:spacing w:before="36"/>
        <w:ind w:right="302" w:left="20"/>
        <w:jc w:val="center"/>
        <w:rPr/>
      </w:pPr>
      <w:r>
        <w:t xml:space="preserve">МИНОБРНАУКИ</w:t>
      </w:r>
      <w:r>
        <w:rPr>
          <w:spacing w:val="-17"/>
        </w:rPr>
        <w:t xml:space="preserve"> </w:t>
      </w:r>
      <w:r>
        <w:rPr>
          <w:spacing w:val="-2"/>
        </w:rPr>
        <w:t xml:space="preserve">РОССИИ</w:t>
      </w:r>
      <w:r/>
    </w:p>
    <w:p w14:paraId="25CC8182">
      <w:pPr>
        <w:pStyle w:val="906"/>
        <w:pBdr/>
        <w:spacing w:before="48" w:line="259" w:lineRule="auto"/>
        <w:ind w:right="302" w:left="24"/>
        <w:jc w:val="center"/>
        <w:rPr/>
      </w:pPr>
      <w:r>
        <w:t xml:space="preserve">Федеральное</w:t>
      </w:r>
      <w:r>
        <w:rPr>
          <w:spacing w:val="-9"/>
        </w:rPr>
        <w:t xml:space="preserve"> </w:t>
      </w:r>
      <w:r>
        <w:t xml:space="preserve">государственное</w:t>
      </w:r>
      <w:r>
        <w:rPr>
          <w:spacing w:val="-9"/>
        </w:rPr>
        <w:t xml:space="preserve"> </w:t>
      </w:r>
      <w:r>
        <w:t xml:space="preserve">бюджетное</w:t>
      </w:r>
      <w:r>
        <w:rPr>
          <w:spacing w:val="-9"/>
        </w:rPr>
        <w:t xml:space="preserve"> </w:t>
      </w:r>
      <w:r>
        <w:t xml:space="preserve">образовательное</w:t>
      </w:r>
      <w:r>
        <w:rPr>
          <w:spacing w:val="-11"/>
        </w:rPr>
        <w:t xml:space="preserve"> </w:t>
      </w:r>
      <w:r>
        <w:t xml:space="preserve">учреждение высшего образования</w:t>
      </w:r>
      <w:r/>
    </w:p>
    <w:p w14:paraId="441AC4D0">
      <w:pPr>
        <w:pStyle w:val="906"/>
        <w:pBdr/>
        <w:spacing w:before="65"/>
        <w:ind w:right="302" w:left="19"/>
        <w:jc w:val="center"/>
        <w:rPr/>
      </w:pPr>
      <w:r>
        <w:t xml:space="preserve">«МИРЭА</w:t>
      </w:r>
      <w:r>
        <w:rPr>
          <w:spacing w:val="-10"/>
        </w:rPr>
        <w:t xml:space="preserve"> </w:t>
      </w:r>
      <w:r>
        <w:t xml:space="preserve">–</w:t>
      </w:r>
      <w:r>
        <w:rPr>
          <w:spacing w:val="-8"/>
        </w:rPr>
        <w:t xml:space="preserve"> </w:t>
      </w:r>
      <w:r>
        <w:t xml:space="preserve">Российский</w:t>
      </w:r>
      <w:r>
        <w:rPr>
          <w:spacing w:val="-8"/>
        </w:rPr>
        <w:t xml:space="preserve"> </w:t>
      </w:r>
      <w:r>
        <w:t xml:space="preserve">технологический</w:t>
      </w:r>
      <w:r>
        <w:rPr>
          <w:spacing w:val="-7"/>
        </w:rPr>
        <w:t xml:space="preserve"> </w:t>
      </w:r>
      <w:r>
        <w:rPr>
          <w:spacing w:val="-2"/>
        </w:rPr>
        <w:t xml:space="preserve">университет»</w:t>
      </w:r>
      <w:r/>
    </w:p>
    <w:p w14:paraId="201C1883">
      <w:pPr>
        <w:pStyle w:val="906"/>
        <w:pBdr/>
        <w:spacing w:before="289"/>
        <w:ind/>
        <w:rPr/>
      </w:pPr>
      <w:r/>
      <w:r/>
    </w:p>
    <w:p w14:paraId="7A051B3C">
      <w:pPr>
        <w:pStyle w:val="906"/>
        <w:pBdr/>
        <w:spacing w:before="1"/>
        <w:ind w:right="302" w:left="26"/>
        <w:jc w:val="center"/>
        <w:rPr/>
      </w:pPr>
      <w:r>
        <w:t xml:space="preserve">РТУ</w:t>
      </w:r>
      <w:r>
        <w:rPr>
          <w:spacing w:val="-2"/>
        </w:rPr>
        <w:t xml:space="preserve"> МИРЭА</w:t>
      </w:r>
      <w:r/>
    </w:p>
    <w:p w14:paraId="3C05BECC">
      <w:pPr>
        <w:pStyle w:val="906"/>
        <w:pBdr/>
        <w:spacing w:before="266"/>
        <w:ind w:right="302"/>
        <w:jc w:val="center"/>
        <w:rPr/>
      </w:pPr>
      <w:r>
        <w:t xml:space="preserve">Институт</w:t>
      </w:r>
      <w:r>
        <w:rPr>
          <w:spacing w:val="-12"/>
        </w:rPr>
        <w:t xml:space="preserve"> </w:t>
      </w:r>
      <w:r>
        <w:t xml:space="preserve">Кибербезопасности</w:t>
      </w:r>
      <w:r>
        <w:rPr>
          <w:spacing w:val="-8"/>
        </w:rPr>
        <w:t xml:space="preserve"> </w:t>
      </w:r>
      <w:r>
        <w:t xml:space="preserve">и</w:t>
      </w:r>
      <w:r>
        <w:rPr>
          <w:spacing w:val="-8"/>
        </w:rPr>
        <w:t xml:space="preserve"> </w:t>
      </w:r>
      <w:r>
        <w:t xml:space="preserve">цифровых</w:t>
      </w:r>
      <w:r>
        <w:rPr>
          <w:spacing w:val="-7"/>
        </w:rPr>
        <w:t xml:space="preserve"> </w:t>
      </w:r>
      <w:r>
        <w:rPr>
          <w:spacing w:val="-2"/>
        </w:rPr>
        <w:t xml:space="preserve">технологий</w:t>
      </w:r>
      <w:r/>
    </w:p>
    <w:p w14:paraId="3C3B63F4">
      <w:pPr>
        <w:pStyle w:val="906"/>
        <w:pBdr/>
        <w:spacing w:before="266"/>
        <w:ind w:right="302" w:left="9"/>
        <w:jc w:val="center"/>
        <w:rPr/>
      </w:pPr>
      <w:r>
        <w:t xml:space="preserve">Кафедра</w:t>
      </w:r>
      <w:r>
        <w:rPr>
          <w:spacing w:val="-9"/>
        </w:rPr>
        <w:t xml:space="preserve"> </w:t>
      </w:r>
      <w:r>
        <w:t xml:space="preserve">КБ-4</w:t>
      </w:r>
      <w:r>
        <w:rPr>
          <w:spacing w:val="-7"/>
        </w:rPr>
        <w:t xml:space="preserve"> </w:t>
      </w:r>
      <w:r>
        <w:t xml:space="preserve">«Интеллектуальные</w:t>
      </w:r>
      <w:r>
        <w:rPr>
          <w:spacing w:val="-8"/>
        </w:rPr>
        <w:t xml:space="preserve"> </w:t>
      </w:r>
      <w:r>
        <w:t xml:space="preserve">системы</w:t>
      </w:r>
      <w:r>
        <w:rPr>
          <w:spacing w:val="-9"/>
        </w:rPr>
        <w:t xml:space="preserve"> </w:t>
      </w:r>
      <w:r>
        <w:t xml:space="preserve">информационной</w:t>
      </w:r>
      <w:r>
        <w:rPr>
          <w:spacing w:val="-10"/>
        </w:rPr>
        <w:t xml:space="preserve"> </w:t>
      </w:r>
      <w:r>
        <w:rPr>
          <w:spacing w:val="-2"/>
        </w:rPr>
        <w:t xml:space="preserve">безопасности»</w:t>
      </w:r>
      <w:r/>
    </w:p>
    <w:p w14:paraId="0FF1CE1F">
      <w:pPr>
        <w:pStyle w:val="906"/>
        <w:pBdr/>
        <w:spacing/>
        <w:ind/>
        <w:rPr/>
      </w:pPr>
      <w:r/>
      <w:r/>
    </w:p>
    <w:p w14:paraId="672830A9">
      <w:pPr>
        <w:pStyle w:val="906"/>
        <w:pBdr/>
        <w:spacing/>
        <w:ind/>
        <w:rPr/>
      </w:pPr>
      <w:r/>
      <w:r/>
    </w:p>
    <w:p w14:paraId="65797D4D">
      <w:pPr>
        <w:pStyle w:val="906"/>
        <w:pBdr/>
        <w:spacing/>
        <w:ind/>
        <w:rPr/>
      </w:pPr>
      <w:r/>
      <w:r/>
    </w:p>
    <w:p w14:paraId="724E7E67">
      <w:pPr>
        <w:pStyle w:val="906"/>
        <w:pBdr/>
        <w:spacing/>
        <w:ind/>
        <w:rPr/>
      </w:pPr>
      <w:r/>
      <w:r/>
    </w:p>
    <w:p w14:paraId="6387E3E9">
      <w:pPr>
        <w:pStyle w:val="906"/>
        <w:pBdr/>
        <w:spacing w:before="225"/>
        <w:ind/>
        <w:rPr/>
      </w:pPr>
      <w:r/>
      <w:r/>
    </w:p>
    <w:p w14:paraId="4B4D5EB5">
      <w:pPr>
        <w:pStyle w:val="906"/>
        <w:pBdr/>
        <w:spacing w:before="1"/>
        <w:ind w:right="302" w:left="26"/>
        <w:jc w:val="center"/>
        <w:rPr/>
      </w:pPr>
      <w:r>
        <w:t xml:space="preserve">Практические</w:t>
      </w:r>
      <w:r>
        <w:rPr>
          <w:spacing w:val="-6"/>
        </w:rPr>
        <w:t xml:space="preserve"> </w:t>
      </w:r>
      <w:r>
        <w:t xml:space="preserve">задания</w:t>
      </w:r>
      <w:r>
        <w:rPr>
          <w:spacing w:val="-6"/>
        </w:rPr>
        <w:t xml:space="preserve"> </w:t>
      </w:r>
      <w:r>
        <w:t xml:space="preserve">№</w:t>
      </w:r>
      <w:r>
        <w:rPr>
          <w:spacing w:val="-8"/>
        </w:rPr>
        <w:t xml:space="preserve"> </w:t>
      </w:r>
      <w:r>
        <w:rPr>
          <w:spacing w:val="-5"/>
        </w:rPr>
        <w:t xml:space="preserve">7,8</w:t>
      </w:r>
      <w:r/>
    </w:p>
    <w:p w14:paraId="6A3EE885">
      <w:pPr>
        <w:pStyle w:val="906"/>
        <w:pBdr/>
        <w:spacing w:before="266"/>
        <w:ind w:right="302" w:left="16"/>
        <w:jc w:val="center"/>
        <w:rPr/>
      </w:pPr>
      <w:r>
        <w:t xml:space="preserve">по</w:t>
      </w:r>
      <w:r>
        <w:rPr>
          <w:spacing w:val="-10"/>
        </w:rPr>
        <w:t xml:space="preserve"> </w:t>
      </w:r>
      <w:r>
        <w:t xml:space="preserve">дисциплине:</w:t>
      </w:r>
      <w:r>
        <w:rPr>
          <w:spacing w:val="-6"/>
        </w:rPr>
        <w:t xml:space="preserve"> </w:t>
      </w:r>
      <w:r>
        <w:t xml:space="preserve">«Гибкое</w:t>
      </w:r>
      <w:r>
        <w:rPr>
          <w:spacing w:val="-7"/>
        </w:rPr>
        <w:t xml:space="preserve"> </w:t>
      </w:r>
      <w:r>
        <w:t xml:space="preserve">управление</w:t>
      </w:r>
      <w:r>
        <w:rPr>
          <w:spacing w:val="-6"/>
        </w:rPr>
        <w:t xml:space="preserve"> </w:t>
      </w:r>
      <w:r>
        <w:rPr>
          <w:spacing w:val="-2"/>
        </w:rPr>
        <w:t xml:space="preserve">проектами»</w:t>
      </w:r>
      <w:r/>
    </w:p>
    <w:p w14:paraId="7BF726EF">
      <w:pPr>
        <w:pStyle w:val="906"/>
        <w:pBdr/>
        <w:spacing/>
        <w:ind/>
        <w:rPr/>
      </w:pPr>
      <w:r/>
      <w:r/>
    </w:p>
    <w:p w14:paraId="258DC7E6">
      <w:pPr>
        <w:pStyle w:val="906"/>
        <w:pBdr/>
        <w:spacing w:before="39"/>
        <w:ind/>
        <w:rPr/>
      </w:pPr>
      <w:r/>
      <w:r/>
    </w:p>
    <w:p w14:paraId="7579D856">
      <w:pPr>
        <w:pStyle w:val="906"/>
        <w:pBdr/>
        <w:spacing w:before="1" w:line="412" w:lineRule="auto"/>
        <w:ind w:right="797" w:hanging="32" w:left="5602"/>
        <w:rPr/>
      </w:pPr>
      <w:r>
        <w:t xml:space="preserve">Выполнил:</w:t>
      </w:r>
      <w:r>
        <w:rPr>
          <w:spacing w:val="-16"/>
        </w:rPr>
        <w:t xml:space="preserve"> </w:t>
      </w:r>
      <w:r>
        <w:t xml:space="preserve">студент</w:t>
      </w:r>
      <w:r>
        <w:rPr>
          <w:spacing w:val="-18"/>
        </w:rPr>
        <w:t xml:space="preserve"> </w:t>
      </w:r>
      <w:r>
        <w:t xml:space="preserve">группы </w:t>
      </w:r>
      <w:r>
        <w:rPr>
          <w:spacing w:val="-2"/>
        </w:rPr>
        <w:t xml:space="preserve">ББМО-01-25</w:t>
      </w:r>
      <w:r/>
    </w:p>
    <w:p w14:paraId="7B574457">
      <w:pPr>
        <w:pBdr/>
        <w:spacing w:before="34" w:line="393" w:lineRule="auto"/>
        <w:ind w:right="404" w:firstLine="0" w:left="5602"/>
        <w:jc w:val="left"/>
        <w:rPr>
          <w:i/>
          <w:sz w:val="28"/>
        </w:rPr>
      </w:pPr>
      <w:r>
        <w:rPr>
          <w:i/>
          <w:sz w:val="28"/>
        </w:rPr>
        <w:t xml:space="preserve">Мухаметшин А. Р. </w:t>
      </w:r>
      <w:r>
        <w:rPr>
          <w:sz w:val="28"/>
        </w:rPr>
        <w:t xml:space="preserve">Проверила: </w:t>
      </w:r>
      <w:r>
        <w:rPr>
          <w:i/>
          <w:sz w:val="28"/>
          <w:u w:val="single"/>
        </w:rPr>
        <w:t xml:space="preserve">Тарасова</w:t>
      </w:r>
      <w:r>
        <w:rPr>
          <w:i/>
          <w:spacing w:val="40"/>
          <w:sz w:val="28"/>
        </w:rPr>
        <w:t xml:space="preserve"> </w:t>
      </w:r>
      <w:r>
        <w:rPr>
          <w:i/>
          <w:spacing w:val="-2"/>
          <w:sz w:val="28"/>
          <w:u w:val="single"/>
        </w:rPr>
        <w:t xml:space="preserve">Н. В.</w:t>
      </w:r>
      <w:r>
        <w:rPr>
          <w:i/>
          <w:sz w:val="28"/>
        </w:rPr>
      </w:r>
      <w:r>
        <w:rPr>
          <w:i/>
          <w:sz w:val="28"/>
        </w:rPr>
      </w:r>
    </w:p>
    <w:p w14:paraId="21C51C5F">
      <w:pPr>
        <w:pStyle w:val="906"/>
        <w:pBdr/>
        <w:spacing/>
        <w:ind/>
        <w:rPr>
          <w:i/>
          <w:sz w:val="24"/>
        </w:rPr>
      </w:pPr>
      <w:r>
        <w:rPr>
          <w:i/>
          <w:sz w:val="24"/>
        </w:rPr>
      </w:r>
      <w:r>
        <w:rPr>
          <w:i/>
          <w:sz w:val="24"/>
        </w:rPr>
      </w:r>
      <w:r>
        <w:rPr>
          <w:i/>
          <w:sz w:val="24"/>
        </w:rPr>
      </w:r>
    </w:p>
    <w:p w14:paraId="6F32F06B">
      <w:pPr>
        <w:pStyle w:val="906"/>
        <w:pBdr/>
        <w:spacing/>
        <w:ind/>
        <w:rPr>
          <w:i/>
          <w:sz w:val="24"/>
        </w:rPr>
      </w:pPr>
      <w:r>
        <w:rPr>
          <w:i/>
          <w:sz w:val="24"/>
        </w:rPr>
      </w:r>
      <w:r>
        <w:rPr>
          <w:i/>
          <w:sz w:val="24"/>
        </w:rPr>
      </w:r>
      <w:r>
        <w:rPr>
          <w:i/>
          <w:sz w:val="24"/>
        </w:rPr>
      </w:r>
    </w:p>
    <w:p w14:paraId="4B264A0B">
      <w:pPr>
        <w:pStyle w:val="906"/>
        <w:pBdr/>
        <w:spacing/>
        <w:ind/>
        <w:rPr>
          <w:i/>
          <w:sz w:val="24"/>
        </w:rPr>
      </w:pPr>
      <w:r>
        <w:rPr>
          <w:i/>
          <w:sz w:val="24"/>
        </w:rPr>
      </w:r>
      <w:r>
        <w:rPr>
          <w:i/>
          <w:sz w:val="24"/>
        </w:rPr>
      </w:r>
      <w:r>
        <w:rPr>
          <w:i/>
          <w:sz w:val="24"/>
        </w:rPr>
      </w:r>
    </w:p>
    <w:p w14:paraId="09A4335B">
      <w:pPr>
        <w:pStyle w:val="906"/>
        <w:pBdr/>
        <w:spacing/>
        <w:ind/>
        <w:rPr>
          <w:i/>
          <w:sz w:val="24"/>
        </w:rPr>
      </w:pPr>
      <w:r>
        <w:rPr>
          <w:i/>
          <w:sz w:val="24"/>
        </w:rPr>
      </w:r>
      <w:r>
        <w:rPr>
          <w:i/>
          <w:sz w:val="24"/>
        </w:rPr>
      </w:r>
      <w:r>
        <w:rPr>
          <w:i/>
          <w:sz w:val="24"/>
        </w:rPr>
      </w:r>
    </w:p>
    <w:p w14:paraId="2012C8C5">
      <w:pPr>
        <w:pStyle w:val="906"/>
        <w:pBdr/>
        <w:spacing/>
        <w:ind/>
        <w:rPr>
          <w:i/>
          <w:sz w:val="24"/>
        </w:rPr>
      </w:pPr>
      <w:r>
        <w:rPr>
          <w:i/>
          <w:sz w:val="24"/>
        </w:rPr>
      </w:r>
      <w:r>
        <w:rPr>
          <w:i/>
          <w:sz w:val="24"/>
        </w:rPr>
      </w:r>
      <w:r>
        <w:rPr>
          <w:i/>
          <w:sz w:val="24"/>
        </w:rPr>
      </w:r>
    </w:p>
    <w:p w14:paraId="1FA9DAC8">
      <w:pPr>
        <w:pStyle w:val="906"/>
        <w:pBdr/>
        <w:spacing/>
        <w:ind/>
        <w:rPr>
          <w:i/>
          <w:sz w:val="24"/>
        </w:rPr>
      </w:pPr>
      <w:r>
        <w:rPr>
          <w:i/>
          <w:sz w:val="24"/>
        </w:rPr>
      </w:r>
      <w:r>
        <w:rPr>
          <w:i/>
          <w:sz w:val="24"/>
        </w:rPr>
      </w:r>
      <w:r>
        <w:rPr>
          <w:i/>
          <w:sz w:val="24"/>
        </w:rPr>
      </w:r>
    </w:p>
    <w:p w14:paraId="4F8AE017">
      <w:pPr>
        <w:pStyle w:val="906"/>
        <w:pBdr/>
        <w:spacing/>
        <w:ind/>
        <w:rPr>
          <w:i/>
          <w:sz w:val="24"/>
        </w:rPr>
      </w:pPr>
      <w:r>
        <w:rPr>
          <w:i/>
          <w:sz w:val="24"/>
        </w:rPr>
      </w:r>
      <w:r>
        <w:rPr>
          <w:i/>
          <w:sz w:val="24"/>
        </w:rPr>
      </w:r>
      <w:r>
        <w:rPr>
          <w:i/>
          <w:sz w:val="24"/>
        </w:rPr>
      </w:r>
    </w:p>
    <w:p w14:paraId="1FB90E9F">
      <w:pPr>
        <w:pStyle w:val="906"/>
        <w:pBdr/>
        <w:spacing w:before="95"/>
        <w:ind/>
        <w:rPr>
          <w:bCs/>
          <w:i/>
          <w:sz w:val="24"/>
          <w:szCs w:val="24"/>
        </w:rPr>
      </w:pPr>
      <w:r>
        <w:rPr>
          <w:i/>
          <w:sz w:val="24"/>
        </w:rPr>
      </w:r>
      <w:r>
        <w:rPr>
          <w:bCs/>
          <w:i/>
          <w:sz w:val="24"/>
          <w:szCs w:val="24"/>
        </w:rPr>
      </w:r>
      <w:r>
        <w:rPr>
          <w:bCs/>
          <w:i/>
          <w:sz w:val="24"/>
          <w:szCs w:val="24"/>
        </w:rPr>
      </w:r>
    </w:p>
    <w:p w14:paraId="0C1F20B8">
      <w:pPr>
        <w:pStyle w:val="906"/>
        <w:pBdr/>
        <w:spacing w:before="95"/>
        <w:ind/>
        <w:rPr>
          <w:bCs/>
          <w:i/>
          <w:sz w:val="24"/>
          <w:szCs w:val="24"/>
        </w:rPr>
      </w:pPr>
      <w:r>
        <w:rPr>
          <w:bCs/>
          <w:i/>
          <w:sz w:val="24"/>
          <w:szCs w:val="24"/>
        </w:rPr>
      </w:r>
      <w:r>
        <w:rPr>
          <w:bCs/>
          <w:i/>
          <w:sz w:val="24"/>
          <w:szCs w:val="24"/>
        </w:rPr>
      </w:r>
      <w:r>
        <w:rPr>
          <w:bCs/>
          <w:i/>
          <w:sz w:val="24"/>
          <w:szCs w:val="24"/>
        </w:rPr>
      </w:r>
    </w:p>
    <w:p w14:paraId="3AD04C52">
      <w:pPr>
        <w:pStyle w:val="906"/>
        <w:pBdr/>
        <w:spacing w:before="95"/>
        <w:ind/>
        <w:rPr>
          <w:bCs/>
          <w:i/>
          <w:sz w:val="24"/>
          <w:szCs w:val="24"/>
        </w:rPr>
      </w:pPr>
      <w:r>
        <w:rPr>
          <w:i/>
          <w:sz w:val="24"/>
        </w:rPr>
      </w:r>
      <w:r>
        <w:rPr>
          <w:bCs/>
          <w:i/>
          <w:sz w:val="24"/>
          <w:szCs w:val="24"/>
        </w:rPr>
      </w:r>
      <w:r>
        <w:rPr>
          <w:bCs/>
          <w:i/>
          <w:sz w:val="24"/>
          <w:szCs w:val="24"/>
        </w:rPr>
      </w:r>
    </w:p>
    <w:p w14:paraId="04FD5364">
      <w:pPr>
        <w:pBdr/>
        <w:spacing w:before="0"/>
        <w:ind w:right="302" w:firstLine="0" w:left="24"/>
        <w:jc w:val="center"/>
        <w:rPr>
          <w:sz w:val="24"/>
        </w:rPr>
      </w:pPr>
      <w:r>
        <w:rPr>
          <w:color w:val="0e1115"/>
          <w:sz w:val="24"/>
        </w:rPr>
        <w:t xml:space="preserve">Москва</w:t>
      </w:r>
      <w:r>
        <w:rPr>
          <w:color w:val="0e1115"/>
          <w:spacing w:val="-3"/>
          <w:sz w:val="24"/>
        </w:rPr>
        <w:t xml:space="preserve"> </w:t>
      </w:r>
      <w:r>
        <w:rPr>
          <w:color w:val="0e1115"/>
          <w:spacing w:val="-4"/>
          <w:sz w:val="24"/>
        </w:rPr>
        <w:t xml:space="preserve">2026</w:t>
      </w:r>
      <w:r>
        <w:rPr>
          <w:sz w:val="24"/>
        </w:rPr>
      </w:r>
      <w:r>
        <w:rPr>
          <w:sz w:val="24"/>
        </w:rPr>
      </w:r>
    </w:p>
    <w:p w14:paraId="0B4C21FD">
      <w:pPr>
        <w:pBdr/>
        <w:spacing w:after="200" w:before="280" w:line="360" w:lineRule="auto"/>
        <w:ind/>
        <w:jc w:val="center"/>
        <w:rPr/>
      </w:pPr>
      <w:r>
        <w:rPr>
          <w:rFonts w:ascii="Times New Roman" w:hAnsi="Times New Roman" w:eastAsia="Times New Roman" w:cs="Times New Roman"/>
          <w:b/>
          <w:bCs/>
          <w:sz w:val="28"/>
          <w:szCs w:val="28"/>
        </w:rPr>
        <w:t xml:space="preserve">ЗАДАНИЕ 7. УПРАВЛЕНИЕ ПРОЕКТАМИ В УСЛОВИЯХ НЕОПРЕДЕЛЁННОСТИ И РИСКА</w:t>
      </w:r>
      <w:r/>
      <w:r/>
    </w:p>
    <w:p w14:paraId="583E42FF">
      <w:pPr>
        <w:pBdr/>
        <w:spacing w:after="160" w:before="240" w:line="360" w:lineRule="auto"/>
        <w:ind/>
        <w:jc w:val="left"/>
        <w:rPr/>
      </w:pPr>
      <w:r>
        <w:rPr>
          <w:rFonts w:ascii="Times New Roman" w:hAnsi="Times New Roman" w:eastAsia="Times New Roman" w:cs="Times New Roman"/>
          <w:b/>
          <w:bCs/>
          <w:sz w:val="28"/>
          <w:szCs w:val="28"/>
        </w:rPr>
        <w:t xml:space="preserve">Часть 1. Вопросы для обсуждения</w:t>
      </w:r>
      <w:r/>
      <w:r/>
    </w:p>
    <w:p w14:paraId="2B251DF0">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1. </w:t>
      </w:r>
      <w:r>
        <w:rPr>
          <w:rFonts w:ascii="Times New Roman" w:hAnsi="Times New Roman" w:eastAsia="Times New Roman" w:cs="Times New Roman"/>
          <w:sz w:val="28"/>
          <w:szCs w:val="28"/>
        </w:rPr>
        <w:t xml:space="preserve">Объясните, почему по мере продвижения проекта по его жизненному циклу вероятность риска снижается, а стоимость исправления последствий возрастает. Возможны ли из этого правила исключения?</w:t>
      </w:r>
      <w:r/>
      <w:r/>
    </w:p>
    <w:p w14:paraId="1FE427D9">
      <w:pPr>
        <w:pBdr/>
        <w:spacing w:after="120" w:before="0" w:line="360" w:lineRule="auto"/>
        <w:ind w:firstLine="709"/>
        <w:jc w:val="both"/>
        <w:rPr/>
      </w:pPr>
      <w:r>
        <w:rPr>
          <w:rFonts w:ascii="Times New Roman" w:hAnsi="Times New Roman" w:eastAsia="Times New Roman" w:cs="Times New Roman"/>
          <w:sz w:val="28"/>
          <w:szCs w:val="28"/>
        </w:rPr>
        <w:t xml:space="preserve">На ранних стадиях жизненного цикла проекта (инициация и планирование) неопределённость максимальна: цели, технические решения</w:t>
      </w:r>
      <w:r>
        <w:rPr>
          <w:rFonts w:ascii="Times New Roman" w:hAnsi="Times New Roman" w:eastAsia="Times New Roman" w:cs="Times New Roman"/>
          <w:sz w:val="28"/>
          <w:szCs w:val="28"/>
        </w:rPr>
        <w:t xml:space="preserve"> и ресурсы ещё не зафиксированы. Именно поэтому здесь существует наибольшее число возможных сценариев развития событий, т. е. вероятность наступления рисков высока. Однако объём уже вложенных средств незначителен, поэтому стоимость исправления ошибки мала.</w:t>
      </w:r>
      <w:r/>
      <w:r/>
    </w:p>
    <w:p w14:paraId="3F392117">
      <w:pPr>
        <w:pBdr/>
        <w:spacing w:after="120" w:before="0" w:line="360" w:lineRule="auto"/>
        <w:ind w:firstLine="709"/>
        <w:jc w:val="both"/>
        <w:rPr/>
      </w:pPr>
      <w:r>
        <w:rPr>
          <w:rFonts w:ascii="Times New Roman" w:hAnsi="Times New Roman" w:eastAsia="Times New Roman" w:cs="Times New Roman"/>
          <w:sz w:val="28"/>
          <w:szCs w:val="28"/>
        </w:rPr>
        <w:t xml:space="preserve">По мере реализации проекта решения закрепляются, технологии выбраны, контракты подп</w:t>
      </w:r>
      <w:r>
        <w:rPr>
          <w:rFonts w:ascii="Times New Roman" w:hAnsi="Times New Roman" w:eastAsia="Times New Roman" w:cs="Times New Roman"/>
          <w:sz w:val="28"/>
          <w:szCs w:val="28"/>
        </w:rPr>
        <w:t xml:space="preserve">исаны, персонал задействован. Пространство для манёвра сужается — вероятность риска падает. Одновременно накопленные затраты растут, и любое изменение требует переделки большого объёма уже выполненной работы, что многократно повышает стоимость исправления.</w:t>
      </w:r>
      <w:r/>
      <w:r/>
    </w:p>
    <w:p w14:paraId="1F45517F">
      <w:pPr>
        <w:pBdr/>
        <w:spacing w:after="120" w:before="0" w:line="360" w:lineRule="auto"/>
        <w:ind w:firstLine="709"/>
        <w:jc w:val="both"/>
        <w:rPr/>
      </w:pPr>
      <w:r>
        <w:rPr>
          <w:rFonts w:ascii="Times New Roman" w:hAnsi="Times New Roman" w:eastAsia="Times New Roman" w:cs="Times New Roman"/>
          <w:sz w:val="28"/>
          <w:szCs w:val="28"/>
        </w:rPr>
        <w:t xml:space="preserve">Исключения возможны. Напр</w:t>
      </w:r>
      <w:r>
        <w:rPr>
          <w:rFonts w:ascii="Times New Roman" w:hAnsi="Times New Roman" w:eastAsia="Times New Roman" w:cs="Times New Roman"/>
          <w:sz w:val="28"/>
          <w:szCs w:val="28"/>
        </w:rPr>
        <w:t xml:space="preserve">имер, форс-мажорные события (стихийные бедствия, политические кризисы) могут резко повысить вероятность риска на поздних стадиях. В ИТ-проектах появление критической уязвимости или смена технологической платформы также нарушает классическую закономерность.</w:t>
      </w:r>
      <w:r/>
      <w:r/>
    </w:p>
    <w:p w14:paraId="6BE89897">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2. </w:t>
      </w:r>
      <w:r>
        <w:rPr>
          <w:rFonts w:ascii="Times New Roman" w:hAnsi="Times New Roman" w:eastAsia="Times New Roman" w:cs="Times New Roman"/>
          <w:sz w:val="28"/>
          <w:szCs w:val="28"/>
        </w:rPr>
        <w:t xml:space="preserve">Какие риски относят к финансовым? Какие причины наиболее характерны для их возникновения?</w:t>
      </w:r>
      <w:r/>
      <w:r/>
    </w:p>
    <w:p w14:paraId="23A8BEAE">
      <w:pPr>
        <w:pBdr/>
        <w:spacing w:after="120" w:before="0" w:line="360" w:lineRule="auto"/>
        <w:ind w:firstLine="709"/>
        <w:jc w:val="both"/>
        <w:rPr/>
      </w:pPr>
      <w:r>
        <w:rPr>
          <w:rFonts w:ascii="Times New Roman" w:hAnsi="Times New Roman" w:eastAsia="Times New Roman" w:cs="Times New Roman"/>
          <w:sz w:val="28"/>
          <w:szCs w:val="28"/>
        </w:rPr>
        <w:t xml:space="preserve">К финансовым рискам относятся: кредитный риск (невозврат долга контрагент</w:t>
      </w:r>
      <w:r>
        <w:rPr>
          <w:rFonts w:ascii="Times New Roman" w:hAnsi="Times New Roman" w:eastAsia="Times New Roman" w:cs="Times New Roman"/>
          <w:sz w:val="28"/>
          <w:szCs w:val="28"/>
        </w:rPr>
        <w:t xml:space="preserve">ом), риск ликвидности (невозможность своевременно выполнить обязательства), валютный риск (потери от изменения курсов валют), процентный риск (рост ставок по займам), инфляционный риск (обесценение запланированных доходов), риск недофинансирования проекта.</w:t>
      </w:r>
      <w:r/>
      <w:r/>
    </w:p>
    <w:p w14:paraId="75436C7A">
      <w:pPr>
        <w:pBdr/>
        <w:spacing w:after="120" w:before="0" w:line="360" w:lineRule="auto"/>
        <w:ind w:firstLine="709"/>
        <w:jc w:val="both"/>
        <w:rPr/>
      </w:pPr>
      <w:r>
        <w:rPr>
          <w:rFonts w:ascii="Times New Roman" w:hAnsi="Times New Roman" w:eastAsia="Times New Roman" w:cs="Times New Roman"/>
          <w:sz w:val="28"/>
          <w:szCs w:val="28"/>
        </w:rPr>
        <w:t xml:space="preserve">Наиболее характерные причины: нестабильность макроэкономической среды, недостаточно точное финансовое планирование, зависимость от ограниченного числа инвесторов или кредиторов, колебания рыночного спроса и цен на ресурсы.</w:t>
      </w:r>
      <w:r/>
      <w:r/>
    </w:p>
    <w:p w14:paraId="6FECD872">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3. </w:t>
      </w:r>
      <w:r>
        <w:rPr>
          <w:rFonts w:ascii="Times New Roman" w:hAnsi="Times New Roman" w:eastAsia="Times New Roman" w:cs="Times New Roman"/>
          <w:sz w:val="28"/>
          <w:szCs w:val="28"/>
        </w:rPr>
        <w:t xml:space="preserve">Приведите примеры объективных и субъективных причин возникновения финансовых рисков.</w:t>
      </w:r>
      <w:r/>
      <w:r/>
    </w:p>
    <w:p w14:paraId="6CDBF4EC">
      <w:pPr>
        <w:pBdr/>
        <w:spacing w:after="120" w:before="0" w:line="360" w:lineRule="auto"/>
        <w:ind w:firstLine="709"/>
        <w:jc w:val="both"/>
        <w:rPr/>
      </w:pPr>
      <w:r>
        <w:rPr>
          <w:rFonts w:ascii="Times New Roman" w:hAnsi="Times New Roman" w:eastAsia="Times New Roman" w:cs="Times New Roman"/>
          <w:sz w:val="28"/>
          <w:szCs w:val="28"/>
        </w:rPr>
        <w:t xml:space="preserve">Объективные причины не зависят от воли уч</w:t>
      </w:r>
      <w:r>
        <w:rPr>
          <w:rFonts w:ascii="Times New Roman" w:hAnsi="Times New Roman" w:eastAsia="Times New Roman" w:cs="Times New Roman"/>
          <w:sz w:val="28"/>
          <w:szCs w:val="28"/>
        </w:rPr>
        <w:t xml:space="preserve">астников проекта: инфляция, изменение налогового законодательства, колебания валютного курса, экономические санкции, природные катастрофы. Например, резкое повышение ключевой ставки центральным банком удорожает кредитование и является объективным фактором.</w:t>
      </w:r>
      <w:r/>
      <w:r/>
    </w:p>
    <w:p w14:paraId="39397074">
      <w:pPr>
        <w:pBdr/>
        <w:spacing w:after="120" w:before="0" w:line="360" w:lineRule="auto"/>
        <w:ind w:firstLine="709"/>
        <w:jc w:val="both"/>
        <w:rPr/>
      </w:pPr>
      <w:r>
        <w:rPr>
          <w:rFonts w:ascii="Times New Roman" w:hAnsi="Times New Roman" w:eastAsia="Times New Roman" w:cs="Times New Roman"/>
          <w:sz w:val="28"/>
          <w:szCs w:val="28"/>
        </w:rPr>
        <w:t xml:space="preserve">Субъективные пр</w:t>
      </w:r>
      <w:r>
        <w:rPr>
          <w:rFonts w:ascii="Times New Roman" w:hAnsi="Times New Roman" w:eastAsia="Times New Roman" w:cs="Times New Roman"/>
          <w:sz w:val="28"/>
          <w:szCs w:val="28"/>
        </w:rPr>
        <w:t xml:space="preserve">ичины обусловлены действиями или бездействием участников: ошибки в финансовой модели проекта, несвоевременная оплата счетов заказчиком, нецелевое расходование бюджета, недостаточная квалификация финансового менеджера, конфликты интересов между инвесторами.</w:t>
      </w:r>
      <w:r/>
      <w:r/>
    </w:p>
    <w:p w14:paraId="79A2C958">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4. </w:t>
      </w:r>
      <w:r>
        <w:rPr>
          <w:rFonts w:ascii="Times New Roman" w:hAnsi="Times New Roman" w:eastAsia="Times New Roman" w:cs="Times New Roman"/>
          <w:sz w:val="28"/>
          <w:szCs w:val="28"/>
        </w:rPr>
        <w:t xml:space="preserve">В чём отличие несистемных и системных рисков? Какие из них труднее идентифицировать и определить?</w:t>
      </w:r>
      <w:r/>
      <w:r/>
    </w:p>
    <w:p w14:paraId="371B25EF">
      <w:pPr>
        <w:pBdr/>
        <w:spacing w:after="120" w:before="0" w:line="360" w:lineRule="auto"/>
        <w:ind w:firstLine="709"/>
        <w:jc w:val="both"/>
        <w:rPr/>
      </w:pPr>
      <w:r>
        <w:rPr>
          <w:rFonts w:ascii="Times New Roman" w:hAnsi="Times New Roman" w:eastAsia="Times New Roman" w:cs="Times New Roman"/>
          <w:sz w:val="28"/>
          <w:szCs w:val="28"/>
        </w:rPr>
        <w:t xml:space="preserve">Системные (недиверсифицируемые) риски затрагивают весь рынок или отрасль в целом: экономические кризисы, войны, глобальные пандемии, изменение государственной политики. Они не устраняются диверсификацией портфеля проектов.</w:t>
      </w:r>
      <w:r/>
      <w:r/>
    </w:p>
    <w:p w14:paraId="74F10574">
      <w:pPr>
        <w:pBdr/>
        <w:spacing w:after="120" w:before="0" w:line="360" w:lineRule="auto"/>
        <w:ind w:firstLine="709"/>
        <w:jc w:val="both"/>
        <w:rPr/>
      </w:pPr>
      <w:r>
        <w:rPr>
          <w:rFonts w:ascii="Times New Roman" w:hAnsi="Times New Roman" w:eastAsia="Times New Roman" w:cs="Times New Roman"/>
          <w:sz w:val="28"/>
          <w:szCs w:val="28"/>
        </w:rPr>
        <w:t xml:space="preserve">Несистемные (специфические, диверсифицируемые) риски характерны для конкретного проекта, организации или отрасли: потеря ключевого сотрудника, технологическая неудача, сбой поставщика. Их можно снизить путём диверсификации.</w:t>
      </w:r>
      <w:r/>
      <w:r/>
    </w:p>
    <w:p w14:paraId="4DE3CF1C">
      <w:pPr>
        <w:pBdr/>
        <w:spacing w:after="120" w:before="0" w:line="360" w:lineRule="auto"/>
        <w:ind w:firstLine="709"/>
        <w:jc w:val="both"/>
        <w:rPr/>
      </w:pPr>
      <w:r>
        <w:rPr>
          <w:rFonts w:ascii="Times New Roman" w:hAnsi="Times New Roman" w:eastAsia="Times New Roman" w:cs="Times New Roman"/>
          <w:sz w:val="28"/>
          <w:szCs w:val="28"/>
        </w:rPr>
        <w:t xml:space="preserve">Труднее всего идентифицировать системные риски, так как они обусловлены глобальными процессами, трудно поддающимися прогнозированию и практически неподвластными управлению отдельным участником проекта.</w:t>
      </w:r>
      <w:r/>
      <w:r/>
    </w:p>
    <w:p w14:paraId="0D6C1368">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5. </w:t>
      </w:r>
      <w:r>
        <w:rPr>
          <w:rFonts w:ascii="Times New Roman" w:hAnsi="Times New Roman" w:eastAsia="Times New Roman" w:cs="Times New Roman"/>
          <w:sz w:val="28"/>
          <w:szCs w:val="28"/>
        </w:rPr>
        <w:t xml:space="preserve">Приведите примеры рисков, характерных для различных фаз проекта.</w:t>
      </w:r>
      <w:r/>
      <w:r/>
    </w:p>
    <w:p w14:paraId="09BF3192">
      <w:pPr>
        <w:pBdr/>
        <w:spacing w:after="120" w:before="0" w:line="360" w:lineRule="auto"/>
        <w:ind w:firstLine="709"/>
        <w:jc w:val="both"/>
        <w:rPr/>
      </w:pPr>
      <w:r>
        <w:rPr>
          <w:rFonts w:ascii="Times New Roman" w:hAnsi="Times New Roman" w:eastAsia="Times New Roman" w:cs="Times New Roman"/>
          <w:sz w:val="28"/>
          <w:szCs w:val="28"/>
        </w:rPr>
        <w:t xml:space="preserve">Ф</w:t>
      </w:r>
      <w:r>
        <w:rPr>
          <w:rFonts w:ascii="Times New Roman" w:hAnsi="Times New Roman" w:eastAsia="Times New Roman" w:cs="Times New Roman"/>
          <w:sz w:val="28"/>
          <w:szCs w:val="28"/>
        </w:rPr>
        <w:t xml:space="preserve">аза инициации: риск неверного определения целей и требований, риск низкой заинтересованности стейкхолдеров, риск отказа в финансировании. Фаза планирования: риск неточной оценки сроков и бюджета, риск неполного охвата работ (scope creep), риск ошибочного в</w:t>
      </w:r>
      <w:r>
        <w:rPr>
          <w:rFonts w:ascii="Times New Roman" w:hAnsi="Times New Roman" w:eastAsia="Times New Roman" w:cs="Times New Roman"/>
          <w:sz w:val="28"/>
          <w:szCs w:val="28"/>
        </w:rPr>
        <w:t xml:space="preserve">ыбора технологии. Фаза исполнения: риск задержки поставок, риск текучести кадров, технологические сбои, превышение бюджета. Фаза завершения: риск невыполнения критериев приёмки, риск отказа заказчика от продукта, риск несвоевременной передачи документации.</w:t>
      </w:r>
      <w:r/>
      <w:r/>
    </w:p>
    <w:p w14:paraId="71052AEB">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6. </w:t>
      </w:r>
      <w:r>
        <w:rPr>
          <w:rFonts w:ascii="Times New Roman" w:hAnsi="Times New Roman" w:eastAsia="Times New Roman" w:cs="Times New Roman"/>
          <w:sz w:val="28"/>
          <w:szCs w:val="28"/>
        </w:rPr>
        <w:t xml:space="preserve">В каких случаях целесообразно использовать математические методы оценки риска, а в каких — аналитические?</w:t>
      </w:r>
      <w:r/>
      <w:r/>
    </w:p>
    <w:p w14:paraId="31C48392">
      <w:pPr>
        <w:pBdr/>
        <w:spacing w:after="120" w:before="0" w:line="360" w:lineRule="auto"/>
        <w:ind w:firstLine="709"/>
        <w:jc w:val="both"/>
        <w:rPr/>
      </w:pPr>
      <w:r>
        <w:rPr>
          <w:rFonts w:ascii="Times New Roman" w:hAnsi="Times New Roman" w:eastAsia="Times New Roman" w:cs="Times New Roman"/>
          <w:sz w:val="28"/>
          <w:szCs w:val="28"/>
        </w:rPr>
        <w:t xml:space="preserve">Математические методы (метод Монте-Карло, дерево решений, анализ ч</w:t>
      </w:r>
      <w:r>
        <w:rPr>
          <w:rFonts w:ascii="Times New Roman" w:hAnsi="Times New Roman" w:eastAsia="Times New Roman" w:cs="Times New Roman"/>
          <w:sz w:val="28"/>
          <w:szCs w:val="28"/>
        </w:rPr>
        <w:t xml:space="preserve">увствительности) целесообразны при наличии достаточного объёма исторических данных, возможности формализовать вероятности и количественно измерить последствия. Пример: оценка риска перерасхода бюджета на основе статистики аналогичных строительных проектов.</w:t>
      </w:r>
      <w:r/>
      <w:r/>
    </w:p>
    <w:p w14:paraId="33C432E6">
      <w:pPr>
        <w:pBdr/>
        <w:spacing w:after="120" w:before="0" w:line="360" w:lineRule="auto"/>
        <w:ind w:firstLine="709"/>
        <w:jc w:val="both"/>
        <w:rPr/>
      </w:pPr>
      <w:r>
        <w:rPr>
          <w:rFonts w:ascii="Times New Roman" w:hAnsi="Times New Roman" w:eastAsia="Times New Roman" w:cs="Times New Roman"/>
          <w:sz w:val="28"/>
          <w:szCs w:val="28"/>
        </w:rPr>
        <w:t xml:space="preserve">Анал</w:t>
      </w:r>
      <w:r>
        <w:rPr>
          <w:rFonts w:ascii="Times New Roman" w:hAnsi="Times New Roman" w:eastAsia="Times New Roman" w:cs="Times New Roman"/>
          <w:sz w:val="28"/>
          <w:szCs w:val="28"/>
        </w:rPr>
        <w:t xml:space="preserve">итические (экспертные) методы применяются в условиях высокой неопределённости, когда статистика отсутствует или недостаточна: разработка принципиально нового продукта, выход на незнакомый рынок. Здесь используются метод Дельфи, SWOT-анализ, мозговой штурм.</w:t>
      </w:r>
      <w:r/>
      <w:r/>
    </w:p>
    <w:p w14:paraId="337AFF62">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7. </w:t>
      </w:r>
      <w:r>
        <w:rPr>
          <w:rFonts w:ascii="Times New Roman" w:hAnsi="Times New Roman" w:eastAsia="Times New Roman" w:cs="Times New Roman"/>
          <w:sz w:val="28"/>
          <w:szCs w:val="28"/>
        </w:rPr>
        <w:t xml:space="preserve">Приведите по одному примеру для каждого квадранта матрицы оценки неопределённости внешней среды.</w:t>
      </w:r>
      <w:r/>
      <w:r/>
    </w:p>
    <w:p w14:paraId="1577932B">
      <w:pPr>
        <w:pBdr/>
        <w:spacing w:after="120" w:before="0" w:line="360" w:lineRule="auto"/>
        <w:ind w:firstLine="709"/>
        <w:jc w:val="both"/>
        <w:rPr/>
      </w:pPr>
      <w:r>
        <w:rPr>
          <w:rFonts w:ascii="Times New Roman" w:hAnsi="Times New Roman" w:eastAsia="Times New Roman" w:cs="Times New Roman"/>
          <w:sz w:val="28"/>
          <w:szCs w:val="28"/>
        </w:rPr>
        <w:t xml:space="preserve">Квадрант «Простая + стабильная» (низкая неопределённость): строительство типового жилого дома в давно освоенном регионе по утверждённому проекту — факторов среды немного, они схожи между собой и медленно меняются.</w:t>
      </w:r>
      <w:r/>
      <w:r/>
    </w:p>
    <w:p w14:paraId="02454E48">
      <w:pPr>
        <w:pBdr/>
        <w:spacing w:after="120" w:before="0" w:line="360" w:lineRule="auto"/>
        <w:ind w:firstLine="709"/>
        <w:jc w:val="both"/>
        <w:rPr/>
      </w:pPr>
      <w:r>
        <w:rPr>
          <w:rFonts w:ascii="Times New Roman" w:hAnsi="Times New Roman" w:eastAsia="Times New Roman" w:cs="Times New Roman"/>
          <w:sz w:val="28"/>
          <w:szCs w:val="28"/>
        </w:rPr>
        <w:t xml:space="preserve">Квадрант «Сложная + стабильная» (неопределённость от низкой до средней): реализация университетского научно-исследовательского проекта — факторов много (академические требования, финансирование, партнёрские вузы, оборудование), но они меняются медленно.</w:t>
      </w:r>
      <w:r/>
      <w:r/>
    </w:p>
    <w:p w14:paraId="2EB92E73">
      <w:pPr>
        <w:pBdr/>
        <w:spacing w:after="120" w:before="0" w:line="360" w:lineRule="auto"/>
        <w:ind w:firstLine="709"/>
        <w:jc w:val="both"/>
        <w:rPr/>
      </w:pPr>
      <w:r>
        <w:rPr>
          <w:rFonts w:ascii="Times New Roman" w:hAnsi="Times New Roman" w:eastAsia="Times New Roman" w:cs="Times New Roman"/>
          <w:sz w:val="28"/>
          <w:szCs w:val="28"/>
        </w:rPr>
        <w:t xml:space="preserve">Квадрант «Простая + нестабильная» (неопределённость от низкой до средней): постановка любительского театрального спектакля — факторов среды немного, однако они непредсказуемо меняются (наличие актёров, площадка, интерес аудитории).</w:t>
      </w:r>
      <w:r/>
      <w:r/>
    </w:p>
    <w:p w14:paraId="6B66498F">
      <w:pPr>
        <w:pBdr/>
        <w:spacing w:after="120" w:before="0" w:line="360" w:lineRule="auto"/>
        <w:ind w:firstLine="709"/>
        <w:jc w:val="both"/>
        <w:rPr/>
      </w:pPr>
      <w:r>
        <w:rPr>
          <w:rFonts w:ascii="Times New Roman" w:hAnsi="Times New Roman" w:eastAsia="Times New Roman" w:cs="Times New Roman"/>
          <w:sz w:val="28"/>
          <w:szCs w:val="28"/>
        </w:rPr>
        <w:t xml:space="preserve">Квадрант «Сложная + нестабильная» (высокая </w:t>
      </w:r>
      <w:r>
        <w:rPr>
          <w:rFonts w:ascii="Times New Roman" w:hAnsi="Times New Roman" w:eastAsia="Times New Roman" w:cs="Times New Roman"/>
          <w:sz w:val="28"/>
          <w:szCs w:val="28"/>
        </w:rPr>
        <w:t xml:space="preserve">неопределённость): разработка инновационного компьютерного приложения для выхода на глобальный рынок — множество разнородных факторов (технологические тренды, конкуренты, регуляторная среда, потребительские предпочтения) быстро и непредсказуемо изменяются.</w:t>
      </w:r>
      <w:r/>
      <w:r/>
    </w:p>
    <w:p w14:paraId="42E5810E">
      <w:pPr>
        <w:pBdr/>
        <w:spacing w:after="160" w:before="240" w:line="360" w:lineRule="auto"/>
        <w:ind/>
        <w:jc w:val="left"/>
        <w:rPr/>
      </w:pPr>
      <w:r>
        <w:rPr>
          <w:rFonts w:ascii="Times New Roman" w:hAnsi="Times New Roman" w:eastAsia="Times New Roman" w:cs="Times New Roman"/>
          <w:b/>
          <w:bCs/>
          <w:sz w:val="28"/>
          <w:szCs w:val="28"/>
        </w:rPr>
        <w:t xml:space="preserve">Часть 2. Ситуационный анализ: Коммуникационная корпорация Jarvis</w:t>
      </w:r>
      <w:r/>
      <w:r/>
    </w:p>
    <w:p w14:paraId="64AD839A">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1. </w:t>
      </w:r>
      <w:r>
        <w:rPr>
          <w:rFonts w:ascii="Times New Roman" w:hAnsi="Times New Roman" w:eastAsia="Times New Roman" w:cs="Times New Roman"/>
          <w:sz w:val="28"/>
          <w:szCs w:val="28"/>
        </w:rPr>
        <w:t xml:space="preserve">Какими качествами и каким составом должна обладать команда управления подобной инновационной фирмой?</w:t>
      </w:r>
      <w:r/>
      <w:r/>
    </w:p>
    <w:p w14:paraId="1C8B1075">
      <w:pPr>
        <w:pBdr/>
        <w:spacing w:after="120" w:before="0" w:line="360" w:lineRule="auto"/>
        <w:ind w:firstLine="709"/>
        <w:jc w:val="both"/>
        <w:rPr/>
      </w:pPr>
      <w:r>
        <w:rPr>
          <w:rFonts w:ascii="Times New Roman" w:hAnsi="Times New Roman" w:eastAsia="Times New Roman" w:cs="Times New Roman"/>
          <w:sz w:val="28"/>
          <w:szCs w:val="28"/>
        </w:rPr>
        <w:t xml:space="preserve">Команда управления высокотехнологичной компанией, подобной Jarvis Communication, должна сочетать технологическую экспертизу и предпринимательское мышление. В её состав должны войти: CEO с видением рынка и стратегическим мышлением; CTO (технический</w:t>
      </w:r>
      <w:r>
        <w:rPr>
          <w:rFonts w:ascii="Times New Roman" w:hAnsi="Times New Roman" w:eastAsia="Times New Roman" w:cs="Times New Roman"/>
          <w:sz w:val="28"/>
          <w:szCs w:val="28"/>
        </w:rPr>
        <w:t xml:space="preserve"> директор) для координации инженерных разработок; CFO для управления финансовыми рисками; директор по маркетингу и продажам для обеспечения роста выручки; директор по операциям (COO) для контроля производства и качества; руководитель по управлению рисками.</w:t>
      </w:r>
      <w:r/>
      <w:r/>
    </w:p>
    <w:p w14:paraId="7C3AAD08">
      <w:pPr>
        <w:pBdr/>
        <w:spacing w:after="120" w:before="0" w:line="360" w:lineRule="auto"/>
        <w:ind w:firstLine="709"/>
        <w:jc w:val="both"/>
        <w:rPr/>
      </w:pPr>
      <w:r>
        <w:rPr>
          <w:rFonts w:ascii="Times New Roman" w:hAnsi="Times New Roman" w:eastAsia="Times New Roman" w:cs="Times New Roman"/>
          <w:sz w:val="28"/>
          <w:szCs w:val="28"/>
        </w:rPr>
        <w:t xml:space="preserve">Среди ключевых качеств необходимо выделить: способность к инновационному мышлению, готовность принимать решения в условиях н</w:t>
      </w:r>
      <w:r>
        <w:rPr>
          <w:rFonts w:ascii="Times New Roman" w:hAnsi="Times New Roman" w:eastAsia="Times New Roman" w:cs="Times New Roman"/>
          <w:sz w:val="28"/>
          <w:szCs w:val="28"/>
        </w:rPr>
        <w:t xml:space="preserve">еопределённости, навыки кросс-функциональной коммуникации, высокая адаптивность к быстро меняющейся технологической среде, а также опыт управления R&amp;D-проектами. Поскольку компания ориентирована на глобальный рынок, желательно наличие международного опыта.</w:t>
      </w:r>
      <w:r/>
      <w:r/>
    </w:p>
    <w:p w14:paraId="60509D01">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2. </w:t>
      </w:r>
      <w:r>
        <w:rPr>
          <w:rFonts w:ascii="Times New Roman" w:hAnsi="Times New Roman" w:eastAsia="Times New Roman" w:cs="Times New Roman"/>
          <w:sz w:val="28"/>
          <w:szCs w:val="28"/>
        </w:rPr>
        <w:t xml:space="preserve">С какими типами рисков преимущественно будет иметь дело команда управления?</w:t>
      </w:r>
      <w:r/>
      <w:r/>
    </w:p>
    <w:p w14:paraId="302D7658">
      <w:pPr>
        <w:pBdr/>
        <w:spacing w:after="120" w:before="0" w:line="360" w:lineRule="auto"/>
        <w:ind w:firstLine="709"/>
        <w:jc w:val="both"/>
        <w:rPr/>
      </w:pPr>
      <w:r>
        <w:rPr>
          <w:rFonts w:ascii="Times New Roman" w:hAnsi="Times New Roman" w:eastAsia="Times New Roman" w:cs="Times New Roman"/>
          <w:sz w:val="28"/>
          <w:szCs w:val="28"/>
        </w:rPr>
        <w:t xml:space="preserve">Технологические риски являются приоритетными: неудача при разработке новых продуктов, т</w:t>
      </w:r>
      <w:r>
        <w:rPr>
          <w:rFonts w:ascii="Times New Roman" w:hAnsi="Times New Roman" w:eastAsia="Times New Roman" w:cs="Times New Roman"/>
          <w:sz w:val="28"/>
          <w:szCs w:val="28"/>
        </w:rPr>
        <w:t xml:space="preserve">ехнологическое устаревание, сбои при масштабировании производства печатных плат. Компания активно использует уникальные технологии костной проводимости, и их воспроизведение конкурентами или появление альтернатив может обесценить конкурентное преимущество.</w:t>
      </w:r>
      <w:r/>
      <w:r/>
    </w:p>
    <w:p w14:paraId="531AE706">
      <w:pPr>
        <w:pBdr/>
        <w:spacing w:after="120" w:before="0" w:line="360" w:lineRule="auto"/>
        <w:ind w:firstLine="709"/>
        <w:jc w:val="both"/>
        <w:rPr/>
      </w:pPr>
      <w:r>
        <w:rPr>
          <w:rFonts w:ascii="Times New Roman" w:hAnsi="Times New Roman" w:eastAsia="Times New Roman" w:cs="Times New Roman"/>
          <w:sz w:val="28"/>
          <w:szCs w:val="28"/>
        </w:rPr>
        <w:t xml:space="preserve">Рыночные риски обусловлены стремительным ростом отрасли: появление новых конкурентов (особенно из Азии), изменение потребительских предпочтений, ценовое давление. Финансовые риски включают риск не</w:t>
      </w:r>
      <w:r>
        <w:rPr>
          <w:rFonts w:ascii="Times New Roman" w:hAnsi="Times New Roman" w:eastAsia="Times New Roman" w:cs="Times New Roman"/>
          <w:sz w:val="28"/>
          <w:szCs w:val="28"/>
        </w:rPr>
        <w:t xml:space="preserve">достаточного финансирования при масштабировании и риски IPO. Операционные риски связаны с наращиванием производственных мощностей и зависимостью от приобретённого предприятия по выпуску чипов. Регуляторные риски актуальны при выходе на международные рынки.</w:t>
      </w:r>
      <w:r/>
      <w:r/>
    </w:p>
    <w:p w14:paraId="54EFAC0D">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3. </w:t>
      </w:r>
      <w:r>
        <w:rPr>
          <w:rFonts w:ascii="Times New Roman" w:hAnsi="Times New Roman" w:eastAsia="Times New Roman" w:cs="Times New Roman"/>
          <w:sz w:val="28"/>
          <w:szCs w:val="28"/>
        </w:rPr>
        <w:t xml:space="preserve">Какие факторы внешней среды будут влиять на реализацию планов Jarvis? Меры по минимизации рисков.</w:t>
      </w:r>
      <w:r/>
      <w:r/>
    </w:p>
    <w:p w14:paraId="0A6CAFF5">
      <w:pPr>
        <w:pBdr/>
        <w:spacing w:after="120" w:before="0" w:line="360" w:lineRule="auto"/>
        <w:ind w:firstLine="709"/>
        <w:jc w:val="both"/>
        <w:rPr/>
      </w:pPr>
      <w:r>
        <w:rPr>
          <w:rFonts w:ascii="Times New Roman" w:hAnsi="Times New Roman" w:eastAsia="Times New Roman" w:cs="Times New Roman"/>
          <w:sz w:val="28"/>
          <w:szCs w:val="28"/>
        </w:rPr>
        <w:t xml:space="preserve">Благоприятные факторы: устойчивый рост рынка телекоммуникаций на 50% ежегодно, уникальность продуктов компании, отсутствие прямых конкурентов на текущий момент, растущий спрос на hands-free устройства.</w:t>
      </w:r>
      <w:r/>
      <w:r/>
    </w:p>
    <w:p w14:paraId="71081E5F">
      <w:pPr>
        <w:pBdr/>
        <w:spacing w:after="120" w:before="0" w:line="360" w:lineRule="auto"/>
        <w:ind w:firstLine="709"/>
        <w:jc w:val="both"/>
        <w:rPr/>
      </w:pPr>
      <w:r>
        <w:rPr>
          <w:rFonts w:ascii="Times New Roman" w:hAnsi="Times New Roman" w:eastAsia="Times New Roman" w:cs="Times New Roman"/>
          <w:sz w:val="28"/>
          <w:szCs w:val="28"/>
        </w:rPr>
        <w:t xml:space="preserve">Неблагоприятные факторы:</w:t>
      </w:r>
      <w:r>
        <w:rPr>
          <w:rFonts w:ascii="Times New Roman" w:hAnsi="Times New Roman" w:eastAsia="Times New Roman" w:cs="Times New Roman"/>
          <w:sz w:val="28"/>
          <w:szCs w:val="28"/>
        </w:rPr>
        <w:t xml:space="preserve"> ожидаемое появление конкурентов (особенно азиатских производителей с низкой себестоимостью), необходимость постоянного обновления продуктовой линейки, регуляторные ограничения на различных национальных рынках, риски нарушения цепочки поставок компонентов.</w:t>
      </w:r>
      <w:r/>
      <w:r/>
    </w:p>
    <w:p w14:paraId="032A65F0">
      <w:pPr>
        <w:pBdr/>
        <w:spacing w:after="120" w:before="0" w:line="360" w:lineRule="auto"/>
        <w:ind w:firstLine="709"/>
        <w:jc w:val="both"/>
        <w:rPr/>
      </w:pPr>
      <w:r>
        <w:rPr>
          <w:rFonts w:ascii="Times New Roman" w:hAnsi="Times New Roman" w:eastAsia="Times New Roman" w:cs="Times New Roman"/>
          <w:sz w:val="28"/>
          <w:szCs w:val="28"/>
        </w:rPr>
        <w:t xml:space="preserve">Меры по минимизации рисков: патентование ключевых технологий костной проводимости для защиты интеллектуальной собственности; формирование стратегических альянсов с крупными т</w:t>
      </w:r>
      <w:r>
        <w:rPr>
          <w:rFonts w:ascii="Times New Roman" w:hAnsi="Times New Roman" w:eastAsia="Times New Roman" w:cs="Times New Roman"/>
          <w:sz w:val="28"/>
          <w:szCs w:val="28"/>
        </w:rPr>
        <w:t xml:space="preserve">елекоммуникационными и компьютерными компаниями; диверсификация продуктового портфеля (медицинские, военные, корпоративные решения); создание финансового резерва и поэтапное расширение производства; внедрение системы раннего мониторинга конкурентной среды.</w:t>
      </w:r>
      <w:r/>
      <w:r/>
    </w:p>
    <w:p w14:paraId="456166F0">
      <w:pPr>
        <w:pBdr/>
        <w:shd w:val="nil"/>
        <w:spacing/>
        <w:ind/>
        <w:rPr/>
      </w:pPr>
      <w:r>
        <w:rPr>
          <w:rFonts w:ascii="Times New Roman" w:hAnsi="Times New Roman" w:eastAsia="Times New Roman" w:cs="Times New Roman"/>
          <w:b/>
          <w:bCs/>
          <w:sz w:val="28"/>
          <w:szCs w:val="28"/>
          <w:highlight w:val="none"/>
        </w:rPr>
        <w:br w:type="page" w:clear="all"/>
      </w:r>
      <w:r>
        <w:rPr>
          <w:rFonts w:ascii="Times New Roman" w:hAnsi="Times New Roman" w:eastAsia="Times New Roman" w:cs="Times New Roman"/>
          <w:b/>
          <w:bCs/>
          <w:sz w:val="28"/>
          <w:szCs w:val="28"/>
          <w:highlight w:val="none"/>
        </w:rPr>
      </w:r>
      <w:r>
        <w:rPr>
          <w:rFonts w:ascii="Times New Roman" w:hAnsi="Times New Roman" w:eastAsia="Times New Roman" w:cs="Times New Roman"/>
          <w:b/>
          <w:bCs/>
          <w:sz w:val="28"/>
          <w:szCs w:val="28"/>
          <w:highlight w:val="none"/>
        </w:rPr>
      </w:r>
    </w:p>
    <w:p w14:paraId="66D78E87">
      <w:pPr>
        <w:pBdr/>
        <w:spacing w:after="200" w:before="280" w:line="360" w:lineRule="auto"/>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ЗАДАНИЕ 8. СОСТАВЛЕНИЕ СМЕТЫ И БЮДЖЕТА ПРОЕКТА</w:t>
      </w:r>
      <w:r/>
      <w:r/>
    </w:p>
    <w:p w14:paraId="601C0C41">
      <w:pPr>
        <w:pBdr/>
        <w:spacing w:after="160" w:before="240" w:line="360" w:lineRule="auto"/>
        <w:ind/>
        <w:jc w:val="left"/>
        <w:rPr/>
      </w:pPr>
      <w:r>
        <w:rPr>
          <w:rFonts w:ascii="Times New Roman" w:hAnsi="Times New Roman" w:eastAsia="Times New Roman" w:cs="Times New Roman"/>
          <w:b/>
          <w:bCs/>
          <w:sz w:val="28"/>
          <w:szCs w:val="28"/>
        </w:rPr>
        <w:t xml:space="preserve">Часть 1. Вопросы для обсуждения</w:t>
      </w:r>
      <w:r/>
      <w:r/>
    </w:p>
    <w:p w14:paraId="45AEFD86">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1. </w:t>
      </w:r>
      <w:r>
        <w:rPr>
          <w:rFonts w:ascii="Times New Roman" w:hAnsi="Times New Roman" w:eastAsia="Times New Roman" w:cs="Times New Roman"/>
          <w:sz w:val="28"/>
          <w:szCs w:val="28"/>
        </w:rPr>
        <w:t xml:space="preserve">Дайте определения сметы и бюджета проекта. Какая связь существует между этими понятиями?</w:t>
      </w:r>
      <w:r/>
      <w:r/>
    </w:p>
    <w:p w14:paraId="121ADB6F">
      <w:pPr>
        <w:pBdr/>
        <w:spacing w:after="120" w:before="0" w:line="360" w:lineRule="auto"/>
        <w:ind w:firstLine="709"/>
        <w:jc w:val="both"/>
        <w:rPr/>
      </w:pPr>
      <w:r>
        <w:rPr>
          <w:rFonts w:ascii="Times New Roman" w:hAnsi="Times New Roman" w:eastAsia="Times New Roman" w:cs="Times New Roman"/>
          <w:sz w:val="28"/>
          <w:szCs w:val="28"/>
        </w:rPr>
        <w:t xml:space="preserve">Смета проекта — </w:t>
      </w:r>
      <w:r>
        <w:rPr>
          <w:rFonts w:ascii="Times New Roman" w:hAnsi="Times New Roman" w:eastAsia="Times New Roman" w:cs="Times New Roman"/>
          <w:sz w:val="28"/>
          <w:szCs w:val="28"/>
        </w:rPr>
        <w:t xml:space="preserve">это детализированный документ, содержащий перечень всех затрат, необходимых для выполнения проекта, с указанием их размера и обоснования. Смета формируется на основе технической документации и служит базой для расчёта стоимости конкретных работ и ресурсов.</w:t>
      </w:r>
      <w:r/>
      <w:r/>
    </w:p>
    <w:p w14:paraId="270E97E1">
      <w:pPr>
        <w:pBdr/>
        <w:spacing w:after="120" w:before="0" w:line="360" w:lineRule="auto"/>
        <w:ind w:firstLine="709"/>
        <w:jc w:val="both"/>
        <w:rPr/>
      </w:pPr>
      <w:r>
        <w:rPr>
          <w:rFonts w:ascii="Times New Roman" w:hAnsi="Times New Roman" w:eastAsia="Times New Roman" w:cs="Times New Roman"/>
          <w:sz w:val="28"/>
          <w:szCs w:val="28"/>
        </w:rPr>
        <w:t xml:space="preserve">Бюджет проекта — это утверждённый финансовый план, определяющий плановый объём и распределение затрат во времени в соответствии с календарным планом работ. Бюджет является инструментом управления стоимостью на протяжении всего жизненного цикла проекта.</w:t>
      </w:r>
      <w:r/>
      <w:r/>
    </w:p>
    <w:p w14:paraId="3F486D14">
      <w:pPr>
        <w:pBdr/>
        <w:spacing w:after="120" w:before="0" w:line="360" w:lineRule="auto"/>
        <w:ind w:firstLine="709"/>
        <w:jc w:val="both"/>
        <w:rPr/>
      </w:pPr>
      <w:r>
        <w:rPr>
          <w:rFonts w:ascii="Times New Roman" w:hAnsi="Times New Roman" w:eastAsia="Times New Roman" w:cs="Times New Roman"/>
          <w:sz w:val="28"/>
          <w:szCs w:val="28"/>
        </w:rPr>
        <w:t xml:space="preserve">Связь между понятиями: смета является</w:t>
      </w:r>
      <w:r>
        <w:rPr>
          <w:rFonts w:ascii="Times New Roman" w:hAnsi="Times New Roman" w:eastAsia="Times New Roman" w:cs="Times New Roman"/>
          <w:sz w:val="28"/>
          <w:szCs w:val="28"/>
        </w:rPr>
        <w:t xml:space="preserve"> основой для формирования бюджета. Если смета отвечает на вопрос «сколько стоит?», то бюджет отвечает на вопрос «когда и сколько потратить?». Утверждённая смета преобразуется в бюджет путём распределения затрат по временным периодам с учётом графика работ.</w:t>
      </w:r>
      <w:r/>
      <w:r/>
    </w:p>
    <w:p w14:paraId="7EB6E4CD">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2. </w:t>
      </w:r>
      <w:r>
        <w:rPr>
          <w:rFonts w:ascii="Times New Roman" w:hAnsi="Times New Roman" w:eastAsia="Times New Roman" w:cs="Times New Roman"/>
          <w:sz w:val="28"/>
          <w:szCs w:val="28"/>
        </w:rPr>
        <w:t xml:space="preserve">Какие факторы способствуют возрастанию издержек?</w:t>
      </w:r>
      <w:r/>
      <w:r/>
    </w:p>
    <w:p w14:paraId="273652CD">
      <w:pPr>
        <w:pBdr/>
        <w:spacing w:after="120" w:before="0" w:line="360" w:lineRule="auto"/>
        <w:ind w:firstLine="709"/>
        <w:jc w:val="both"/>
        <w:rPr/>
      </w:pPr>
      <w:r>
        <w:rPr>
          <w:rFonts w:ascii="Times New Roman" w:hAnsi="Times New Roman" w:eastAsia="Times New Roman" w:cs="Times New Roman"/>
          <w:sz w:val="28"/>
          <w:szCs w:val="28"/>
        </w:rPr>
        <w:t xml:space="preserve">К основным факторам относятся: инфляц</w:t>
      </w:r>
      <w:r>
        <w:rPr>
          <w:rFonts w:ascii="Times New Roman" w:hAnsi="Times New Roman" w:eastAsia="Times New Roman" w:cs="Times New Roman"/>
          <w:sz w:val="28"/>
          <w:szCs w:val="28"/>
        </w:rPr>
        <w:t xml:space="preserve">ия и рост цен на материалы, оборудование, энергоносители; неточности в исходных оценках при планировании (недооценка объёма работ); расширение объёма работ по сравнению с первоначальным планом (scope creep); простои, вызванные несвоевременными поставками и</w:t>
      </w:r>
      <w:r>
        <w:rPr>
          <w:rFonts w:ascii="Times New Roman" w:hAnsi="Times New Roman" w:eastAsia="Times New Roman" w:cs="Times New Roman"/>
          <w:sz w:val="28"/>
          <w:szCs w:val="28"/>
        </w:rPr>
        <w:t xml:space="preserve">ли организационными сбоями; курсовые колебания при международных закупках; увеличение накладных расходов при затягивании сроков; штрафные санкции за нарушение контрактных обязательств; необходимость устранения дефектов и переработки уже выполненных этапов.</w:t>
      </w:r>
      <w:r/>
      <w:r/>
    </w:p>
    <w:p w14:paraId="5BCD4304">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3. </w:t>
      </w:r>
      <w:r>
        <w:rPr>
          <w:rFonts w:ascii="Times New Roman" w:hAnsi="Times New Roman" w:eastAsia="Times New Roman" w:cs="Times New Roman"/>
          <w:sz w:val="28"/>
          <w:szCs w:val="28"/>
        </w:rPr>
        <w:t xml:space="preserve">Как при составлении сметы учитывается инфляция? Кто защищён от неё больше: собственники или подрядчики?</w:t>
      </w:r>
      <w:r/>
      <w:r/>
    </w:p>
    <w:p w14:paraId="58E04D48">
      <w:pPr>
        <w:pBdr/>
        <w:spacing w:after="120" w:before="0" w:line="360" w:lineRule="auto"/>
        <w:ind w:firstLine="709"/>
        <w:jc w:val="both"/>
        <w:rPr/>
      </w:pPr>
      <w:r>
        <w:rPr>
          <w:rFonts w:ascii="Times New Roman" w:hAnsi="Times New Roman" w:eastAsia="Times New Roman" w:cs="Times New Roman"/>
          <w:sz w:val="28"/>
          <w:szCs w:val="28"/>
        </w:rPr>
        <w:t xml:space="preserve">При составлении сметы инфляция учитывается путём применения прогнозных индексов цен на ресурсы (материалы, т</w:t>
      </w:r>
      <w:r>
        <w:rPr>
          <w:rFonts w:ascii="Times New Roman" w:hAnsi="Times New Roman" w:eastAsia="Times New Roman" w:cs="Times New Roman"/>
          <w:sz w:val="28"/>
          <w:szCs w:val="28"/>
        </w:rPr>
        <w:t xml:space="preserve">руд, оборудование), разработанных статистическими органами или отраслевыми ассоциациями. Затраты будущих периодов пересчитываются с использованием прогнозируемого индекса инфляции: Ст_факт = Ст_баз × (1 + i)^n, где i — годовой темп инфляции, n — число лет.</w:t>
      </w:r>
      <w:r/>
      <w:r/>
    </w:p>
    <w:p w14:paraId="306E4E66">
      <w:pPr>
        <w:pBdr/>
        <w:spacing w:after="120" w:before="0" w:line="360" w:lineRule="auto"/>
        <w:ind w:firstLine="709"/>
        <w:jc w:val="both"/>
        <w:rPr/>
      </w:pPr>
      <w:r>
        <w:rPr>
          <w:rFonts w:ascii="Times New Roman" w:hAnsi="Times New Roman" w:eastAsia="Times New Roman" w:cs="Times New Roman"/>
          <w:sz w:val="28"/>
          <w:szCs w:val="28"/>
        </w:rPr>
        <w:t xml:space="preserve">В большей степени от инфляции защищены подрядчики, если контракт предусматривает формулы ценовой эскалации (пересмотр цен при росте стоимости ресурсов). Собственники проекта несут большие инфляционные риски: фиксирован</w:t>
      </w:r>
      <w:r>
        <w:rPr>
          <w:rFonts w:ascii="Times New Roman" w:hAnsi="Times New Roman" w:eastAsia="Times New Roman" w:cs="Times New Roman"/>
          <w:sz w:val="28"/>
          <w:szCs w:val="28"/>
        </w:rPr>
        <w:t xml:space="preserve">ный бюджет проекта может не покрыть возросшие затраты, а доходы от эксплуатации объекта в будущем могут оказаться ниже ожидаемых в реальном выражении. Таким образом, владельцы проекта более уязвимы, если инфляционные оговорки в контрактах не предусмотрены.</w:t>
      </w:r>
      <w:r/>
      <w:r/>
    </w:p>
    <w:p w14:paraId="2A548485">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4. </w:t>
      </w:r>
      <w:r>
        <w:rPr>
          <w:rFonts w:ascii="Times New Roman" w:hAnsi="Times New Roman" w:eastAsia="Times New Roman" w:cs="Times New Roman"/>
          <w:sz w:val="28"/>
          <w:szCs w:val="28"/>
        </w:rPr>
        <w:t xml:space="preserve">Всегда ли можно компенсировать последствия инфляции ростом цен на произведённые товары и услуги?</w:t>
      </w:r>
      <w:r/>
      <w:r/>
    </w:p>
    <w:p w14:paraId="15EC181F">
      <w:pPr>
        <w:pBdr/>
        <w:spacing w:after="120" w:before="0" w:line="360" w:lineRule="auto"/>
        <w:ind w:firstLine="709"/>
        <w:jc w:val="both"/>
        <w:rPr/>
      </w:pPr>
      <w:r>
        <w:rPr>
          <w:rFonts w:ascii="Times New Roman" w:hAnsi="Times New Roman" w:eastAsia="Times New Roman" w:cs="Times New Roman"/>
          <w:sz w:val="28"/>
          <w:szCs w:val="28"/>
        </w:rPr>
        <w:t xml:space="preserve">Нет, компенсировать последствия инфляции повышением цен удаётся далеко не всегда. Основные препятствия: высокая конкурентность рынка (потребитель переключится на более дешёвые аналоги); регулирование цен государством (тарифы в сфере ЖКХ, транспорте, энер</w:t>
      </w:r>
      <w:r>
        <w:rPr>
          <w:rFonts w:ascii="Times New Roman" w:hAnsi="Times New Roman" w:eastAsia="Times New Roman" w:cs="Times New Roman"/>
          <w:sz w:val="28"/>
          <w:szCs w:val="28"/>
        </w:rPr>
        <w:t xml:space="preserve">гетике); долгосрочные контракты с фиксированными ценами, не допускающие пересмотра; эластичность спроса (при высоком росте цен объём продаж резко падает); технологическая специфика (для некоторых продуктов рост цены выше инфляции разрушает рыночный спрос).</w:t>
      </w:r>
      <w:r/>
      <w:r/>
    </w:p>
    <w:p w14:paraId="7E2A3C83">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5. </w:t>
      </w:r>
      <w:r>
        <w:rPr>
          <w:rFonts w:ascii="Times New Roman" w:hAnsi="Times New Roman" w:eastAsia="Times New Roman" w:cs="Times New Roman"/>
          <w:sz w:val="28"/>
          <w:szCs w:val="28"/>
        </w:rPr>
        <w:t xml:space="preserve">Каковы неблагоприятные последствия более позднего завершения проекта?</w:t>
      </w:r>
      <w:r/>
      <w:r/>
    </w:p>
    <w:p w14:paraId="07192ED9">
      <w:pPr>
        <w:pBdr/>
        <w:spacing w:after="120" w:before="0" w:line="360" w:lineRule="auto"/>
        <w:ind w:firstLine="709"/>
        <w:jc w:val="both"/>
        <w:rPr/>
      </w:pPr>
      <w:r>
        <w:rPr>
          <w:rFonts w:ascii="Times New Roman" w:hAnsi="Times New Roman" w:eastAsia="Times New Roman" w:cs="Times New Roman"/>
          <w:sz w:val="28"/>
          <w:szCs w:val="28"/>
        </w:rPr>
        <w:t xml:space="preserve">Задержка завершения проекта влечёт: прямые финансовые</w:t>
      </w:r>
      <w:r>
        <w:rPr>
          <w:rFonts w:ascii="Times New Roman" w:hAnsi="Times New Roman" w:eastAsia="Times New Roman" w:cs="Times New Roman"/>
          <w:sz w:val="28"/>
          <w:szCs w:val="28"/>
        </w:rPr>
        <w:t xml:space="preserve"> потери — рост затрат на оплату труда, аренду оборудования, накладные расходы за каждый дополнительный период; упущенную выгоду — более позднее начало получения доходов от эксплуатации объекта; штрафные санкции со стороны заказчика, предусмотренные договор</w:t>
      </w:r>
      <w:r>
        <w:rPr>
          <w:rFonts w:ascii="Times New Roman" w:hAnsi="Times New Roman" w:eastAsia="Times New Roman" w:cs="Times New Roman"/>
          <w:sz w:val="28"/>
          <w:szCs w:val="28"/>
        </w:rPr>
        <w:t xml:space="preserve">ом; репутационный ущерб для подрядчика и управляющей команды; дополнительные расходы на финансирование (обслуживание кредитов за дополнительный период); снижение конкурентоспособности продукта, выводимого на рынок с опозданием; демотивацию команды проекта.</w:t>
      </w:r>
      <w:r/>
      <w:r/>
    </w:p>
    <w:p w14:paraId="10517BD2">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6. </w:t>
      </w:r>
      <w:r>
        <w:rPr>
          <w:rFonts w:ascii="Times New Roman" w:hAnsi="Times New Roman" w:eastAsia="Times New Roman" w:cs="Times New Roman"/>
          <w:sz w:val="28"/>
          <w:szCs w:val="28"/>
        </w:rPr>
        <w:t xml:space="preserve">Назовите и охарактеризуйте основные виды бюджетов. Каковы особенности бюджета затрат на человеческие ресурсы?</w:t>
      </w:r>
      <w:r/>
      <w:r/>
    </w:p>
    <w:p w14:paraId="57307980">
      <w:pPr>
        <w:pBdr/>
        <w:spacing w:after="120" w:before="0" w:line="360" w:lineRule="auto"/>
        <w:ind w:firstLine="709"/>
        <w:jc w:val="both"/>
        <w:rPr/>
      </w:pPr>
      <w:r>
        <w:rPr>
          <w:rFonts w:ascii="Times New Roman" w:hAnsi="Times New Roman" w:eastAsia="Times New Roman" w:cs="Times New Roman"/>
          <w:sz w:val="28"/>
          <w:szCs w:val="28"/>
        </w:rPr>
        <w:t xml:space="preserve">Основные виды бюджетов проекта: предварительный (предпроектный) бюджет — ориентировочная оценка стоимости на этапе технико-экономического обоснования; базовый (плановый) бюджет — утверждённый детализированный план затрат, являющийся эталон</w:t>
      </w:r>
      <w:r>
        <w:rPr>
          <w:rFonts w:ascii="Times New Roman" w:hAnsi="Times New Roman" w:eastAsia="Times New Roman" w:cs="Times New Roman"/>
          <w:sz w:val="28"/>
          <w:szCs w:val="28"/>
        </w:rPr>
        <w:t xml:space="preserve">ом для контроля; текущий бюджет — скорректированный с учётом одобренных изменений; фактический бюджет — отражает реальные произведённые расходы. По видам затрат выделяют бюджеты капитальных вложений, операционных расходов, бюджет движения денежных средств.</w:t>
      </w:r>
      <w:r/>
      <w:r/>
    </w:p>
    <w:p w14:paraId="4015E10E">
      <w:pPr>
        <w:pBdr/>
        <w:spacing w:after="120" w:before="0" w:line="360" w:lineRule="auto"/>
        <w:ind w:firstLine="709"/>
        <w:jc w:val="both"/>
        <w:rPr/>
      </w:pPr>
      <w:r>
        <w:rPr>
          <w:rFonts w:ascii="Times New Roman" w:hAnsi="Times New Roman" w:eastAsia="Times New Roman" w:cs="Times New Roman"/>
          <w:sz w:val="28"/>
          <w:szCs w:val="28"/>
        </w:rPr>
        <w:t xml:space="preserve">Бюджет затрат на человеческие ресурсы имеет ряд особенностей: трудоёмкость его формирования обусловлена необходимостью учёта тарифных ставок, надбавок, налогов и социальных отчислений для каждой категории персонала; он тесно свя</w:t>
      </w:r>
      <w:r>
        <w:rPr>
          <w:rFonts w:ascii="Times New Roman" w:hAnsi="Times New Roman" w:eastAsia="Times New Roman" w:cs="Times New Roman"/>
          <w:sz w:val="28"/>
          <w:szCs w:val="28"/>
        </w:rPr>
        <w:t xml:space="preserve">зан с календарным планом проекта (загрузка ресурсов во времени); включает как прямые затраты (заработная плата исполнителей), так и косвенные (обучение, командировки, страхование); подвержен рискам текучести кадров и изменения рыночных ставок оплаты труда.</w:t>
      </w:r>
      <w:r/>
      <w:r/>
    </w:p>
    <w:p w14:paraId="621FCBEA">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7. </w:t>
      </w:r>
      <w:r>
        <w:rPr>
          <w:rFonts w:ascii="Times New Roman" w:hAnsi="Times New Roman" w:eastAsia="Times New Roman" w:cs="Times New Roman"/>
          <w:sz w:val="28"/>
          <w:szCs w:val="28"/>
        </w:rPr>
        <w:t xml:space="preserve">Какие расходы предполагают дополнительные статьи бюджета?</w:t>
      </w:r>
      <w:r/>
      <w:r/>
    </w:p>
    <w:p w14:paraId="5B4B2CF2">
      <w:pPr>
        <w:pBdr/>
        <w:spacing w:after="120" w:before="0" w:line="360" w:lineRule="auto"/>
        <w:ind w:firstLine="709"/>
        <w:jc w:val="both"/>
        <w:rPr/>
      </w:pPr>
      <w:r>
        <w:rPr>
          <w:rFonts w:ascii="Times New Roman" w:hAnsi="Times New Roman" w:eastAsia="Times New Roman" w:cs="Times New Roman"/>
          <w:sz w:val="28"/>
          <w:szCs w:val="28"/>
        </w:rPr>
        <w:t xml:space="preserve">Дополнительные статьи бюджета, как правило, включают: резерв на непредвиденные расходы (contingency reserve) — для покрытия идентифицированных рисков (обычно 5–15% от базовой стоимости); управленческий резерв (management reserve) — для непредвиденных раб</w:t>
      </w:r>
      <w:r>
        <w:rPr>
          <w:rFonts w:ascii="Times New Roman" w:hAnsi="Times New Roman" w:eastAsia="Times New Roman" w:cs="Times New Roman"/>
          <w:sz w:val="28"/>
          <w:szCs w:val="28"/>
        </w:rPr>
        <w:t xml:space="preserve">от за пределами текущего содержания проекта; затраты на управление изменениями; расходы на аудит и контроль качества; административные и операционные накладные расходы организации (overhead); затраты на ввод объекта в эксплуатацию и пусконаладочные работы.</w:t>
      </w:r>
      <w:r/>
      <w:r/>
    </w:p>
    <w:p w14:paraId="59F0F0C1">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8. </w:t>
      </w:r>
      <w:r>
        <w:rPr>
          <w:rFonts w:ascii="Times New Roman" w:hAnsi="Times New Roman" w:eastAsia="Times New Roman" w:cs="Times New Roman"/>
          <w:sz w:val="28"/>
          <w:szCs w:val="28"/>
        </w:rPr>
        <w:t xml:space="preserve">Приведите примеры бюджетных проблем и варианты их решения.</w:t>
      </w:r>
      <w:r/>
      <w:r/>
    </w:p>
    <w:p w14:paraId="0ACE0110">
      <w:pPr>
        <w:pBdr/>
        <w:spacing w:after="120" w:before="0" w:line="360" w:lineRule="auto"/>
        <w:ind w:firstLine="709"/>
        <w:jc w:val="both"/>
        <w:rPr/>
      </w:pPr>
      <w:r>
        <w:rPr>
          <w:rFonts w:ascii="Times New Roman" w:hAnsi="Times New Roman" w:eastAsia="Times New Roman" w:cs="Times New Roman"/>
          <w:sz w:val="28"/>
          <w:szCs w:val="28"/>
        </w:rPr>
        <w:t xml:space="preserve">Проблема 1. Систематическое превышение бюджета из-за недооценки об</w:t>
      </w:r>
      <w:r>
        <w:rPr>
          <w:rFonts w:ascii="Times New Roman" w:hAnsi="Times New Roman" w:eastAsia="Times New Roman" w:cs="Times New Roman"/>
          <w:sz w:val="28"/>
          <w:szCs w:val="28"/>
        </w:rPr>
        <w:t xml:space="preserve">ъёма работ. Решение: применение метода аналогий и параметрического оценивания; привлечение экспертов с опытом аналогичных проектов; использование метода PERT для получения взвешенной оценки (оптимистичного, пессимистичного и наиболее вероятного сценариев).</w:t>
      </w:r>
      <w:r/>
      <w:r/>
    </w:p>
    <w:p w14:paraId="7D5E1C5C">
      <w:pPr>
        <w:pBdr/>
        <w:spacing w:after="120" w:before="0" w:line="360" w:lineRule="auto"/>
        <w:ind w:firstLine="709"/>
        <w:jc w:val="both"/>
        <w:rPr/>
      </w:pPr>
      <w:r>
        <w:rPr>
          <w:rFonts w:ascii="Times New Roman" w:hAnsi="Times New Roman" w:eastAsia="Times New Roman" w:cs="Times New Roman"/>
          <w:sz w:val="28"/>
          <w:szCs w:val="28"/>
        </w:rPr>
        <w:t xml:space="preserve">Проблема 2. Незапланированное расширение содержания проекта (scope creep). Решение: введение формальной процедуры управления изменениями, требующей одобрения любого изменения содержания с пересчётом бюджета и сроков.</w:t>
      </w:r>
      <w:r/>
      <w:r/>
    </w:p>
    <w:p w14:paraId="2E335BB3">
      <w:pPr>
        <w:pBdr/>
        <w:spacing w:after="120" w:before="0" w:line="360" w:lineRule="auto"/>
        <w:ind w:firstLine="709"/>
        <w:jc w:val="both"/>
        <w:rPr/>
      </w:pPr>
      <w:r>
        <w:rPr>
          <w:rFonts w:ascii="Times New Roman" w:hAnsi="Times New Roman" w:eastAsia="Times New Roman" w:cs="Times New Roman"/>
          <w:sz w:val="28"/>
          <w:szCs w:val="28"/>
        </w:rPr>
        <w:t xml:space="preserve">Проблема 3. Нехв</w:t>
      </w:r>
      <w:r>
        <w:rPr>
          <w:rFonts w:ascii="Times New Roman" w:hAnsi="Times New Roman" w:eastAsia="Times New Roman" w:cs="Times New Roman"/>
          <w:sz w:val="28"/>
          <w:szCs w:val="28"/>
        </w:rPr>
        <w:t xml:space="preserve">атка финансирования в середине проекта вследствие неравномерного поступления средств. Решение: разработка графика финансирования, согласованного с планом расходования средств; создание кредитной линии или резервного фонда для сглаживания кассовых разрывов.</w:t>
      </w:r>
      <w:r/>
      <w:r/>
    </w:p>
    <w:p w14:paraId="1ECE609B">
      <w:pPr>
        <w:pBdr/>
        <w:spacing w:after="160" w:before="240" w:line="360" w:lineRule="auto"/>
        <w:ind/>
        <w:jc w:val="left"/>
        <w:rPr/>
      </w:pPr>
      <w:r>
        <w:rPr>
          <w:rFonts w:ascii="Times New Roman" w:hAnsi="Times New Roman" w:eastAsia="Times New Roman" w:cs="Times New Roman"/>
          <w:b/>
          <w:bCs/>
          <w:sz w:val="28"/>
          <w:szCs w:val="28"/>
        </w:rPr>
        <w:t xml:space="preserve">Часть 2. Ситуационный анализ: Проект «Maximum Megahertz»</w:t>
      </w:r>
      <w:r/>
      <w:r/>
    </w:p>
    <w:p w14:paraId="4569C0EB">
      <w:pPr>
        <w:pBdr/>
        <w:spacing w:after="100" w:before="200" w:line="360" w:lineRule="auto"/>
        <w:ind w:firstLine="709"/>
        <w:jc w:val="both"/>
        <w:rPr/>
      </w:pPr>
      <w:r>
        <w:rPr>
          <w:rFonts w:ascii="Times New Roman" w:hAnsi="Times New Roman" w:eastAsia="Times New Roman" w:cs="Times New Roman"/>
          <w:b/>
          <w:bCs/>
          <w:sz w:val="28"/>
          <w:szCs w:val="28"/>
        </w:rPr>
        <w:t xml:space="preserve">Вопрос 1. </w:t>
      </w:r>
      <w:r>
        <w:rPr>
          <w:rFonts w:ascii="Times New Roman" w:hAnsi="Times New Roman" w:eastAsia="Times New Roman" w:cs="Times New Roman"/>
          <w:sz w:val="28"/>
          <w:szCs w:val="28"/>
        </w:rPr>
        <w:t xml:space="preserve">Предложите Олафу план действий для решения проблемы.</w:t>
      </w:r>
      <w:r/>
      <w:r/>
    </w:p>
    <w:p w14:paraId="6FEA3468">
      <w:pPr>
        <w:pBdr/>
        <w:spacing w:after="120" w:before="0" w:line="360" w:lineRule="auto"/>
        <w:ind w:firstLine="709"/>
        <w:jc w:val="both"/>
        <w:rPr/>
      </w:pPr>
      <w:r>
        <w:rPr>
          <w:rFonts w:ascii="Times New Roman" w:hAnsi="Times New Roman" w:eastAsia="Times New Roman" w:cs="Times New Roman"/>
          <w:sz w:val="28"/>
          <w:szCs w:val="28"/>
        </w:rPr>
        <w:t xml:space="preserve">Ситуация с проектом «Maximum Megahertz» является классическим примером эскалации вовлечённости (escalation of commitment) — продолжени</w:t>
      </w:r>
      <w:r>
        <w:rPr>
          <w:rFonts w:ascii="Times New Roman" w:hAnsi="Times New Roman" w:eastAsia="Times New Roman" w:cs="Times New Roman"/>
          <w:sz w:val="28"/>
          <w:szCs w:val="28"/>
        </w:rPr>
        <w:t xml:space="preserve">я убыточного проекта под влиянием уже понесённых невозвратных затрат. Для Wireless Telecom Company необходим системный план действий, включающий как тактические меры по текущему проекту, так и стратегические — по предотвращению подобных ситуаций в будущем.</w:t>
      </w:r>
      <w:r/>
      <w:r/>
    </w:p>
    <w:p w14:paraId="03EF4352">
      <w:pPr>
        <w:pBdr/>
        <w:spacing w:after="120" w:before="0" w:line="360" w:lineRule="auto"/>
        <w:ind w:firstLine="709"/>
        <w:jc w:val="both"/>
        <w:rPr/>
      </w:pPr>
      <w:r>
        <w:rPr>
          <w:rFonts w:ascii="Times New Roman" w:hAnsi="Times New Roman" w:eastAsia="Times New Roman" w:cs="Times New Roman"/>
          <w:b/>
          <w:bCs/>
          <w:sz w:val="28"/>
          <w:szCs w:val="28"/>
        </w:rPr>
        <w:t xml:space="preserve">Шаг 1. Немедленный независимый аудит проекта «Maximum Megahertz»</w:t>
      </w:r>
      <w:r/>
      <w:r/>
    </w:p>
    <w:p w14:paraId="7A9FBC2D">
      <w:pPr>
        <w:pBdr/>
        <w:spacing w:after="120" w:before="0" w:line="360" w:lineRule="auto"/>
        <w:ind w:firstLine="709"/>
        <w:jc w:val="both"/>
        <w:rPr/>
      </w:pPr>
      <w:r>
        <w:rPr>
          <w:rFonts w:ascii="Times New Roman" w:hAnsi="Times New Roman" w:eastAsia="Times New Roman" w:cs="Times New Roman"/>
          <w:sz w:val="28"/>
          <w:szCs w:val="28"/>
        </w:rPr>
        <w:t xml:space="preserve">Олаф должен привлечь независимого технического эксперта (внешнего консультанта или опытного руководителя проекта из другого подразделения), который в течение одной-двух недель проведёт оценку реалистичности оставшегося плана. Ключевой вопрос: «Если бы это</w:t>
      </w:r>
      <w:r>
        <w:rPr>
          <w:rFonts w:ascii="Times New Roman" w:hAnsi="Times New Roman" w:eastAsia="Times New Roman" w:cs="Times New Roman"/>
          <w:sz w:val="28"/>
          <w:szCs w:val="28"/>
        </w:rPr>
        <w:t xml:space="preserve">т проект начинался завтра с нуля, при выделении запрошенных 800 000 долл. и шести дополнительных месяцев, был бы он завершён успешно?» Если ответ отрицательный (что подтверждается мнением менеджеров относительно «проблемы батареи»), проект следует закрыть.</w:t>
      </w:r>
      <w:r/>
      <w:r/>
    </w:p>
    <w:p w14:paraId="3955D580">
      <w:pPr>
        <w:pBdr/>
        <w:spacing w:after="120" w:before="0" w:line="360" w:lineRule="auto"/>
        <w:ind w:firstLine="709"/>
        <w:jc w:val="both"/>
        <w:rPr/>
      </w:pPr>
      <w:r>
        <w:rPr>
          <w:rFonts w:ascii="Times New Roman" w:hAnsi="Times New Roman" w:eastAsia="Times New Roman" w:cs="Times New Roman"/>
          <w:b/>
          <w:bCs/>
          <w:sz w:val="28"/>
          <w:szCs w:val="28"/>
        </w:rPr>
        <w:t xml:space="preserve">Шаг 2. Принятие решения о закрытии на основе критериев, а не интуиции</w:t>
      </w:r>
      <w:r/>
      <w:r/>
    </w:p>
    <w:p w14:paraId="4B2FC811">
      <w:pPr>
        <w:pBdr/>
        <w:spacing w:after="120" w:before="0" w:line="360" w:lineRule="auto"/>
        <w:ind w:firstLine="709"/>
        <w:jc w:val="both"/>
        <w:rPr/>
      </w:pPr>
      <w:r>
        <w:rPr>
          <w:rFonts w:ascii="Times New Roman" w:hAnsi="Times New Roman" w:eastAsia="Times New Roman" w:cs="Times New Roman"/>
          <w:sz w:val="28"/>
          <w:szCs w:val="28"/>
        </w:rPr>
        <w:t xml:space="preserve">Решение о закрытии проекта должно базироваться на формализованных критериях: достигнуты ли ключевые технические вехи? Каков индекс выполнения стоимости (CPI) и индекс выполнения расписания (SPI)? Превышает ли остав</w:t>
      </w:r>
      <w:r>
        <w:rPr>
          <w:rFonts w:ascii="Times New Roman" w:hAnsi="Times New Roman" w:eastAsia="Times New Roman" w:cs="Times New Roman"/>
          <w:sz w:val="28"/>
          <w:szCs w:val="28"/>
        </w:rPr>
        <w:t xml:space="preserve">шийся бюджет ожидаемый экономический эффект от продукта? В данном случае проект уже перерасходовал бюджет более чем в два раза, опаздывает на четыре месяца, и одна из ключевых технических проблем признана нерешаемой. Это достаточные основания для закрытия.</w:t>
      </w:r>
      <w:r/>
      <w:r/>
    </w:p>
    <w:p w14:paraId="641A2C2C">
      <w:pPr>
        <w:pBdr/>
        <w:spacing w:after="120" w:before="0" w:line="360" w:lineRule="auto"/>
        <w:ind w:firstLine="709"/>
        <w:jc w:val="both"/>
        <w:rPr/>
      </w:pPr>
      <w:r>
        <w:rPr>
          <w:rFonts w:ascii="Times New Roman" w:hAnsi="Times New Roman" w:eastAsia="Times New Roman" w:cs="Times New Roman"/>
          <w:b/>
          <w:bCs/>
          <w:sz w:val="28"/>
          <w:szCs w:val="28"/>
        </w:rPr>
        <w:t xml:space="preserve">Шаг 3. Управление командой после закрытия</w:t>
      </w:r>
      <w:r/>
      <w:r/>
    </w:p>
    <w:p w14:paraId="0EA7D943">
      <w:pPr>
        <w:pBdr/>
        <w:spacing w:after="120" w:before="0" w:line="360" w:lineRule="auto"/>
        <w:ind w:firstLine="709"/>
        <w:jc w:val="both"/>
        <w:rPr/>
      </w:pPr>
      <w:r>
        <w:rPr>
          <w:rFonts w:ascii="Times New Roman" w:hAnsi="Times New Roman" w:eastAsia="Times New Roman" w:cs="Times New Roman"/>
          <w:sz w:val="28"/>
          <w:szCs w:val="28"/>
        </w:rPr>
        <w:t xml:space="preserve">Олаф правомерно опасается потерять шесть способных сотрудников. Рекомендуется: провести личные беседы с каждым членом команды до официального объявления о закрытии; признать вклад команды и сформулировать закрытие как «с</w:t>
      </w:r>
      <w:r>
        <w:rPr>
          <w:rFonts w:ascii="Times New Roman" w:hAnsi="Times New Roman" w:eastAsia="Times New Roman" w:cs="Times New Roman"/>
          <w:sz w:val="28"/>
          <w:szCs w:val="28"/>
        </w:rPr>
        <w:t xml:space="preserve">тратегическое решение компании», а не «провал команды»; предложить конкретные роли в других проектах компании, соответствующие их компетенциям; организовать сессию извлечённых уроков (lessons learned), результаты которой войдут в корпоративную базу знаний.</w:t>
      </w:r>
      <w:r/>
      <w:r/>
    </w:p>
    <w:p w14:paraId="15CA5DFE">
      <w:pPr>
        <w:pBdr/>
        <w:spacing w:after="120" w:before="0" w:line="360" w:lineRule="auto"/>
        <w:ind w:firstLine="709"/>
        <w:jc w:val="both"/>
        <w:rPr/>
      </w:pPr>
      <w:r>
        <w:rPr>
          <w:rFonts w:ascii="Times New Roman" w:hAnsi="Times New Roman" w:eastAsia="Times New Roman" w:cs="Times New Roman"/>
          <w:b/>
          <w:bCs/>
          <w:sz w:val="28"/>
          <w:szCs w:val="28"/>
        </w:rPr>
        <w:t xml:space="preserve">Шаг 4. Создание системы раннего обнаружения проблемных проектов</w:t>
      </w:r>
      <w:r/>
      <w:r/>
    </w:p>
    <w:p w14:paraId="04D93E3F">
      <w:pPr>
        <w:pBdr/>
        <w:spacing w:after="120" w:before="0" w:line="360" w:lineRule="auto"/>
        <w:ind w:firstLine="709"/>
        <w:jc w:val="both"/>
        <w:rPr/>
      </w:pPr>
      <w:r>
        <w:rPr>
          <w:rFonts w:ascii="Times New Roman" w:hAnsi="Times New Roman" w:eastAsia="Times New Roman" w:cs="Times New Roman"/>
          <w:sz w:val="28"/>
          <w:szCs w:val="28"/>
        </w:rPr>
        <w:t xml:space="preserve">Для предотвращения повторения ситуации в Wireless Telecom Company необходимо внедрить: ежекварта</w:t>
      </w:r>
      <w:r>
        <w:rPr>
          <w:rFonts w:ascii="Times New Roman" w:hAnsi="Times New Roman" w:eastAsia="Times New Roman" w:cs="Times New Roman"/>
          <w:sz w:val="28"/>
          <w:szCs w:val="28"/>
        </w:rPr>
        <w:t xml:space="preserve">льный портфельный обзор (portfolio review) с участием топ-менеджмента, на котором каждый активный проект оценивается по единой системе показателей (статус, CPI, SPI, риски, стратегическое соответствие); «светофорную» систему индикаторов (зелёный/жёлтый/кра</w:t>
      </w:r>
      <w:r>
        <w:rPr>
          <w:rFonts w:ascii="Times New Roman" w:hAnsi="Times New Roman" w:eastAsia="Times New Roman" w:cs="Times New Roman"/>
          <w:sz w:val="28"/>
          <w:szCs w:val="28"/>
        </w:rPr>
        <w:t xml:space="preserve">сный) для каждого проекта; автоматический триггер независимой проверки при достижении двух или более «красных» индикаторов; формальные контрольные точки (stage gates) на каждой фазе, без прохождения которых проект не получает финансирование следующей фазы.</w:t>
      </w:r>
      <w:r/>
      <w:r/>
    </w:p>
    <w:p w14:paraId="0C6BB43A">
      <w:pPr>
        <w:pBdr/>
        <w:spacing w:after="120" w:before="0" w:line="360" w:lineRule="auto"/>
        <w:ind w:firstLine="709"/>
        <w:jc w:val="both"/>
        <w:rPr/>
      </w:pPr>
      <w:r>
        <w:rPr>
          <w:rFonts w:ascii="Times New Roman" w:hAnsi="Times New Roman" w:eastAsia="Times New Roman" w:cs="Times New Roman"/>
          <w:b/>
          <w:bCs/>
          <w:sz w:val="28"/>
          <w:szCs w:val="28"/>
        </w:rPr>
        <w:t xml:space="preserve">Шаг 5. Формирование культуры, допускающей ошибки</w:t>
      </w:r>
      <w:r/>
      <w:r/>
    </w:p>
    <w:p w14:paraId="393F0F63">
      <w:pPr>
        <w:pBdr/>
        <w:spacing w:after="120" w:before="0" w:line="360" w:lineRule="auto"/>
        <w:ind w:firstLine="709"/>
        <w:jc w:val="both"/>
        <w:rPr/>
      </w:pPr>
      <w:r>
        <w:rPr>
          <w:rFonts w:ascii="Times New Roman" w:hAnsi="Times New Roman" w:eastAsia="Times New Roman" w:cs="Times New Roman"/>
          <w:sz w:val="28"/>
          <w:szCs w:val="28"/>
        </w:rPr>
        <w:t xml:space="preserve">Олаф должен публично признать, что закрытие проекта — это не провал менеджера, а призн</w:t>
      </w:r>
      <w:r>
        <w:rPr>
          <w:rFonts w:ascii="Times New Roman" w:hAnsi="Times New Roman" w:eastAsia="Times New Roman" w:cs="Times New Roman"/>
          <w:sz w:val="28"/>
          <w:szCs w:val="28"/>
        </w:rPr>
        <w:t xml:space="preserve">ак зрелой системы управления. Для этого рекомендуется: закрепить в политике компании правило, согласно которому своевременное закрытие нежизнеспособного проекта является заслугой, а не поводом для взысканий; включить в систему мотивации показатель качества</w:t>
      </w:r>
      <w:r>
        <w:rPr>
          <w:rFonts w:ascii="Times New Roman" w:hAnsi="Times New Roman" w:eastAsia="Times New Roman" w:cs="Times New Roman"/>
          <w:sz w:val="28"/>
          <w:szCs w:val="28"/>
        </w:rPr>
        <w:t xml:space="preserve"> проектных решений, а не только «довести проект до конца»; регулярно проводить корпоративные обсуждения извлечённых уроков на основе реальных кейсов. Это позволит руководителям проектов принимать сложные решения о закрытии без страха карьерных последствий.</w:t>
      </w:r>
      <w:r/>
      <w:r/>
    </w:p>
    <w:p>
      <w:pPr>
        <w:pBdr/>
        <w:spacing w:after="0" w:before="0" w:line="360" w:lineRule="auto"/>
        <w:ind/>
        <w:rPr/>
      </w:pPr>
      <w:r>
        <w:rPr>
          <w:rFonts w:ascii="Times New Roman" w:hAnsi="Times New Roman" w:eastAsia="Times New Roman" w:cs="Times New Roman"/>
          <w:sz w:val="28"/>
          <w:szCs w:val="28"/>
        </w:rPr>
      </w:r>
      <w:r/>
    </w:p>
    <w:sectPr>
      <w:footerReference w:type="default" r:id="rId9"/>
      <w:footnotePr/>
      <w:endnotePr/>
      <w:type w:val="nextPage"/>
      <w:pgSz w:h="16838" w:orient="portrait" w:w="11906"/>
      <w:pgMar w:top="1134" w:right="850" w:bottom="1134"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w:basedOn w:val="71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7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7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71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7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7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7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71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7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7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7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7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7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7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7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7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7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7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7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7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7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7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7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7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7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7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7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7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7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7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7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7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7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7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7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7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7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7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7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7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7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7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7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7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7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7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7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7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7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7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7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7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7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7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7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7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7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7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7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7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7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7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7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7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7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7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7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7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7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7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7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7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7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7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7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7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7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7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7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7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7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7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7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7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7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7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7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7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7">
    <w:name w:val="List Table 7 Colorful - Accent 2"/>
    <w:basedOn w:val="7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8">
    <w:name w:val="List Table 7 Colorful - Accent 3"/>
    <w:basedOn w:val="7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9">
    <w:name w:val="List Table 7 Colorful - Accent 4"/>
    <w:basedOn w:val="7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0">
    <w:name w:val="List Table 7 Colorful - Accent 5"/>
    <w:basedOn w:val="7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1">
    <w:name w:val="List Table 7 Colorful - Accent 6"/>
    <w:basedOn w:val="7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2">
    <w:name w:val="Lined - Accent"/>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7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7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7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7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7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7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7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7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7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7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7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7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7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7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7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default="1">
    <w:name w:val="Normal"/>
    <w:qFormat/>
    <w:pPr>
      <w:pBdr/>
      <w:spacing/>
      <w:ind/>
    </w:pPr>
  </w:style>
  <w:style w:type="paragraph" w:styleId="844">
    <w:name w:val="Heading 7"/>
    <w:basedOn w:val="843"/>
    <w:next w:val="843"/>
    <w:link w:val="8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5">
    <w:name w:val="Heading 8"/>
    <w:basedOn w:val="843"/>
    <w:next w:val="843"/>
    <w:link w:val="8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6">
    <w:name w:val="Heading 9"/>
    <w:basedOn w:val="843"/>
    <w:next w:val="843"/>
    <w:link w:val="8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7" w:default="1">
    <w:name w:val="Default Paragraph Font"/>
    <w:uiPriority w:val="1"/>
    <w:semiHidden/>
    <w:unhideWhenUsed/>
    <w:pPr>
      <w:pBdr/>
      <w:spacing/>
      <w:ind/>
    </w:pPr>
  </w:style>
  <w:style w:type="numbering" w:styleId="848" w:default="1">
    <w:name w:val="No List"/>
    <w:uiPriority w:val="99"/>
    <w:semiHidden/>
    <w:unhideWhenUsed/>
    <w:pPr>
      <w:pBdr/>
      <w:spacing/>
      <w:ind/>
    </w:pPr>
  </w:style>
  <w:style w:type="character" w:styleId="849">
    <w:name w:val="Heading 1 Char"/>
    <w:basedOn w:val="847"/>
    <w:link w:val="891"/>
    <w:uiPriority w:val="9"/>
    <w:pPr>
      <w:pBdr/>
      <w:spacing/>
      <w:ind/>
    </w:pPr>
    <w:rPr>
      <w:rFonts w:ascii="Arial" w:hAnsi="Arial" w:eastAsia="Arial" w:cs="Arial"/>
      <w:color w:val="0f4761" w:themeColor="accent1" w:themeShade="BF"/>
      <w:sz w:val="40"/>
      <w:szCs w:val="40"/>
    </w:rPr>
  </w:style>
  <w:style w:type="character" w:styleId="850">
    <w:name w:val="Heading 2 Char"/>
    <w:basedOn w:val="847"/>
    <w:link w:val="892"/>
    <w:uiPriority w:val="9"/>
    <w:pPr>
      <w:pBdr/>
      <w:spacing/>
      <w:ind/>
    </w:pPr>
    <w:rPr>
      <w:rFonts w:ascii="Arial" w:hAnsi="Arial" w:eastAsia="Arial" w:cs="Arial"/>
      <w:color w:val="0f4761" w:themeColor="accent1" w:themeShade="BF"/>
      <w:sz w:val="32"/>
      <w:szCs w:val="32"/>
    </w:rPr>
  </w:style>
  <w:style w:type="character" w:styleId="851">
    <w:name w:val="Heading 3 Char"/>
    <w:basedOn w:val="847"/>
    <w:link w:val="893"/>
    <w:uiPriority w:val="9"/>
    <w:pPr>
      <w:pBdr/>
      <w:spacing/>
      <w:ind/>
    </w:pPr>
    <w:rPr>
      <w:rFonts w:ascii="Arial" w:hAnsi="Arial" w:eastAsia="Arial" w:cs="Arial"/>
      <w:color w:val="0f4761" w:themeColor="accent1" w:themeShade="BF"/>
      <w:sz w:val="28"/>
      <w:szCs w:val="28"/>
    </w:rPr>
  </w:style>
  <w:style w:type="character" w:styleId="852">
    <w:name w:val="Heading 4 Char"/>
    <w:basedOn w:val="847"/>
    <w:link w:val="894"/>
    <w:uiPriority w:val="9"/>
    <w:pPr>
      <w:pBdr/>
      <w:spacing/>
      <w:ind/>
    </w:pPr>
    <w:rPr>
      <w:rFonts w:ascii="Arial" w:hAnsi="Arial" w:eastAsia="Arial" w:cs="Arial"/>
      <w:i/>
      <w:iCs/>
      <w:color w:val="0f4761" w:themeColor="accent1" w:themeShade="BF"/>
    </w:rPr>
  </w:style>
  <w:style w:type="character" w:styleId="853">
    <w:name w:val="Heading 5 Char"/>
    <w:basedOn w:val="847"/>
    <w:link w:val="895"/>
    <w:uiPriority w:val="9"/>
    <w:pPr>
      <w:pBdr/>
      <w:spacing/>
      <w:ind/>
    </w:pPr>
    <w:rPr>
      <w:rFonts w:ascii="Arial" w:hAnsi="Arial" w:eastAsia="Arial" w:cs="Arial"/>
      <w:color w:val="0f4761" w:themeColor="accent1" w:themeShade="BF"/>
    </w:rPr>
  </w:style>
  <w:style w:type="character" w:styleId="854">
    <w:name w:val="Heading 6 Char"/>
    <w:basedOn w:val="847"/>
    <w:link w:val="896"/>
    <w:uiPriority w:val="9"/>
    <w:pPr>
      <w:pBdr/>
      <w:spacing/>
      <w:ind/>
    </w:pPr>
    <w:rPr>
      <w:rFonts w:ascii="Arial" w:hAnsi="Arial" w:eastAsia="Arial" w:cs="Arial"/>
      <w:i/>
      <w:iCs/>
      <w:color w:val="595959" w:themeColor="text1" w:themeTint="A6"/>
    </w:rPr>
  </w:style>
  <w:style w:type="character" w:styleId="855">
    <w:name w:val="Heading 7 Char"/>
    <w:basedOn w:val="847"/>
    <w:link w:val="844"/>
    <w:uiPriority w:val="9"/>
    <w:pPr>
      <w:pBdr/>
      <w:spacing/>
      <w:ind/>
    </w:pPr>
    <w:rPr>
      <w:rFonts w:ascii="Arial" w:hAnsi="Arial" w:eastAsia="Arial" w:cs="Arial"/>
      <w:color w:val="595959" w:themeColor="text1" w:themeTint="A6"/>
    </w:rPr>
  </w:style>
  <w:style w:type="character" w:styleId="856">
    <w:name w:val="Heading 8 Char"/>
    <w:basedOn w:val="847"/>
    <w:link w:val="845"/>
    <w:uiPriority w:val="9"/>
    <w:pPr>
      <w:pBdr/>
      <w:spacing/>
      <w:ind/>
    </w:pPr>
    <w:rPr>
      <w:rFonts w:ascii="Arial" w:hAnsi="Arial" w:eastAsia="Arial" w:cs="Arial"/>
      <w:i/>
      <w:iCs/>
      <w:color w:val="272727" w:themeColor="text1" w:themeTint="D8"/>
    </w:rPr>
  </w:style>
  <w:style w:type="character" w:styleId="857">
    <w:name w:val="Heading 9 Char"/>
    <w:basedOn w:val="847"/>
    <w:link w:val="846"/>
    <w:uiPriority w:val="9"/>
    <w:pPr>
      <w:pBdr/>
      <w:spacing/>
      <w:ind/>
    </w:pPr>
    <w:rPr>
      <w:rFonts w:ascii="Arial" w:hAnsi="Arial" w:eastAsia="Arial" w:cs="Arial"/>
      <w:i/>
      <w:iCs/>
      <w:color w:val="272727" w:themeColor="text1" w:themeTint="D8"/>
    </w:rPr>
  </w:style>
  <w:style w:type="character" w:styleId="858">
    <w:name w:val="Title Char"/>
    <w:basedOn w:val="847"/>
    <w:link w:val="890"/>
    <w:uiPriority w:val="10"/>
    <w:pPr>
      <w:pBdr/>
      <w:spacing/>
      <w:ind/>
    </w:pPr>
    <w:rPr>
      <w:rFonts w:ascii="Arial" w:hAnsi="Arial" w:eastAsia="Arial" w:cs="Arial"/>
      <w:spacing w:val="-10"/>
      <w:sz w:val="56"/>
      <w:szCs w:val="56"/>
    </w:rPr>
  </w:style>
  <w:style w:type="paragraph" w:styleId="859">
    <w:name w:val="Subtitle"/>
    <w:basedOn w:val="843"/>
    <w:next w:val="843"/>
    <w:link w:val="860"/>
    <w:uiPriority w:val="11"/>
    <w:qFormat/>
    <w:pPr>
      <w:numPr>
        <w:ilvl w:val="1"/>
      </w:numPr>
      <w:pBdr/>
      <w:spacing/>
      <w:ind/>
    </w:pPr>
    <w:rPr>
      <w:color w:val="595959" w:themeColor="text1" w:themeTint="A6"/>
      <w:spacing w:val="15"/>
      <w:sz w:val="28"/>
      <w:szCs w:val="28"/>
    </w:rPr>
  </w:style>
  <w:style w:type="character" w:styleId="860">
    <w:name w:val="Subtitle Char"/>
    <w:basedOn w:val="847"/>
    <w:link w:val="859"/>
    <w:uiPriority w:val="11"/>
    <w:pPr>
      <w:pBdr/>
      <w:spacing/>
      <w:ind/>
    </w:pPr>
    <w:rPr>
      <w:color w:val="595959" w:themeColor="text1" w:themeTint="A6"/>
      <w:spacing w:val="15"/>
      <w:sz w:val="28"/>
      <w:szCs w:val="28"/>
    </w:rPr>
  </w:style>
  <w:style w:type="paragraph" w:styleId="861">
    <w:name w:val="Quote"/>
    <w:basedOn w:val="843"/>
    <w:next w:val="843"/>
    <w:link w:val="862"/>
    <w:uiPriority w:val="29"/>
    <w:qFormat/>
    <w:pPr>
      <w:pBdr/>
      <w:spacing w:before="160"/>
      <w:ind/>
      <w:jc w:val="center"/>
    </w:pPr>
    <w:rPr>
      <w:i/>
      <w:iCs/>
      <w:color w:val="404040" w:themeColor="text1" w:themeTint="BF"/>
    </w:rPr>
  </w:style>
  <w:style w:type="character" w:styleId="862">
    <w:name w:val="Quote Char"/>
    <w:basedOn w:val="847"/>
    <w:link w:val="861"/>
    <w:uiPriority w:val="29"/>
    <w:pPr>
      <w:pBdr/>
      <w:spacing/>
      <w:ind/>
    </w:pPr>
    <w:rPr>
      <w:i/>
      <w:iCs/>
      <w:color w:val="404040" w:themeColor="text1" w:themeTint="BF"/>
    </w:rPr>
  </w:style>
  <w:style w:type="character" w:styleId="863">
    <w:name w:val="Intense Emphasis"/>
    <w:basedOn w:val="847"/>
    <w:uiPriority w:val="21"/>
    <w:qFormat/>
    <w:pPr>
      <w:pBdr/>
      <w:spacing/>
      <w:ind/>
    </w:pPr>
    <w:rPr>
      <w:i/>
      <w:iCs/>
      <w:color w:val="0f4761" w:themeColor="accent1" w:themeShade="BF"/>
    </w:rPr>
  </w:style>
  <w:style w:type="paragraph" w:styleId="864">
    <w:name w:val="Intense Quote"/>
    <w:basedOn w:val="843"/>
    <w:next w:val="843"/>
    <w:link w:val="86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5">
    <w:name w:val="Intense Quote Char"/>
    <w:basedOn w:val="847"/>
    <w:link w:val="864"/>
    <w:uiPriority w:val="30"/>
    <w:pPr>
      <w:pBdr/>
      <w:spacing/>
      <w:ind/>
    </w:pPr>
    <w:rPr>
      <w:i/>
      <w:iCs/>
      <w:color w:val="0f4761" w:themeColor="accent1" w:themeShade="BF"/>
    </w:rPr>
  </w:style>
  <w:style w:type="character" w:styleId="866">
    <w:name w:val="Intense Reference"/>
    <w:basedOn w:val="847"/>
    <w:uiPriority w:val="32"/>
    <w:qFormat/>
    <w:pPr>
      <w:pBdr/>
      <w:spacing/>
      <w:ind/>
    </w:pPr>
    <w:rPr>
      <w:b/>
      <w:bCs/>
      <w:smallCaps/>
      <w:color w:val="0f4761" w:themeColor="accent1" w:themeShade="BF"/>
      <w:spacing w:val="5"/>
    </w:rPr>
  </w:style>
  <w:style w:type="paragraph" w:styleId="867">
    <w:name w:val="No Spacing"/>
    <w:basedOn w:val="843"/>
    <w:uiPriority w:val="1"/>
    <w:qFormat/>
    <w:pPr>
      <w:pBdr/>
      <w:spacing w:after="0" w:line="240" w:lineRule="auto"/>
      <w:ind/>
    </w:pPr>
  </w:style>
  <w:style w:type="character" w:styleId="868">
    <w:name w:val="Subtle Emphasis"/>
    <w:basedOn w:val="847"/>
    <w:uiPriority w:val="19"/>
    <w:qFormat/>
    <w:pPr>
      <w:pBdr/>
      <w:spacing/>
      <w:ind/>
    </w:pPr>
    <w:rPr>
      <w:i/>
      <w:iCs/>
      <w:color w:val="404040" w:themeColor="text1" w:themeTint="BF"/>
    </w:rPr>
  </w:style>
  <w:style w:type="character" w:styleId="869">
    <w:name w:val="Emphasis"/>
    <w:basedOn w:val="847"/>
    <w:uiPriority w:val="20"/>
    <w:qFormat/>
    <w:pPr>
      <w:pBdr/>
      <w:spacing/>
      <w:ind/>
    </w:pPr>
    <w:rPr>
      <w:i/>
      <w:iCs/>
    </w:rPr>
  </w:style>
  <w:style w:type="character" w:styleId="870">
    <w:name w:val="Subtle Reference"/>
    <w:basedOn w:val="847"/>
    <w:uiPriority w:val="31"/>
    <w:qFormat/>
    <w:pPr>
      <w:pBdr/>
      <w:spacing/>
      <w:ind/>
    </w:pPr>
    <w:rPr>
      <w:smallCaps/>
      <w:color w:val="5a5a5a" w:themeColor="text1" w:themeTint="A5"/>
    </w:rPr>
  </w:style>
  <w:style w:type="character" w:styleId="871">
    <w:name w:val="Book Title"/>
    <w:basedOn w:val="847"/>
    <w:uiPriority w:val="33"/>
    <w:qFormat/>
    <w:pPr>
      <w:pBdr/>
      <w:spacing/>
      <w:ind/>
    </w:pPr>
    <w:rPr>
      <w:b/>
      <w:bCs/>
      <w:i/>
      <w:iCs/>
      <w:spacing w:val="5"/>
    </w:rPr>
  </w:style>
  <w:style w:type="paragraph" w:styleId="872">
    <w:name w:val="Header"/>
    <w:basedOn w:val="843"/>
    <w:link w:val="873"/>
    <w:uiPriority w:val="99"/>
    <w:unhideWhenUsed/>
    <w:pPr>
      <w:pBdr/>
      <w:tabs>
        <w:tab w:val="center" w:leader="none" w:pos="4844"/>
        <w:tab w:val="right" w:leader="none" w:pos="9689"/>
      </w:tabs>
      <w:spacing w:after="0" w:line="240" w:lineRule="auto"/>
      <w:ind/>
    </w:pPr>
  </w:style>
  <w:style w:type="character" w:styleId="873">
    <w:name w:val="Header Char"/>
    <w:basedOn w:val="847"/>
    <w:link w:val="872"/>
    <w:uiPriority w:val="99"/>
    <w:pPr>
      <w:pBdr/>
      <w:spacing/>
      <w:ind/>
    </w:pPr>
  </w:style>
  <w:style w:type="paragraph" w:styleId="874">
    <w:name w:val="Footer"/>
    <w:basedOn w:val="843"/>
    <w:link w:val="875"/>
    <w:uiPriority w:val="99"/>
    <w:unhideWhenUsed/>
    <w:pPr>
      <w:pBdr/>
      <w:tabs>
        <w:tab w:val="center" w:leader="none" w:pos="4844"/>
        <w:tab w:val="right" w:leader="none" w:pos="9689"/>
      </w:tabs>
      <w:spacing w:after="0" w:line="240" w:lineRule="auto"/>
      <w:ind/>
    </w:pPr>
  </w:style>
  <w:style w:type="character" w:styleId="875">
    <w:name w:val="Footer Char"/>
    <w:basedOn w:val="847"/>
    <w:link w:val="874"/>
    <w:uiPriority w:val="99"/>
    <w:pPr>
      <w:pBdr/>
      <w:spacing/>
      <w:ind/>
    </w:pPr>
  </w:style>
  <w:style w:type="paragraph" w:styleId="876">
    <w:name w:val="Caption"/>
    <w:basedOn w:val="843"/>
    <w:next w:val="843"/>
    <w:uiPriority w:val="35"/>
    <w:unhideWhenUsed/>
    <w:qFormat/>
    <w:pPr>
      <w:pBdr/>
      <w:spacing w:after="200" w:line="240" w:lineRule="auto"/>
      <w:ind/>
    </w:pPr>
    <w:rPr>
      <w:i/>
      <w:iCs/>
      <w:color w:val="0e2841" w:themeColor="text2"/>
      <w:sz w:val="18"/>
      <w:szCs w:val="18"/>
    </w:rPr>
  </w:style>
  <w:style w:type="character" w:styleId="877">
    <w:name w:val="FollowedHyperlink"/>
    <w:basedOn w:val="847"/>
    <w:uiPriority w:val="99"/>
    <w:semiHidden/>
    <w:unhideWhenUsed/>
    <w:pPr>
      <w:pBdr/>
      <w:spacing/>
      <w:ind/>
    </w:pPr>
    <w:rPr>
      <w:color w:val="954f72" w:themeColor="followedHyperlink"/>
      <w:u w:val="single"/>
    </w:rPr>
  </w:style>
  <w:style w:type="paragraph" w:styleId="878">
    <w:name w:val="toc 1"/>
    <w:basedOn w:val="843"/>
    <w:next w:val="843"/>
    <w:uiPriority w:val="39"/>
    <w:unhideWhenUsed/>
    <w:pPr>
      <w:pBdr/>
      <w:spacing w:after="100"/>
      <w:ind/>
    </w:pPr>
  </w:style>
  <w:style w:type="paragraph" w:styleId="879">
    <w:name w:val="toc 2"/>
    <w:basedOn w:val="843"/>
    <w:next w:val="843"/>
    <w:uiPriority w:val="39"/>
    <w:unhideWhenUsed/>
    <w:pPr>
      <w:pBdr/>
      <w:spacing w:after="100"/>
      <w:ind w:left="220"/>
    </w:pPr>
  </w:style>
  <w:style w:type="paragraph" w:styleId="880">
    <w:name w:val="toc 3"/>
    <w:basedOn w:val="843"/>
    <w:next w:val="843"/>
    <w:uiPriority w:val="39"/>
    <w:unhideWhenUsed/>
    <w:pPr>
      <w:pBdr/>
      <w:spacing w:after="100"/>
      <w:ind w:left="440"/>
    </w:pPr>
  </w:style>
  <w:style w:type="paragraph" w:styleId="881">
    <w:name w:val="toc 4"/>
    <w:basedOn w:val="843"/>
    <w:next w:val="843"/>
    <w:uiPriority w:val="39"/>
    <w:unhideWhenUsed/>
    <w:pPr>
      <w:pBdr/>
      <w:spacing w:after="100"/>
      <w:ind w:left="660"/>
    </w:pPr>
  </w:style>
  <w:style w:type="paragraph" w:styleId="882">
    <w:name w:val="toc 5"/>
    <w:basedOn w:val="843"/>
    <w:next w:val="843"/>
    <w:uiPriority w:val="39"/>
    <w:unhideWhenUsed/>
    <w:pPr>
      <w:pBdr/>
      <w:spacing w:after="100"/>
      <w:ind w:left="880"/>
    </w:pPr>
  </w:style>
  <w:style w:type="paragraph" w:styleId="883">
    <w:name w:val="toc 6"/>
    <w:basedOn w:val="843"/>
    <w:next w:val="843"/>
    <w:uiPriority w:val="39"/>
    <w:unhideWhenUsed/>
    <w:pPr>
      <w:pBdr/>
      <w:spacing w:after="100"/>
      <w:ind w:left="1100"/>
    </w:pPr>
  </w:style>
  <w:style w:type="paragraph" w:styleId="884">
    <w:name w:val="toc 7"/>
    <w:basedOn w:val="843"/>
    <w:next w:val="843"/>
    <w:uiPriority w:val="39"/>
    <w:unhideWhenUsed/>
    <w:pPr>
      <w:pBdr/>
      <w:spacing w:after="100"/>
      <w:ind w:left="1320"/>
    </w:pPr>
  </w:style>
  <w:style w:type="paragraph" w:styleId="885">
    <w:name w:val="toc 8"/>
    <w:basedOn w:val="843"/>
    <w:next w:val="843"/>
    <w:uiPriority w:val="39"/>
    <w:unhideWhenUsed/>
    <w:pPr>
      <w:pBdr/>
      <w:spacing w:after="100"/>
      <w:ind w:left="1540"/>
    </w:pPr>
  </w:style>
  <w:style w:type="paragraph" w:styleId="886">
    <w:name w:val="toc 9"/>
    <w:basedOn w:val="843"/>
    <w:next w:val="843"/>
    <w:uiPriority w:val="39"/>
    <w:unhideWhenUsed/>
    <w:pPr>
      <w:pBdr/>
      <w:spacing w:after="100"/>
      <w:ind w:left="1760"/>
    </w:pPr>
  </w:style>
  <w:style w:type="character" w:styleId="887">
    <w:name w:val="Placeholder Text"/>
    <w:basedOn w:val="847"/>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43"/>
    <w:next w:val="843"/>
    <w:uiPriority w:val="99"/>
    <w:unhideWhenUsed/>
    <w:pPr>
      <w:pBdr/>
      <w:spacing w:after="0" w:afterAutospacing="0"/>
      <w:ind/>
    </w:pPr>
  </w:style>
  <w:style w:type="paragraph" w:styleId="890">
    <w:name w:val="Title"/>
    <w:qFormat/>
    <w:pPr>
      <w:pBdr/>
      <w:spacing/>
      <w:ind/>
    </w:pPr>
    <w:rPr>
      <w:sz w:val="56"/>
      <w:szCs w:val="56"/>
    </w:rPr>
  </w:style>
  <w:style w:type="paragraph" w:styleId="891">
    <w:name w:val="Heading 1"/>
    <w:qFormat/>
    <w:pPr>
      <w:pBdr/>
      <w:spacing/>
      <w:ind/>
    </w:pPr>
    <w:rPr>
      <w:color w:val="2e74b5"/>
      <w:sz w:val="32"/>
      <w:szCs w:val="32"/>
    </w:rPr>
  </w:style>
  <w:style w:type="paragraph" w:styleId="892">
    <w:name w:val="Heading 2"/>
    <w:qFormat/>
    <w:pPr>
      <w:pBdr/>
      <w:spacing/>
      <w:ind/>
    </w:pPr>
    <w:rPr>
      <w:color w:val="2e74b5"/>
      <w:sz w:val="26"/>
      <w:szCs w:val="26"/>
    </w:rPr>
  </w:style>
  <w:style w:type="paragraph" w:styleId="893">
    <w:name w:val="Heading 3"/>
    <w:qFormat/>
    <w:pPr>
      <w:pBdr/>
      <w:spacing/>
      <w:ind/>
    </w:pPr>
    <w:rPr>
      <w:color w:val="1f4d78"/>
      <w:sz w:val="24"/>
      <w:szCs w:val="24"/>
    </w:rPr>
  </w:style>
  <w:style w:type="paragraph" w:styleId="894">
    <w:name w:val="Heading 4"/>
    <w:qFormat/>
    <w:pPr>
      <w:pBdr/>
      <w:spacing/>
      <w:ind/>
    </w:pPr>
    <w:rPr>
      <w:i/>
      <w:iCs/>
      <w:color w:val="2e74b5"/>
    </w:rPr>
  </w:style>
  <w:style w:type="paragraph" w:styleId="895">
    <w:name w:val="Heading 5"/>
    <w:qFormat/>
    <w:pPr>
      <w:pBdr/>
      <w:spacing/>
      <w:ind/>
    </w:pPr>
    <w:rPr>
      <w:color w:val="2e74b5"/>
    </w:rPr>
  </w:style>
  <w:style w:type="paragraph" w:styleId="896">
    <w:name w:val="Heading 6"/>
    <w:qFormat/>
    <w:pPr>
      <w:pBdr/>
      <w:spacing/>
      <w:ind/>
    </w:pPr>
    <w:rPr>
      <w:color w:val="1f4d78"/>
    </w:rPr>
  </w:style>
  <w:style w:type="paragraph" w:styleId="897">
    <w:name w:val="Strong"/>
    <w:qFormat/>
    <w:pPr>
      <w:pBdr/>
      <w:spacing/>
      <w:ind/>
    </w:pPr>
    <w:rPr>
      <w:b/>
      <w:bCs/>
    </w:rPr>
  </w:style>
  <w:style w:type="paragraph" w:styleId="898">
    <w:name w:val="List Paragraph"/>
    <w:qFormat/>
    <w:pPr>
      <w:pBdr/>
      <w:spacing/>
      <w:ind/>
    </w:pPr>
  </w:style>
  <w:style w:type="character" w:styleId="899">
    <w:name w:val="Hyperlink"/>
    <w:uiPriority w:val="99"/>
    <w:unhideWhenUsed/>
    <w:pPr>
      <w:pBdr/>
      <w:spacing/>
      <w:ind/>
    </w:pPr>
    <w:rPr>
      <w:color w:val="0563c1"/>
      <w:u w:val="single"/>
    </w:rPr>
  </w:style>
  <w:style w:type="character" w:styleId="900">
    <w:name w:val="footnote reference"/>
    <w:uiPriority w:val="99"/>
    <w:semiHidden/>
    <w:unhideWhenUsed/>
    <w:pPr>
      <w:pBdr/>
      <w:spacing/>
      <w:ind/>
    </w:pPr>
    <w:rPr>
      <w:vertAlign w:val="superscript"/>
    </w:rPr>
  </w:style>
  <w:style w:type="paragraph" w:styleId="901">
    <w:name w:val="footnote text"/>
    <w:link w:val="902"/>
    <w:uiPriority w:val="99"/>
    <w:semiHidden/>
    <w:unhideWhenUsed/>
    <w:pPr>
      <w:pBdr/>
      <w:spacing w:after="0" w:line="240" w:lineRule="auto"/>
      <w:ind/>
    </w:pPr>
    <w:rPr>
      <w:sz w:val="20"/>
      <w:szCs w:val="20"/>
    </w:rPr>
  </w:style>
  <w:style w:type="character" w:styleId="902">
    <w:name w:val="Footnote Text Char"/>
    <w:link w:val="901"/>
    <w:uiPriority w:val="99"/>
    <w:semiHidden/>
    <w:unhideWhenUsed/>
    <w:pPr>
      <w:pBdr/>
      <w:spacing/>
      <w:ind/>
    </w:pPr>
    <w:rPr>
      <w:sz w:val="20"/>
      <w:szCs w:val="20"/>
    </w:rPr>
  </w:style>
  <w:style w:type="character" w:styleId="903">
    <w:name w:val="endnote reference"/>
    <w:uiPriority w:val="99"/>
    <w:semiHidden/>
    <w:unhideWhenUsed/>
    <w:pPr>
      <w:pBdr/>
      <w:spacing/>
      <w:ind/>
    </w:pPr>
    <w:rPr>
      <w:vertAlign w:val="superscript"/>
    </w:rPr>
  </w:style>
  <w:style w:type="paragraph" w:styleId="904">
    <w:name w:val="endnote text"/>
    <w:link w:val="905"/>
    <w:uiPriority w:val="99"/>
    <w:semiHidden/>
    <w:unhideWhenUsed/>
    <w:pPr>
      <w:pBdr/>
      <w:spacing w:after="0" w:line="240" w:lineRule="auto"/>
      <w:ind/>
    </w:pPr>
    <w:rPr>
      <w:sz w:val="20"/>
      <w:szCs w:val="20"/>
    </w:rPr>
  </w:style>
  <w:style w:type="character" w:styleId="905">
    <w:name w:val="Endnote Text Char"/>
    <w:link w:val="904"/>
    <w:uiPriority w:val="99"/>
    <w:semiHidden/>
    <w:unhideWhenUsed/>
    <w:pPr>
      <w:pBdr/>
      <w:spacing/>
      <w:ind/>
    </w:pPr>
    <w:rPr>
      <w:sz w:val="20"/>
      <w:szCs w:val="20"/>
    </w:rPr>
  </w:style>
  <w:style w:type="paragraph" w:styleId="906" w:customStyle="1">
    <w:name w:val="Body Text"/>
    <w:uiPriority w:val="1"/>
    <w:qFormat/>
    <w:pPr>
      <w:keepNext w:val="false"/>
      <w:keepLines w:val="false"/>
      <w:pageBreakBefore w:val="false"/>
      <w:widowControl w:val="fals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0" w:afterAutospacing="0" w:before="0" w:beforeAutospacing="0"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8"/>
      <w:szCs w:val="28"/>
      <w:highlight w:val="none"/>
      <w:u w:val="none"/>
      <w:vertAlign w:val="baseline"/>
      <w:rtl w:val="0"/>
      <w:cs w:val="0"/>
      <w:lang w:val="ru-RU"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2026-04-07T09:31:17Z</dcterms:created>
  <dcterms:modified xsi:type="dcterms:W3CDTF">2026-04-13T08:35:59Z</dcterms:modified>
</cp:coreProperties>
</file>