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54"/>
        <w:pBdr/>
        <w:spacing/>
        <w:ind w:left="4034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942296" cy="1052607"/>
                <wp:effectExtent l="0" t="0" r="0" b="0"/>
                <wp:docPr id="2" name="Imag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 1"/>
                        <pic:cNvPicPr/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942296" cy="10526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4.20pt;height:82.88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754"/>
        <w:pBdr/>
        <w:spacing w:before="36"/>
        <w:ind w:right="302" w:left="20"/>
        <w:jc w:val="center"/>
        <w:rPr/>
      </w:pPr>
      <w:r>
        <w:t xml:space="preserve">МИНОБРНАУКИ</w:t>
      </w:r>
      <w:r>
        <w:rPr>
          <w:spacing w:val="-17"/>
        </w:rPr>
        <w:t xml:space="preserve"> </w:t>
      </w:r>
      <w:r>
        <w:rPr>
          <w:spacing w:val="-2"/>
        </w:rPr>
        <w:t xml:space="preserve">РОССИИ</w:t>
      </w:r>
      <w:r/>
    </w:p>
    <w:p>
      <w:pPr>
        <w:pStyle w:val="754"/>
        <w:pBdr/>
        <w:spacing w:before="48" w:line="259" w:lineRule="auto"/>
        <w:ind w:right="302" w:left="24"/>
        <w:jc w:val="center"/>
        <w:rPr/>
      </w:pPr>
      <w:r>
        <w:t xml:space="preserve">Федеральное</w:t>
      </w:r>
      <w:r>
        <w:rPr>
          <w:spacing w:val="-9"/>
        </w:rPr>
        <w:t xml:space="preserve"> </w:t>
      </w:r>
      <w:r>
        <w:t xml:space="preserve">государственное</w:t>
      </w:r>
      <w:r>
        <w:rPr>
          <w:spacing w:val="-9"/>
        </w:rPr>
        <w:t xml:space="preserve"> </w:t>
      </w:r>
      <w:r>
        <w:t xml:space="preserve">бюджетное</w:t>
      </w:r>
      <w:r>
        <w:rPr>
          <w:spacing w:val="-9"/>
        </w:rPr>
        <w:t xml:space="preserve"> </w:t>
      </w:r>
      <w:r>
        <w:t xml:space="preserve">образовательное</w:t>
      </w:r>
      <w:r>
        <w:rPr>
          <w:spacing w:val="-11"/>
        </w:rPr>
        <w:t xml:space="preserve"> </w:t>
      </w:r>
      <w:r>
        <w:t xml:space="preserve">учреждение высшего образования</w:t>
      </w:r>
      <w:r/>
    </w:p>
    <w:p>
      <w:pPr>
        <w:pStyle w:val="754"/>
        <w:pBdr/>
        <w:spacing w:before="65"/>
        <w:ind w:right="302" w:left="19"/>
        <w:jc w:val="center"/>
        <w:rPr/>
      </w:pPr>
      <w:r>
        <w:t xml:space="preserve">«МИРЭА</w:t>
      </w:r>
      <w:r>
        <w:rPr>
          <w:spacing w:val="-10"/>
        </w:rPr>
        <w:t xml:space="preserve"> </w:t>
      </w:r>
      <w:r>
        <w:t xml:space="preserve">–</w:t>
      </w:r>
      <w:r>
        <w:rPr>
          <w:spacing w:val="-8"/>
        </w:rPr>
        <w:t xml:space="preserve"> </w:t>
      </w:r>
      <w:r>
        <w:t xml:space="preserve">Российский</w:t>
      </w:r>
      <w:r>
        <w:rPr>
          <w:spacing w:val="-8"/>
        </w:rPr>
        <w:t xml:space="preserve"> </w:t>
      </w:r>
      <w:r>
        <w:t xml:space="preserve">технологический</w:t>
      </w:r>
      <w:r>
        <w:rPr>
          <w:spacing w:val="-7"/>
        </w:rPr>
        <w:t xml:space="preserve"> </w:t>
      </w:r>
      <w:r>
        <w:rPr>
          <w:spacing w:val="-2"/>
        </w:rPr>
        <w:t xml:space="preserve">университет»</w:t>
      </w:r>
      <w:r/>
    </w:p>
    <w:p>
      <w:pPr>
        <w:pStyle w:val="754"/>
        <w:pBdr/>
        <w:spacing w:before="289"/>
        <w:ind/>
        <w:rPr/>
      </w:pPr>
      <w:r/>
      <w:r/>
    </w:p>
    <w:p>
      <w:pPr>
        <w:pStyle w:val="754"/>
        <w:pBdr/>
        <w:spacing w:before="1"/>
        <w:ind w:right="302" w:left="26"/>
        <w:jc w:val="center"/>
        <w:rPr/>
      </w:pPr>
      <w:r>
        <w:t xml:space="preserve">РТУ</w:t>
      </w:r>
      <w:r>
        <w:rPr>
          <w:spacing w:val="-2"/>
        </w:rPr>
        <w:t xml:space="preserve"> МИРЭА</w:t>
      </w:r>
      <w:r/>
    </w:p>
    <w:p>
      <w:pPr>
        <w:pStyle w:val="754"/>
        <w:pBdr/>
        <w:spacing w:before="266"/>
        <w:ind w:right="302"/>
        <w:jc w:val="center"/>
        <w:rPr/>
      </w:pPr>
      <w:r>
        <w:t xml:space="preserve">Институт</w:t>
      </w:r>
      <w:r>
        <w:rPr>
          <w:spacing w:val="-12"/>
        </w:rPr>
        <w:t xml:space="preserve"> </w:t>
      </w:r>
      <w:r>
        <w:t xml:space="preserve">Кибербезопасности</w:t>
      </w:r>
      <w:r>
        <w:rPr>
          <w:spacing w:val="-8"/>
        </w:rPr>
        <w:t xml:space="preserve"> </w:t>
      </w:r>
      <w:r>
        <w:t xml:space="preserve">и</w:t>
      </w:r>
      <w:r>
        <w:rPr>
          <w:spacing w:val="-8"/>
        </w:rPr>
        <w:t xml:space="preserve"> </w:t>
      </w:r>
      <w:r>
        <w:t xml:space="preserve">цифровых</w:t>
      </w:r>
      <w:r>
        <w:rPr>
          <w:spacing w:val="-7"/>
        </w:rPr>
        <w:t xml:space="preserve"> </w:t>
      </w:r>
      <w:r>
        <w:rPr>
          <w:spacing w:val="-2"/>
        </w:rPr>
        <w:t xml:space="preserve">технологий</w:t>
      </w:r>
      <w:r/>
    </w:p>
    <w:p>
      <w:pPr>
        <w:pStyle w:val="754"/>
        <w:pBdr/>
        <w:spacing w:before="266"/>
        <w:ind w:right="302" w:left="9"/>
        <w:jc w:val="center"/>
        <w:rPr/>
      </w:pPr>
      <w:r>
        <w:t xml:space="preserve">Кафедра</w:t>
      </w:r>
      <w:r>
        <w:rPr>
          <w:spacing w:val="-9"/>
        </w:rPr>
        <w:t xml:space="preserve"> </w:t>
      </w:r>
      <w:r>
        <w:t xml:space="preserve">КБ-4</w:t>
      </w:r>
      <w:r>
        <w:rPr>
          <w:spacing w:val="-7"/>
        </w:rPr>
        <w:t xml:space="preserve"> </w:t>
      </w:r>
      <w:r>
        <w:t xml:space="preserve">«Интеллектуальные</w:t>
      </w:r>
      <w:r>
        <w:rPr>
          <w:spacing w:val="-8"/>
        </w:rPr>
        <w:t xml:space="preserve"> </w:t>
      </w:r>
      <w:r>
        <w:t xml:space="preserve">системы</w:t>
      </w:r>
      <w:r>
        <w:rPr>
          <w:spacing w:val="-9"/>
        </w:rPr>
        <w:t xml:space="preserve"> </w:t>
      </w:r>
      <w:r>
        <w:t xml:space="preserve">информационной</w:t>
      </w:r>
      <w:r>
        <w:rPr>
          <w:spacing w:val="-10"/>
        </w:rPr>
        <w:t xml:space="preserve"> </w:t>
      </w:r>
      <w:r>
        <w:rPr>
          <w:spacing w:val="-2"/>
        </w:rPr>
        <w:t xml:space="preserve">безопасности»</w:t>
      </w:r>
      <w:r/>
    </w:p>
    <w:p>
      <w:pPr>
        <w:pStyle w:val="754"/>
        <w:pBdr/>
        <w:spacing/>
        <w:ind/>
        <w:rPr/>
      </w:pPr>
      <w:r/>
      <w:r/>
    </w:p>
    <w:p>
      <w:pPr>
        <w:pStyle w:val="754"/>
        <w:pBdr/>
        <w:spacing/>
        <w:ind/>
        <w:rPr/>
      </w:pPr>
      <w:r/>
      <w:r/>
    </w:p>
    <w:p>
      <w:pPr>
        <w:pStyle w:val="754"/>
        <w:pBdr/>
        <w:spacing/>
        <w:ind/>
        <w:rPr/>
      </w:pPr>
      <w:r/>
      <w:r/>
    </w:p>
    <w:p>
      <w:pPr>
        <w:pStyle w:val="754"/>
        <w:pBdr/>
        <w:spacing/>
        <w:ind/>
        <w:rPr/>
      </w:pPr>
      <w:r/>
      <w:r/>
    </w:p>
    <w:p>
      <w:pPr>
        <w:pStyle w:val="754"/>
        <w:pBdr/>
        <w:spacing/>
        <w:ind/>
        <w:rPr/>
      </w:pPr>
      <w:r/>
      <w:r/>
    </w:p>
    <w:p>
      <w:pPr>
        <w:pStyle w:val="754"/>
        <w:pBdr/>
        <w:spacing w:before="225"/>
        <w:ind/>
        <w:rPr/>
      </w:pPr>
      <w:r/>
      <w:r/>
    </w:p>
    <w:p>
      <w:pPr>
        <w:pStyle w:val="754"/>
        <w:pBdr/>
        <w:spacing w:before="1"/>
        <w:ind w:right="302" w:left="26"/>
        <w:jc w:val="center"/>
        <w:rPr/>
      </w:pPr>
      <w:r>
        <w:t xml:space="preserve">Практические</w:t>
      </w:r>
      <w:r>
        <w:rPr>
          <w:spacing w:val="-6"/>
        </w:rPr>
        <w:t xml:space="preserve"> </w:t>
      </w:r>
      <w:r>
        <w:t xml:space="preserve">задания</w:t>
      </w:r>
      <w:r>
        <w:rPr>
          <w:spacing w:val="-6"/>
        </w:rPr>
        <w:t xml:space="preserve"> </w:t>
      </w:r>
      <w:r>
        <w:t xml:space="preserve">№</w:t>
      </w:r>
      <w:r>
        <w:rPr>
          <w:spacing w:val="-8"/>
        </w:rPr>
        <w:t xml:space="preserve"> </w:t>
      </w:r>
      <w:r>
        <w:rPr>
          <w:spacing w:val="-5"/>
        </w:rPr>
        <w:t xml:space="preserve">1,2</w:t>
      </w:r>
      <w:r/>
    </w:p>
    <w:p>
      <w:pPr>
        <w:pStyle w:val="754"/>
        <w:pBdr/>
        <w:spacing w:before="266"/>
        <w:ind w:right="302" w:left="16"/>
        <w:jc w:val="center"/>
        <w:rPr/>
      </w:pPr>
      <w:r>
        <w:t xml:space="preserve">по</w:t>
      </w:r>
      <w:r>
        <w:rPr>
          <w:spacing w:val="-10"/>
        </w:rPr>
        <w:t xml:space="preserve"> </w:t>
      </w:r>
      <w:r>
        <w:t xml:space="preserve">дисциплине:</w:t>
      </w:r>
      <w:r>
        <w:rPr>
          <w:spacing w:val="-6"/>
        </w:rPr>
        <w:t xml:space="preserve"> </w:t>
      </w:r>
      <w:r>
        <w:t xml:space="preserve">«Гибкое</w:t>
      </w:r>
      <w:r>
        <w:rPr>
          <w:spacing w:val="-7"/>
        </w:rPr>
        <w:t xml:space="preserve"> </w:t>
      </w:r>
      <w:r>
        <w:t xml:space="preserve">управление</w:t>
      </w:r>
      <w:r>
        <w:rPr>
          <w:spacing w:val="-6"/>
        </w:rPr>
        <w:t xml:space="preserve"> </w:t>
      </w:r>
      <w:r>
        <w:rPr>
          <w:spacing w:val="-2"/>
        </w:rPr>
        <w:t xml:space="preserve">проектами»</w:t>
      </w:r>
      <w:r/>
    </w:p>
    <w:p>
      <w:pPr>
        <w:pStyle w:val="754"/>
        <w:pBdr/>
        <w:spacing/>
        <w:ind/>
        <w:rPr/>
      </w:pPr>
      <w:r/>
      <w:r/>
    </w:p>
    <w:p>
      <w:pPr>
        <w:pStyle w:val="754"/>
        <w:pBdr/>
        <w:spacing w:before="39"/>
        <w:ind/>
        <w:rPr/>
      </w:pPr>
      <w:r/>
      <w:r/>
    </w:p>
    <w:p>
      <w:pPr>
        <w:pStyle w:val="754"/>
        <w:pBdr/>
        <w:spacing w:before="1" w:line="412" w:lineRule="auto"/>
        <w:ind w:right="797" w:hanging="32" w:left="5602"/>
        <w:rPr/>
      </w:pPr>
      <w:r>
        <w:t xml:space="preserve">Выполнил:</w:t>
      </w:r>
      <w:r>
        <w:rPr>
          <w:spacing w:val="-16"/>
        </w:rPr>
        <w:t xml:space="preserve"> </w:t>
      </w:r>
      <w:r>
        <w:t xml:space="preserve">студент</w:t>
      </w:r>
      <w:r>
        <w:rPr>
          <w:spacing w:val="-18"/>
        </w:rPr>
        <w:t xml:space="preserve"> </w:t>
      </w:r>
      <w:r>
        <w:t xml:space="preserve">группы </w:t>
      </w:r>
      <w:r>
        <w:rPr>
          <w:spacing w:val="-2"/>
        </w:rPr>
        <w:t xml:space="preserve">ББМО-01-25</w:t>
      </w:r>
      <w:r/>
    </w:p>
    <w:p>
      <w:pPr>
        <w:pBdr/>
        <w:spacing w:before="34" w:line="393" w:lineRule="auto"/>
        <w:ind w:right="404" w:firstLine="0" w:left="5602"/>
        <w:jc w:val="left"/>
        <w:rPr>
          <w:i/>
          <w:sz w:val="28"/>
        </w:rPr>
      </w:pPr>
      <w:r>
        <w:rPr>
          <w:i/>
          <w:sz w:val="28"/>
        </w:rPr>
        <w:t xml:space="preserve">Мухаметшин А. Р. </w:t>
      </w:r>
      <w:r>
        <w:rPr>
          <w:sz w:val="28"/>
        </w:rPr>
        <w:t xml:space="preserve">Проверила: </w:t>
      </w:r>
      <w:r>
        <w:rPr>
          <w:i/>
          <w:sz w:val="28"/>
          <w:u w:val="single"/>
        </w:rPr>
        <w:t xml:space="preserve">Тарасова</w:t>
      </w:r>
      <w:r>
        <w:rPr>
          <w:i/>
          <w:spacing w:val="40"/>
          <w:sz w:val="28"/>
        </w:rPr>
        <w:t xml:space="preserve"> </w:t>
      </w:r>
      <w:r>
        <w:rPr>
          <w:i/>
          <w:spacing w:val="-2"/>
          <w:sz w:val="28"/>
          <w:u w:val="single"/>
        </w:rPr>
        <w:t xml:space="preserve">Н. В.</w:t>
      </w:r>
      <w:r>
        <w:rPr>
          <w:i/>
          <w:sz w:val="28"/>
        </w:rPr>
      </w:r>
    </w:p>
    <w:p>
      <w:pPr>
        <w:pStyle w:val="754"/>
        <w:pBdr/>
        <w:spacing/>
        <w:ind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</w:p>
    <w:p>
      <w:pPr>
        <w:pStyle w:val="754"/>
        <w:pBdr/>
        <w:spacing/>
        <w:ind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</w:p>
    <w:p>
      <w:pPr>
        <w:pStyle w:val="754"/>
        <w:pBdr/>
        <w:spacing/>
        <w:ind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</w:p>
    <w:p>
      <w:pPr>
        <w:pStyle w:val="754"/>
        <w:pBdr/>
        <w:spacing/>
        <w:ind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</w:p>
    <w:p>
      <w:pPr>
        <w:pStyle w:val="754"/>
        <w:pBdr/>
        <w:spacing/>
        <w:ind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</w:p>
    <w:p>
      <w:pPr>
        <w:pStyle w:val="754"/>
        <w:pBdr/>
        <w:spacing/>
        <w:ind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</w:p>
    <w:p>
      <w:pPr>
        <w:pStyle w:val="754"/>
        <w:pBdr/>
        <w:spacing/>
        <w:ind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</w:p>
    <w:p>
      <w:pPr>
        <w:pStyle w:val="754"/>
        <w:pBdr/>
        <w:spacing/>
        <w:ind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</w:p>
    <w:p w14:paraId="24BBB871">
      <w:pPr>
        <w:pStyle w:val="754"/>
        <w:pBdr/>
        <w:spacing w:before="95"/>
        <w:ind/>
        <w:rPr>
          <w:bCs/>
          <w:i/>
          <w:sz w:val="24"/>
          <w:szCs w:val="24"/>
        </w:rPr>
      </w:pPr>
      <w:r>
        <w:rPr>
          <w:i/>
          <w:sz w:val="24"/>
        </w:rPr>
      </w:r>
      <w:r>
        <w:rPr>
          <w:i/>
          <w:sz w:val="24"/>
        </w:rPr>
      </w:r>
      <w:r>
        <w:rPr>
          <w:i/>
          <w:sz w:val="24"/>
        </w:rPr>
      </w:r>
    </w:p>
    <w:p w14:paraId="12AF5A65">
      <w:pPr>
        <w:pStyle w:val="754"/>
        <w:pBdr/>
        <w:spacing w:before="95"/>
        <w:ind/>
        <w:rPr>
          <w:bCs/>
          <w:i/>
          <w:sz w:val="24"/>
          <w:szCs w:val="24"/>
        </w:rPr>
      </w:pPr>
      <w:r>
        <w:rPr>
          <w:bCs/>
          <w:i/>
          <w:sz w:val="24"/>
          <w:szCs w:val="24"/>
        </w:rPr>
      </w:r>
      <w:r>
        <w:rPr>
          <w:bCs/>
          <w:i/>
          <w:sz w:val="24"/>
          <w:szCs w:val="24"/>
        </w:rPr>
      </w:r>
      <w:r>
        <w:rPr>
          <w:bCs/>
          <w:i/>
          <w:sz w:val="24"/>
          <w:szCs w:val="24"/>
        </w:rPr>
      </w:r>
    </w:p>
    <w:p>
      <w:pPr>
        <w:pStyle w:val="754"/>
        <w:pBdr/>
        <w:spacing w:before="95"/>
        <w:ind/>
        <w:rPr>
          <w:bCs/>
          <w:i/>
          <w:sz w:val="24"/>
          <w:szCs w:val="24"/>
        </w:rPr>
      </w:pPr>
      <w:r>
        <w:rPr>
          <w:i/>
          <w:sz w:val="24"/>
        </w:rPr>
      </w:r>
      <w:r>
        <w:rPr>
          <w:i/>
          <w:sz w:val="24"/>
        </w:rPr>
      </w:r>
    </w:p>
    <w:p>
      <w:pPr>
        <w:pBdr/>
        <w:spacing w:before="0"/>
        <w:ind w:right="302" w:firstLine="0" w:left="24"/>
        <w:jc w:val="center"/>
        <w:rPr>
          <w:sz w:val="24"/>
        </w:rPr>
      </w:pPr>
      <w:r>
        <w:rPr>
          <w:color w:val="0e1115"/>
          <w:sz w:val="24"/>
        </w:rPr>
        <w:t xml:space="preserve">Москва</w:t>
      </w:r>
      <w:r>
        <w:rPr>
          <w:color w:val="0e1115"/>
          <w:spacing w:val="-3"/>
          <w:sz w:val="24"/>
        </w:rPr>
        <w:t xml:space="preserve"> </w:t>
      </w:r>
      <w:r>
        <w:rPr>
          <w:color w:val="0e1115"/>
          <w:spacing w:val="-4"/>
          <w:sz w:val="24"/>
        </w:rPr>
        <w:t xml:space="preserve">2026</w:t>
      </w:r>
      <w:r>
        <w:rPr>
          <w:sz w:val="24"/>
        </w:rPr>
      </w:r>
    </w:p>
    <w:p>
      <w:pPr>
        <w:pBdr/>
        <w:spacing w:after="0"/>
        <w:ind/>
        <w:jc w:val="center"/>
        <w:rPr>
          <w:sz w:val="24"/>
        </w:rPr>
        <w:sectPr>
          <w:footnotePr/>
          <w:endnotePr/>
          <w:type w:val="continuous"/>
          <w:pgSz w:h="16840" w:orient="portrait" w:w="11910"/>
          <w:pgMar w:top="1120" w:right="566" w:bottom="280" w:left="1700" w:header="709" w:footer="709" w:gutter="0"/>
          <w:cols w:num="1" w:sep="0" w:space="1701" w:equalWidth="1"/>
        </w:sectPr>
      </w:pPr>
      <w:r>
        <w:rPr>
          <w:sz w:val="24"/>
        </w:rPr>
      </w:r>
      <w:r>
        <w:rPr>
          <w:sz w:val="24"/>
        </w:rPr>
      </w:r>
    </w:p>
    <w:p w14:paraId="0B9BD86A">
      <w:pPr>
        <w:pBdr/>
        <w:spacing w:after="100" w:before="20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ЗАДАНИЕ 1. ПРОЕКТЫ И ПРОГРАММЫ, ИХ ОСОБЕННОСТИ</w:t>
      </w:r>
      <w:r/>
      <w:r/>
    </w:p>
    <w:p w14:paraId="042BEECB">
      <w:pPr>
        <w:pBdr/>
        <w:spacing w:after="100" w:before="200" w:line="360" w:lineRule="auto"/>
        <w:ind w:firstLine="0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Часть 1. Вопросы для самоконтроля</w:t>
      </w:r>
      <w:r/>
      <w:r/>
    </w:p>
    <w:p w14:paraId="525F23BB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В чём отличия программ и проектов? Как они связаны между собой?</w:t>
      </w:r>
      <w:r/>
      <w:r/>
    </w:p>
    <w:p w14:paraId="68946F7D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Проект — это временное предприятие, направленное на создание уникального продукта, услуги или результата. Для проекта характерны чётко определённые цели, ограниченные сроки и бюджет, а также конкретный конечный результат.</w:t>
      </w:r>
      <w:r/>
      <w:r/>
    </w:p>
    <w:p w14:paraId="43BC69F2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Программа — это совокупност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ь взаимосвязанных проектов и других мероприятий, управляемых скоординировано для получения выгод, которые недостижимы при управлении ими по отдельности. Программа обычно является более масштабной и продолжительной по сравнению с составляющими её проектами.</w:t>
      </w:r>
      <w:r/>
      <w:r/>
    </w:p>
    <w:p w14:paraId="68AFE587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Ключевые отличия: проект имеет конкретный конечный результат, тогда как программа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риентирована на достижение стратегических целей; программа продолжается дольше, чем отдельные проекты внутри неё; управление программой включает координацию зависимостей между проектами, распределение ресурсов и управление рисками на уровне всей программы.</w:t>
      </w:r>
      <w:r/>
      <w:r/>
    </w:p>
    <w:p w14:paraId="377F9238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Связь: проекты являются компонентами программы. Каждый проект вносит вклад в достижение стратегических целей программы, а результаты проектов интегрируются в общий результат программы.</w:t>
      </w:r>
      <w:r/>
      <w:r/>
    </w:p>
    <w:p w14:paraId="38D789CE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Виды деятельности: проекты или нет?</w:t>
      </w:r>
      <w:r/>
      <w:r/>
    </w:p>
    <w:p w14:paraId="29DC7C4C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того чтобы вид деятельности считался проектом, он должен обладать рядом признаков: иметь чётко обозначенное начало и конец, уникальный результат, ограниченные ресурсы и определённую цель. Рассмотрим предложенный список:</w:t>
      </w:r>
      <w:r/>
      <w:r/>
    </w:p>
    <w:p w14:paraId="00A88823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нового продукта — проект (уникальный результат, ограниченные сроки разработки).</w:t>
      </w:r>
      <w:r/>
      <w:r/>
    </w:p>
    <w:p w14:paraId="582299E2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Реорганизация структуры фирмы — проект при условии чёткого определения конечного состояния структуры и сроков преобразований.</w:t>
      </w:r>
      <w:r/>
      <w:r/>
    </w:p>
    <w:p w14:paraId="4CEA4E28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нового транспортного средства — проект (уникальный продукт, ограниченный бюджет и сроки).</w:t>
      </w:r>
      <w:r/>
      <w:r/>
    </w:p>
    <w:p w14:paraId="4D71F1B3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Строительство склада — проект (конкретный результат, определённые сроки и бюджет).</w:t>
      </w:r>
      <w:r/>
      <w:r/>
    </w:p>
    <w:p w14:paraId="54230FAB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Проведение выборной кампании партии — проект при наличии конкретной даты выборов как дедлайна и чётких целей кампании.</w:t>
      </w:r>
      <w:r/>
      <w:r/>
    </w:p>
    <w:p w14:paraId="5B9EAE85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Внедрение системы автоматического учёта на складе — проект (уникальный продукт — ИС, ограниченные сроки внедрения).</w:t>
      </w:r>
      <w:r/>
      <w:r/>
    </w:p>
    <w:p w14:paraId="28FDAE4E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Переезд в новый офис — проект при наличии определённых сроков и бюджета.</w:t>
      </w:r>
      <w:r/>
      <w:r/>
    </w:p>
    <w:p w14:paraId="78720416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Организация юбилея шефа — проект при условии формального планирования, бюджета и конкретной даты мероприятия.</w:t>
      </w:r>
      <w:r/>
      <w:r/>
    </w:p>
    <w:p w14:paraId="5DDF7F1A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Условия признания деятельности проектом: наличие уникальной цели, определённых временны́х рамок, ограниченного бюджета, временной команды и организационных изменений.</w:t>
      </w:r>
      <w:r/>
      <w:r/>
    </w:p>
    <w:p w14:paraId="3003F52B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Стадии и фазы жизненного цикла проекта.</w:t>
      </w:r>
      <w:r/>
      <w:r/>
    </w:p>
    <w:p w14:paraId="4C131743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Жизненный цикл проекта — это совокупность последовательных фаз, через которые проходит проект от начала до завершения. Стандартная модель включает четыре фазы:</w:t>
      </w:r>
      <w:r/>
      <w:r/>
    </w:p>
    <w:p w14:paraId="6BED1D2F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Фаза инициации: определение целей и задач проекта, оценка его выполнимости, назначение руководителя проекта, разработка устава проекта. Результат — решение о запуске или отказе от проекта.</w:t>
      </w:r>
      <w:r/>
      <w:r/>
    </w:p>
    <w:p w14:paraId="7185F2AC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Фаза планирования: детальная разработка плана проекта, формирование команды, составление расписания и бюджета, идентификация рисков, определение коммуникационного плана. Результат — базовый план проекта.</w:t>
      </w:r>
      <w:r/>
      <w:r/>
    </w:p>
    <w:p w14:paraId="3E2F9448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Фаза исполнения (реализации): непосредственное выполнение работ в соответствии с планом, управление командой и ресурсами, мониторинг и контроль отклонений. Результат — промежуточные и итоговые результаты проекта.</w:t>
      </w:r>
      <w:r/>
      <w:r/>
    </w:p>
    <w:p w14:paraId="2D7AE9C5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Фаза завершения: передача результатов заказчику, документирование уроков, полученных в ходе проекта, расформирование команды, формальное закрытие проекта. Результат — архив проекта и отчёт о завершении.</w:t>
      </w:r>
      <w:r/>
      <w:r/>
    </w:p>
    <w:p w14:paraId="1C7A341E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 Особенности управления проектами. Влияние на повседневные операции.</w:t>
      </w:r>
      <w:r/>
      <w:r/>
    </w:p>
    <w:p w14:paraId="2E39FC3E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Управление проектами обладает рядом специфических черт. Во-первых, целевая ориентация: работа команды оценивается по достижению конкретных резуль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татов, а не по соблюдению процедур. Во-вторых, временность: команда формируется под конкретную задачу и расформировывается после её выполнения. В-третьих, уникальность: каждый проект уникален, стандартные методы должны адаптироваться к конкретным условиям.</w:t>
      </w:r>
      <w:r/>
      <w:r/>
    </w:p>
    <w:p w14:paraId="11E0DD47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Если применить методы управления проектами к повседневным операциям, это может повысить результативность за счёт чёткого целеполагания, ответственности исполнителей и регулярного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контроля результатов. Однако избыточная формализация (планы, отчёты, контрольные точки) для рутинных операций может привести к бюрократизации и снижению оперативности. Оптимальным решением является лёгкая проектная методология для операционного управления.</w:t>
      </w:r>
      <w:r/>
      <w:r/>
    </w:p>
    <w:p w14:paraId="1AC8B44A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Команда, вознаграждаемая за правила, а не результаты.</w:t>
      </w:r>
      <w:r/>
      <w:r/>
    </w:p>
    <w:p w14:paraId="333B1370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Если члены команды вознаграждаются исключительно за следование правилам, а не за достижение конкретных целей, качество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работы неизбежно снизится. Сотрудники станут формально выполнять установленные процедуры, не беспокоясь о реальном результате. Возникнет так называемая «бюрократическая ловушка»: соблюдение правил станет самоцелью вместо инструмента достижения результата.</w:t>
      </w:r>
      <w:r/>
      <w:r/>
    </w:p>
    <w:p w14:paraId="152A1779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Руководитель проекта в таких условиях столкнётся с проблемами мотивации команды на конечный результат, сложностью внесения изменений (л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юбое отступление от правил будет восприниматься как нарушение), потерей инициативы и творческого подхода у членов команды. Руководитель будет вынужден тратить большую часть времени на преодоление бюрократических барьеров и «ручное» управление результатами.</w:t>
      </w:r>
      <w:r/>
      <w:r/>
    </w:p>
    <w:p w14:paraId="65854F87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Достижения человечества за последние десять лет как проекты.</w:t>
      </w:r>
      <w:r/>
      <w:r/>
    </w:p>
    <w:p w14:paraId="575A514F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Среди значимых достижений человечества за последнее десятилетие, которые являются результатами успешной реализации проектов, можно выделить следующие:</w:t>
      </w:r>
      <w:r/>
      <w:r/>
    </w:p>
    <w:p w14:paraId="07E7C86A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вакцин против COVID-19 (2020–2021 гг.) — проект мирового масштаба с беспрецедентно короткими сроками, вовлечением тысяч учёных и миллиардными бюджетами.</w:t>
      </w:r>
      <w:r/>
      <w:r/>
    </w:p>
    <w:p w14:paraId="2BA0A0F6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телескопа Джеймса Уэбб (запуск в 2021 г.) — многолетний инновационный технический проект международной кооперации.</w:t>
      </w:r>
      <w:r/>
      <w:r/>
    </w:p>
    <w:p w14:paraId="700251B8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Высадка китайского ровера «Чжужун» на Марс (2021 г.) — технически сложный национальный проект в области космических исследований.</w:t>
      </w:r>
      <w:r/>
      <w:r/>
    </w:p>
    <w:p w14:paraId="2A9900E2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Массовое внедрение возобновляемой энергетики — серия инвестиционных проектов по строительству солнечных и ветровых электростанций по всему миру.</w:t>
      </w:r>
      <w:r/>
      <w:r/>
    </w:p>
    <w:p w14:paraId="54F4281C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Каждое из этих достижений соответствует критериям проекта: уникальный результат, ограниченные сроки и ресурсы, специально сформированная команда.</w:t>
      </w:r>
      <w:r/>
      <w:r/>
    </w:p>
    <w:p w14:paraId="1A56A290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Часть 2. Разбор кейса «Мобильные клубни»</w:t>
      </w:r>
      <w:r/>
      <w:r/>
    </w:p>
    <w:p w14:paraId="4173BE29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SWOT-анализ проекта доставки продукции «до двери»</w:t>
      </w:r>
      <w:r/>
      <w:r/>
    </w:p>
    <w:p w14:paraId="541C9E5A">
      <w:pPr>
        <w:pBdr/>
        <w:spacing w:after="80" w:before="20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Сильные стороны (Strengths):</w:t>
      </w:r>
      <w:r/>
      <w:r/>
    </w:p>
    <w:p w14:paraId="56356586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Собственное производство картофеля (10 тыс. т из 13 тыс. т) обеспечивает контроль над качеством.</w:t>
      </w:r>
      <w:r/>
      <w:r/>
    </w:p>
    <w:p w14:paraId="42FFB981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Сильный бренд «Тамбовская нива» в премиальном сегменте.</w:t>
      </w:r>
      <w:r/>
      <w:r/>
    </w:p>
    <w:p w14:paraId="7D8DF1D2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Наличие опыта прямой работы с розничными сетями.</w:t>
      </w:r>
      <w:r/>
      <w:r/>
    </w:p>
    <w:p w14:paraId="1BA23049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Логистическая инфраструктура (склады в нескольких городах России).</w:t>
      </w:r>
      <w:r/>
      <w:r/>
    </w:p>
    <w:p w14:paraId="6E071610">
      <w:pPr>
        <w:pBdr/>
        <w:spacing w:after="80" w:before="20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Слабые стороны (Weaknesses):</w:t>
      </w:r>
      <w:r/>
      <w:r/>
    </w:p>
    <w:p w14:paraId="505C594B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Сезонность продукта и зависимость от внешних поставщиков в периоды нехватки собственного урожая.</w:t>
      </w:r>
      <w:r/>
      <w:r/>
    </w:p>
    <w:p w14:paraId="6CC5AAA5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Высокий вес продукта ограничивает возможности сетевого маркетинга.</w:t>
      </w:r>
      <w:r/>
      <w:r/>
    </w:p>
    <w:p w14:paraId="654381B3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Отсутствие опыта в прямой интернет-торговле и доставке на дом.</w:t>
      </w:r>
      <w:r/>
      <w:r/>
    </w:p>
    <w:p w14:paraId="1BD3B224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Ограниченный ассортимент (только картофель) снижает привлекательность для логистических партнёров.</w:t>
      </w:r>
      <w:r/>
      <w:r/>
    </w:p>
    <w:p w14:paraId="78FCBD0C">
      <w:pPr>
        <w:pBdr/>
        <w:spacing w:after="80" w:before="20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Возможности (Opportunities):</w:t>
      </w:r>
      <w:r/>
      <w:r/>
    </w:p>
    <w:p w14:paraId="57E7AD69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Рост онлайн-торговли продуктами питания и спрос на доставку на дом.</w:t>
      </w:r>
      <w:r/>
      <w:r/>
    </w:p>
    <w:p w14:paraId="3BF8A729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Партнёрство с компаниями по доставке воды как готовым каналом к платёжеспособной аудитории.</w:t>
      </w:r>
      <w:r/>
      <w:r/>
    </w:p>
    <w:p w14:paraId="029ECBDD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Выход на аудиторию коттеджных посёлков, совпадающую с целевым сегментом.</w:t>
      </w:r>
      <w:r/>
      <w:r/>
    </w:p>
    <w:p w14:paraId="781C6F82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Возможность снижения конечной цены для покупателя до 25 руб./кг за счёт исключения торговой наценки.</w:t>
      </w:r>
      <w:r/>
      <w:r/>
    </w:p>
    <w:p w14:paraId="2DA5F4AE">
      <w:pPr>
        <w:pBdr/>
        <w:spacing w:after="80" w:before="20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Угрозы (Threats):</w:t>
      </w:r>
      <w:r/>
      <w:r/>
    </w:p>
    <w:p w14:paraId="3618CBC7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Логистические требования к хранению (температурный режим +3–5°C) требуют специального транспорта.</w:t>
      </w:r>
      <w:r/>
      <w:r/>
    </w:p>
    <w:p w14:paraId="61F71AF4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Конкуренция со стороны крупных игроков рынка онлайн-доставки продуктов.</w:t>
      </w:r>
      <w:r/>
      <w:r/>
    </w:p>
    <w:p w14:paraId="213B3CED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Сложность объяснения премиальной цены на «обычный» продукт конечному покупателю.</w:t>
      </w:r>
      <w:r/>
      <w:r/>
    </w:p>
    <w:p w14:paraId="6005DA41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Зависимость от одного ритейлера при реализации схемы «интернет-магазин + доставка сети».</w:t>
      </w:r>
      <w:r/>
      <w:r/>
    </w:p>
    <w:p w14:paraId="180D65B2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Сильные стороны (собственное производство, бренд) хорошо коррелируют с возможностями (доставка на дом, аудитория коттеджных посёлков). Слабые стороны (сезонность, узкий ассортимент) усиливают угрозы (логистические ограничения, сложность масштабирования).</w:t>
      </w:r>
      <w:r/>
      <w:r/>
    </w:p>
    <w:p w14:paraId="2AD224A5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Вопросы консультанта для уточнённого анализа</w:t>
      </w:r>
      <w:r/>
      <w:r/>
    </w:p>
    <w:p w14:paraId="7A384491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роли консультанта я задал бы Козлову и его коллегам следующие ключевые вопросы:</w:t>
      </w:r>
      <w:r/>
      <w:r/>
    </w:p>
    <w:p w14:paraId="13A6E486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Каков целевой охват рынка в первый год работы канала прямой доставки, и какие KPI установлены для оценки успеха проекта?</w:t>
      </w:r>
      <w:r/>
      <w:r/>
    </w:p>
    <w:p w14:paraId="4C3F874B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Рассчитаны ли совокупные операционные затраты на прямую доставку (спецтранспорт, персонал, хранение) в сравнении с наценкой розничных сетей?</w:t>
      </w:r>
      <w:r/>
      <w:r/>
    </w:p>
    <w:p w14:paraId="5B3BCF09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Проводилось ли исследование готовности целевой аудитории платить 25 руб./кг при доставке на дом в сравнении с 35–50 руб./кг в рознице?</w:t>
      </w:r>
      <w:r/>
      <w:r/>
    </w:p>
    <w:p w14:paraId="07A1D721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планируется решить проблему минимального заказа — будет ли доставка рентабельной при небольших объёмах?</w:t>
      </w:r>
      <w:r/>
      <w:r/>
    </w:p>
    <w:p w14:paraId="65150A73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Существует ли план Б на случай отказа логистических партнёров (водные компании, ритейлеры) от сотрудничества?</w:t>
      </w:r>
      <w:r/>
      <w:r/>
    </w:p>
    <w:p w14:paraId="15C521EE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Насколько реалистична модель сетевого маркетинга с учётом необходимости личного транспорта у дистрибьюторов?</w:t>
      </w:r>
      <w:r/>
      <w:r/>
    </w:p>
    <w:p w14:paraId="62E5BA24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Перспективы проекта интернет-торговли фирмы</w:t>
      </w:r>
      <w:r/>
      <w:r/>
    </w:p>
    <w:p w14:paraId="2DD3A3B5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Перспективы интернет-торговли «Тамбовской нивы» умеренно позитивны, однако реализация сопряжена со значительными трудностями.</w:t>
      </w:r>
      <w:r/>
      <w:r/>
    </w:p>
    <w:p w14:paraId="4DEA2805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Потенциал проекта обусловлен растущим спросом на онлайн-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доставку продуктов питания и соответствием целевой аудитории (платёжеспособные покупатели с доступом в Интернет). Снижение конечной цены на 30–50% по сравнению с розничными сетями при сохранении маржинальности является серьёзным конкурентным преимуществом.</w:t>
      </w:r>
      <w:r/>
      <w:r/>
    </w:p>
    <w:p w14:paraId="395F8CB2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Основные трудности, ко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торые необходимо преодолеть в первую очередь: формирование пула логистических партнёров, готовых доставлять единственный продукт или небольшую товарную группу; создание платёжеспособного потока онлайн-заказов, достаточного для рентабельности логистики; раз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работка технической платформы интернет-магазина с интеграцией в системы учёта и управления складом; решение вопроса минимального заказа и тарифов на доставку. При успешном преодолении этих барьеров интернет-канал может стать основным, как планирует Козлов.</w:t>
      </w:r>
      <w:r/>
      <w:r/>
    </w:p>
    <w:p w14:paraId="416175E4">
      <w:pPr>
        <w:pBdr/>
        <w:spacing w:after="100" w:before="20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22F5F69A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430D9F41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6B270115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0F08094E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286EF398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292AEE1C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2F5D4D5C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6FF68AD3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47237C0F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6C3E5D89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742A5FBE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34CD1959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4C439719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7D9EE30A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7871E893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1F3EFD35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6DCE0015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00FDBB15">
      <w:pPr>
        <w:pBdr/>
        <w:spacing w:after="100" w:before="20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ЗАДАНИЕ 2. КЛАССИФИКАЦИЯ ПРОЕКТОВ. СТРАТЕГИЯ И ПРОЕКТЫ</w:t>
      </w:r>
      <w:r/>
      <w:r/>
    </w:p>
    <w:p w14:paraId="002B1C67">
      <w:pPr>
        <w:pBdr/>
        <w:spacing w:after="100" w:before="20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Часть 1. Вопросы для обсуждения</w:t>
      </w:r>
      <w:r/>
      <w:r/>
    </w:p>
    <w:p w14:paraId="7C7906F9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Программа профилактики заболеваний администрации области</w:t>
      </w:r>
      <w:r/>
      <w:r/>
    </w:p>
    <w:p w14:paraId="29BE0FAB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Пример программы: «Региональная программа профилактики сердечно-сосудистых заболеваний Тамбовской области на 2024–2027 гг.». Цель программы — снизить смертность от сердечно-сосудистых заболеваний на 15% за четыре года.</w:t>
      </w:r>
      <w:r/>
      <w:r/>
    </w:p>
    <w:p w14:paraId="7C590E53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рамках данной программы могут реализовываться следующие проекты:</w:t>
      </w:r>
      <w:r/>
      <w:r/>
    </w:p>
    <w:p w14:paraId="47EEC924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 «Мобильная диспансеризация»: оснащение передвижных медицинских комплексов для обследования населения в отдалённых районах.</w:t>
      </w:r>
      <w:r/>
      <w:r/>
    </w:p>
    <w:p w14:paraId="2C5CE32F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 «Школы здоровья»: создание обучающих центров для пациентов с гипертонией и диабетом.</w:t>
      </w:r>
      <w:r/>
      <w:r/>
    </w:p>
    <w:p w14:paraId="4B522641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 «Кардиологический центр»: строительство и оснащение регионального кардиологического центра.</w:t>
      </w:r>
      <w:r/>
      <w:r/>
    </w:p>
    <w:p w14:paraId="0C8B84D7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 «Информационная кампания»: медиаплан по пропаганде здорового образа жизни в СМИ и социальных сетях.</w:t>
      </w:r>
      <w:r/>
      <w:r/>
    </w:p>
    <w:p w14:paraId="4D636415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 «Автоматизация регистратуры»: внедрение электронной очереди и записи на приём к врачу.</w:t>
      </w:r>
      <w:r/>
      <w:r/>
    </w:p>
    <w:p w14:paraId="1E85BABE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Программа обеспечивает координацию всех проектов, контролирует совокупный бюджет и отслеживает интегральные показатели снижения заболеваемости.</w:t>
      </w:r>
      <w:r/>
      <w:r/>
    </w:p>
    <w:p w14:paraId="42EC4022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Проекты производственной фирмы</w:t>
      </w:r>
      <w:r/>
      <w:r/>
    </w:p>
    <w:p w14:paraId="66B3FF75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Внутренний и научно-исследователь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ский проект: исследование влияния новых полимерных покрытий на долговечность продукции внутри R&amp;D-отдела машиностроительного предприятия. Проект выполняется собственными силами (внутренний), целью является получение новых знаний (научно-исследовательский).</w:t>
      </w:r>
      <w:r/>
      <w:r/>
    </w:p>
    <w:p w14:paraId="10A2D669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Новаторс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кий и монопроект: разработка первого в России полностью роботизированного сборочного конвейера для конкретного завода. Проект уникален для данного предприятия (новаторский) и реализуется как единый самостоятельный проект без привязки к другим (монопроект).</w:t>
      </w:r>
      <w:r/>
      <w:r/>
    </w:p>
    <w:p w14:paraId="679F1C23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Долгосроч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ный строительный проект: строительство нового производственного корпуса площадью 20 000 м² с прокладкой инженерных сетей и монтажом оборудования сроком 7 лет. Является строительным (создание объекта капитального строительства) и долгосрочным (свыше 5 лет).</w:t>
      </w:r>
      <w:r/>
      <w:r/>
    </w:p>
    <w:p w14:paraId="7120D40C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Проекты по заказу мэрии небольшого города</w:t>
      </w:r>
      <w:r/>
      <w:r/>
    </w:p>
    <w:p w14:paraId="08D9293C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Нетехнический проект и мультипроект: «Программа развития молодёжной политики города». Включает взаимосвязанные проекты по созданию молодё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жных центров, организации спортивных секций и профориентационных мероприятий. Является нетехническим (ориентирован на интересы и потребности людей, высокая роль стейкхолдеров) и мультипроектом (совокупность взаимосвязанных проектов, управляемых совместно).</w:t>
      </w:r>
      <w:r/>
      <w:r/>
    </w:p>
    <w:p w14:paraId="15D150D8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Инновационный и строительный проект: «Создание «умного» общественного пространства на месте заброшенного парка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» с применением технологий умного освещения, Wi-Fi и интерактивных арт-объектов. Является инновационным (применяются новые технологии «умного города») и строительным (включает реконструкцию территории, прокладку сетей, возведение малых архитектурных форм).</w:t>
      </w:r>
      <w:r/>
      <w:r/>
    </w:p>
    <w:p w14:paraId="3B1DF74C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 Связь целей проекта и функциональных целей организации</w:t>
      </w:r>
      <w:r/>
      <w:r/>
    </w:p>
    <w:p w14:paraId="371EE833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Пример 1. Производственное предприятие реализует проект по внедрению системы ERP. Функциональная цель отдела снабжения — снизить стоимость закупок на 10%. Цель про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екта — автоматизировать процессы закупок и складского учёта. Согласование достигается через стратегическую цель предприятия — повышение операционной эффективности. Реализация ERP-проекта создаёт инструмент для достижения операционной цели отдела снабжения.</w:t>
      </w:r>
      <w:r/>
      <w:r/>
    </w:p>
    <w:p w14:paraId="3901C06A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Пример 2. Строительная компания реализует проект по получению международной сертификации IS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O 9001. Функциональная цель технического отдела — снизить количество рекламаций до 1% от объёма сданных объектов. Через стратегическую цель — выход на рынки зарубежных заказчиков — сертификация способствует внедрению контроля качества в техническом отделе.</w:t>
      </w:r>
      <w:r/>
      <w:r/>
    </w:p>
    <w:p w14:paraId="450D8896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Конфликт целей проекта и целей задействованного отдела</w:t>
      </w:r>
      <w:r/>
      <w:r/>
    </w:p>
    <w:p w14:paraId="00140BF8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Цели проекта и отдела могут конфликтовать, поскольку подразделение имеет собственные функциональные KPI, которые могут противоречить проектным задачам. Например, ИТ-отдел, задействованный для внедрения новой CRM-системы, заинтересован в стабильности теку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щей инфраструктуры и минимизации рисков, тогда как проектная команда стремится к быстрому внедрению новых функций. Конфликт возникает вокруг распределения ресурсов: ИТ-специалисты вынуждены одновременно поддерживать текущие системы и участвовать в проекте.</w:t>
      </w:r>
      <w:r/>
      <w:r/>
    </w:p>
    <w:p w14:paraId="2D6DCAD0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сглаживания конфликтов необходимо: во-первых, заблаговременно согласовывать объём участия отдела в проекте с руководством; во-вторых, включать проектные задачи в KPI специа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листов на период реализации проекта; в-третьих, создавать выделенную проектную роль внутри отдела. Матричная организационная структура позволяет формализовать двойную ответственность специалиста — перед функциональным руководителем и руководителем проекта.</w:t>
      </w:r>
      <w:r/>
      <w:r/>
    </w:p>
    <w:p w14:paraId="36615F36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Переход завода холодильников в премиум-сегмент: список проектов</w:t>
      </w:r>
      <w:r/>
      <w:r/>
    </w:p>
    <w:p w14:paraId="22E54B73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успешной реализации стратегии перехода в премиум-сегмент предприятию рекомендуется реализовать следующие проекты:</w:t>
      </w:r>
      <w:r/>
      <w:r/>
    </w:p>
    <w:p w14:paraId="015EE72B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Маркетинговые исследования: изучение потребительских предпочтений в премиум-сегменте, анализ конкурентов, ценовое позиционирование.</w:t>
      </w:r>
      <w:r/>
      <w:r/>
    </w:p>
    <w:p w14:paraId="271D6A09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новой линейки продуктов: проектирование дизайна и функционала холодильников класса премиум с привлечением промышленных дизайнеров.</w:t>
      </w:r>
      <w:r/>
      <w:r/>
    </w:p>
    <w:p w14:paraId="0D9C9757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Реконструкция производства: модернизация технологических линий для обеспечения высокого качества изготовления.</w:t>
      </w:r>
      <w:r/>
      <w:r/>
    </w:p>
    <w:p w14:paraId="7EEFC55A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Сертификация и контроль качества: внедрение системы управления качеством (ISO 9001) и сертификация продукта.</w:t>
      </w:r>
      <w:r/>
      <w:r/>
    </w:p>
    <w:p w14:paraId="7D4B5A15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Развитие дистрибуции: формирование сети авторизованных дилеров, партнёрство с премиальными ритейлерами.</w:t>
      </w:r>
      <w:r/>
      <w:r/>
    </w:p>
    <w:p w14:paraId="1C3ACF3F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Ребрендинг: разработка нового бренда или суббренда, позиционированного в премиум-сегменте.</w:t>
      </w:r>
      <w:r/>
      <w:r/>
    </w:p>
    <w:p w14:paraId="1CAB50FB">
      <w:pPr>
        <w:pStyle w:val="756"/>
        <w:numPr>
          <w:ilvl w:val="0"/>
          <w:numId w:val="27"/>
        </w:numPr>
        <w:pBdr/>
        <w:spacing w:after="0" w:before="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Программа обучения персонала: подготовка сотрудников продаж и сервиса к работе в премиум-сегменте.</w:t>
      </w:r>
      <w:r/>
      <w:r/>
    </w:p>
    <w:p w14:paraId="4EC6339C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Проекты, соответствующие шагам стратегического менеджмента</w:t>
      </w:r>
      <w:r/>
      <w:r/>
    </w:p>
    <w:p w14:paraId="23B0CDE3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Анализ внешнего и внутреннего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окружения: проект «Стратегический аудит предприятия» — исследование рыночных тенденций, конкурентной среды и внутренних компетенций с использованием методов SWOT, PEST и бенчмаркинга. Результат — аналитический отчёт как основа стратегического планирования.</w:t>
      </w:r>
      <w:r/>
      <w:r/>
    </w:p>
    <w:p w14:paraId="09A809C9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Планирование направлений развития: проект «Разработка стратегии диверсификации» — формирование портфеля стратегических альтернатив, оценка инвестиционной привлекательности новых направлений, выбор приоритетных векторов роста.</w:t>
      </w:r>
      <w:r/>
      <w:r/>
    </w:p>
    <w:p w14:paraId="66489F98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Планирование стратегии: проект «Разработка пятилетнего стратегического плана» — декомпозиция выбранной стратегии на конкретные цели, KPI, инициативы и проекты; формирование сбалансированной системы показателей (BSC).</w:t>
      </w:r>
      <w:r/>
      <w:r/>
    </w:p>
    <w:p w14:paraId="19295BED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Осуществление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стратегии: проекты по реализации стратегических инициатив — например, «Выход на новые рынки», «Запуск нового продукта», «Цифровая трансформация». Совокупность таких проектов, управляемых в рамках единой программы, обеспечивает воплощение стратегии в жизнь.</w:t>
      </w:r>
      <w:r/>
      <w:r/>
      <w:r/>
      <w:r/>
      <w:r/>
      <w:r/>
    </w:p>
    <w:p w14:paraId="3ABA1E27">
      <w:pPr>
        <w:pBdr/>
        <w:spacing w:after="100" w:before="20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Часть 2. Разбор кейса «Первый реактивный лайнер»</w:t>
      </w:r>
      <w:r/>
      <w:r/>
    </w:p>
    <w:p w14:paraId="4CA6D48C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Меры по управлению рисками, связанными с новыми технологиями</w:t>
      </w:r>
      <w:r/>
      <w:r/>
    </w:p>
    <w:p w14:paraId="7D701816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учёта последствий риска, связанного с использованием новых, непроверенных технологий, руководство проекта может применять следующий комплекс мер.</w:t>
      </w:r>
      <w:r/>
      <w:r/>
    </w:p>
    <w:p w14:paraId="3A79F617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Во-первых, идентификация и классификация технологических рисков на ранних фа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зах проекта: составление реестра рисков с оценкой вероятности наступления и потенциального ущерба. В кейсе Comet 1 риск усталости металла при циклических перепадах давления не был идентифицирован, поскольку металлургия не располагала необходимыми знаниями.</w:t>
      </w:r>
      <w:r/>
      <w:r/>
    </w:p>
    <w:p w14:paraId="70EE926F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Во-вторых,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организация расширенного тестирования, максимально приближённого к реальным условиям эксплуатации. Именно испытания в бассейне с водой позволили быстро обнаружить дефект в угловых зонах иллюминаторов — в отличие от первоначальных тестов в камере давления.</w:t>
      </w:r>
      <w:r/>
      <w:r/>
    </w:p>
    <w:p w14:paraId="505EA535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В-третьих, привлечение независимых экспертов и сторонних научных организаций для верификации принятых технических решений — снижает риск «туннельного зрения» проектной команды.</w:t>
      </w:r>
      <w:r/>
      <w:r/>
    </w:p>
    <w:p w14:paraId="5CBB8DF8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Диверсификация рисков возможна через: параллельную разработку нескольких конструктивных решений с последующим сравнительным тест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ированием; страхование ответственности производителя; поэтапный вывод воздушных судов на маршруты с увеличением налёта; создание резервных производственных мощностей у компаний-конкурентов (Boeing, Douglas) для обеспечения отрасли в случае остановки флота.</w:t>
      </w:r>
      <w:r/>
      <w:r/>
    </w:p>
    <w:p w14:paraId="6EA6F3C4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Фазы жизненного цикла и неопределённость базовой технологии</w:t>
      </w:r>
      <w:r/>
      <w:r/>
    </w:p>
    <w:p w14:paraId="7EA28499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Наибольшую чувствительность к технологической неопределённости проявляют фазы инициации и планирования. Именно на этих стадиях закладываются принц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ипиальные конструктивные решения, а возможности для внесения изменений максимальны при минимальных затратах. Ошибки, допущенные при выборе технологии на ранних фазах, по мере прохождения жизненного цикла становятся всё более дорогостоящими для исправления.</w:t>
      </w:r>
      <w:r/>
      <w:r/>
    </w:p>
    <w:p w14:paraId="1E7E091C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кейсе Comet 1 неопределённость с поведением металла при циклической см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ене давления существовала уже в фазе проектирования, однако научные методы того времени не позволяли её выявить. К фазе эксплуатации самолёты налетали около 1000 циклов из ожидаемых 16000, что свидетельствует о критической ошибке технического нормирования.</w:t>
      </w:r>
      <w:r/>
      <w:r/>
    </w:p>
    <w:p w14:paraId="6C5A5219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фазе реализации (строительства и производства) и эксплуатации неопределённость снижается, но последствия её проявления становятся катастрофическими — вплоть до человеческих жертв и полного прекращения эксплуатации флота.</w:t>
      </w:r>
      <w:r/>
      <w:r/>
    </w:p>
    <w:p w14:paraId="1EF3BAD9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Влияние технологического риска на бюджетирование</w:t>
      </w:r>
      <w:r/>
      <w:r/>
    </w:p>
    <w:p w14:paraId="78187D15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Технологический риск существенно влияет на структуру и объём бюджета проекта. Во-первых, при высокой неопределённости технологии необходимо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формировать значительные резервы на непредвиденные расходы — как минимум 15–30% от базового бюджета. В кейсе Comet 1 компании Havilland пришлось понести незапланированные расходы на расследование катастроф, повторное тестирование и модификацию конструкции.</w:t>
      </w:r>
      <w:r/>
      <w:r/>
    </w:p>
    <w:p w14:paraId="3BC12EBA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Во-вторых, бюджет должен предусматривать финансирование расширенных программ испытаний, включая нестандартные методы тес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тирования (как, например, испытания в бассейне с водой). В-третьих, целесообразно выделять отдельную строку бюджета на научно-исследовательские работы, сопровождающие проект, — для мониторинга актуального состояния научных знаний в соответствующей области.</w:t>
      </w:r>
      <w:r/>
      <w:r/>
    </w:p>
    <w:p w14:paraId="68DBF256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Поэтапное финансирование с контрольными точками позволяет ограничить финансовые потери в случае выявления неустранимых технологических проблем: до преодоления ключевой контрольной точки следующий транш бюджета не выделяется.</w:t>
      </w:r>
      <w:r/>
      <w:r/>
    </w:p>
    <w:p w14:paraId="2F7787F8">
      <w:pPr>
        <w:pBdr/>
        <w:spacing w:after="60" w:before="120" w:line="360" w:lineRule="auto"/>
        <w:ind w:firstLine="0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 Пример современного проекта с технологическим риском</w:t>
      </w:r>
      <w:r/>
      <w:r/>
    </w:p>
    <w:p w14:paraId="3CDC88F6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Наглядным примером проекта, подверженного высокому технологическому риску, является разработка и коммерческое внедрение твердотельных аккумуляторов (solid-state batteries) для электромобилей. Несмотря на впечатляющие лабораторные по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казатели (высокая энергоёмкость, быстрая зарядка, безопасность), масштабирование технологии до промышленного производства сопряжено с неопределённостью в области деградации материалов при многократных циклах заряда-разряда в реальных условиях эксплуатации.</w:t>
      </w:r>
      <w:r/>
      <w:r/>
    </w:p>
    <w:p w14:paraId="6075C6E7"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Аналогия с Comet 1 очевидна: технология демонстрирует превосходные характеристики на стадии прототипа, однако долгосрочное поведение новых материалов в реальной эксплуатации изучено недостаточно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. Компании Toyota, QuantumScape и ряд других инвестируют значительные средства в расширенное тестирование, стремясь выявить потенциальные проблемы до массового внедрения, — именно та мера управления риском, которой не хватило командам при создании Comet 1.</w:t>
      </w:r>
      <w:r/>
      <w:r/>
    </w:p>
    <w:p w14:paraId="403D55EC">
      <w:pPr>
        <w:pBdr/>
        <w:spacing/>
        <w:ind/>
        <w:rPr/>
      </w:pPr>
      <w:r/>
    </w:p>
    <w:sectPr>
      <w:footerReference w:type="default" r:id="rId9"/>
      <w:footnotePr/>
      <w:endnotePr/>
      <w:type w:val="nextPage"/>
      <w:pgSz w:h="16840" w:orient="portrait" w:w="11910"/>
      <w:pgMar w:top="1040" w:right="856" w:bottom="1000" w:left="1700" w:header="0" w:footer="773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54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366656" behindDoc="1" locked="0" layoutInCell="1" allowOverlap="1">
              <wp:simplePos x="0" y="0"/>
              <wp:positionH relativeFrom="page">
                <wp:posOffset>3961003</wp:posOffset>
              </wp:positionH>
              <wp:positionV relativeFrom="page">
                <wp:posOffset>10037909</wp:posOffset>
              </wp:positionV>
              <wp:extent cx="177800" cy="194310"/>
              <wp:effectExtent l="0" t="0" r="0" b="0"/>
              <wp:wrapNone/>
              <wp:docPr id="1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1778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before="10"/>
                            <w:ind w:right="0" w:firstLine="0" w:left="2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4"/>
                            </w:rPr>
                            <w:t xml:space="preserve">10</w: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sz w:val="24"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7366656;o:allowoverlap:true;o:allowincell:true;mso-position-horizontal-relative:page;margin-left:311.89pt;mso-position-horizontal:absolute;mso-position-vertical-relative:page;margin-top:790.39pt;mso-position-vertical:absolute;width:14.00pt;height:15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before="10"/>
                      <w:ind w:right="0" w:firstLine="0" w:left="20"/>
                      <w:jc w:val="left"/>
                      <w:rPr>
                        <w:sz w:val="24"/>
                      </w:rPr>
                    </w:pPr>
                    <w:r>
                      <w:rPr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spacing w:val="-5"/>
                        <w:sz w:val="24"/>
                      </w:rPr>
                      <w:t xml:space="preserve">10</w:t>
                    </w:r>
                    <w:r>
                      <w:rPr>
                        <w:spacing w:val="-5"/>
                        <w:sz w:val="24"/>
                      </w:rPr>
                      <w:fldChar w:fldCharType="end"/>
                    </w:r>
                    <w:r>
                      <w:rPr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61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0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9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28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18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7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6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56"/>
      </w:pPr>
      <w:rPr>
        <w:rFonts w:hint="default"/>
        <w:lang w:val="ru-RU" w:eastAsia="en-US" w:bidi="ar-SA"/>
      </w:rPr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806" w:left="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722"/>
      </w:pPr>
      <w:rPr>
        <w:rFonts w:hint="default" w:ascii="Symbol" w:hAnsi="Symbol" w:eastAsia="Symbol" w:cs="Symbol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144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2465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349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4515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54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565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590"/>
      </w:pPr>
      <w:rPr>
        <w:rFonts w:hint="default"/>
        <w:lang w:val="ru-RU" w:eastAsia="en-US" w:bidi="ar-SA"/>
      </w:rPr>
      <w:start w:val="0"/>
      <w:suff w:val="tab"/>
    </w:lvl>
  </w:abstractNum>
  <w:abstractNum w:abstractNumId="2">
    <w:lvl w:ilvl="0">
      <w:isLgl w:val="false"/>
      <w:lvlJc w:val="left"/>
      <w:lvlText w:val="o"/>
      <w:numFmt w:val="bullet"/>
      <w:pPr>
        <w:pBdr/>
        <w:spacing/>
        <w:ind w:hanging="360" w:left="1442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308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90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72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36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18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000"/>
      </w:pPr>
      <w:rPr>
        <w:rFonts w:hint="default"/>
        <w:lang w:val="ru-RU" w:eastAsia="en-US" w:bidi="ar-SA"/>
      </w:rPr>
      <w:start w:val="0"/>
      <w:suff w:val="tab"/>
    </w:lvl>
  </w:abstractNum>
  <w:abstractNum w:abstractNumId="3">
    <w:lvl w:ilvl="0">
      <w:isLgl w:val="false"/>
      <w:lvlJc w:val="left"/>
      <w:lvlText w:val="o"/>
      <w:numFmt w:val="bullet"/>
      <w:pPr>
        <w:pBdr/>
        <w:spacing/>
        <w:ind w:hanging="360" w:left="1442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308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90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72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36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18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000"/>
      </w:pPr>
      <w:rPr>
        <w:rFonts w:hint="default"/>
        <w:lang w:val="ru-RU" w:eastAsia="en-US" w:bidi="ar-SA"/>
      </w:rPr>
      <w:start w:val="0"/>
      <w:suff w:val="tab"/>
    </w:lvl>
  </w:abstractNum>
  <w:abstractNum w:abstractNumId="4">
    <w:lvl w:ilvl="0">
      <w:isLgl w:val="false"/>
      <w:lvlJc w:val="left"/>
      <w:lvlText w:val="o"/>
      <w:numFmt w:val="bullet"/>
      <w:pPr>
        <w:pBdr/>
        <w:spacing/>
        <w:ind w:hanging="360" w:left="1442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308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90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72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36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18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000"/>
      </w:pPr>
      <w:rPr>
        <w:rFonts w:hint="default"/>
        <w:lang w:val="ru-RU" w:eastAsia="en-US" w:bidi="ar-SA"/>
      </w:rPr>
      <w:start w:val="0"/>
      <w:suff w:val="tab"/>
    </w:lvl>
  </w:abstractNum>
  <w:abstractNum w:abstractNumId="5">
    <w:lvl w:ilvl="0">
      <w:isLgl w:val="false"/>
      <w:lvlJc w:val="left"/>
      <w:lvlText w:val="o"/>
      <w:numFmt w:val="bullet"/>
      <w:pPr>
        <w:pBdr/>
        <w:spacing/>
        <w:ind w:hanging="360" w:left="1442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308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90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72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36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18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000"/>
      </w:pPr>
      <w:rPr>
        <w:rFonts w:hint="default"/>
        <w:lang w:val="ru-RU" w:eastAsia="en-US" w:bidi="ar-SA"/>
      </w:rPr>
      <w:start w:val="0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2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61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0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9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28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18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7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6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56"/>
      </w:pPr>
      <w:rPr>
        <w:rFonts w:hint="default"/>
        <w:lang w:val="ru-RU" w:eastAsia="en-US" w:bidi="ar-SA"/>
      </w:rPr>
      <w:start w:val="0"/>
      <w:suff w:val="tab"/>
    </w:lvl>
  </w:abstractNum>
  <w:abstractNum w:abstractNumId="7">
    <w:lvl w:ilvl="0">
      <w:isLgl w:val="false"/>
      <w:lvlJc w:val="left"/>
      <w:lvlText w:val="o"/>
      <w:numFmt w:val="bullet"/>
      <w:pPr>
        <w:pBdr/>
        <w:spacing/>
        <w:ind w:hanging="360" w:left="1442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308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90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72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36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18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000"/>
      </w:pPr>
      <w:rPr>
        <w:rFonts w:hint="default"/>
        <w:lang w:val="ru-RU" w:eastAsia="en-US" w:bidi="ar-SA"/>
      </w:rPr>
      <w:start w:val="0"/>
      <w:suff w:val="tab"/>
    </w:lvl>
  </w:abstractNum>
  <w:abstractNum w:abstractNumId="8">
    <w:lvl w:ilvl="0">
      <w:isLgl w:val="false"/>
      <w:lvlJc w:val="left"/>
      <w:lvlText w:val="o"/>
      <w:numFmt w:val="bullet"/>
      <w:pPr>
        <w:pBdr/>
        <w:spacing/>
        <w:ind w:hanging="360" w:left="1442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308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90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72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36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18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000"/>
      </w:pPr>
      <w:rPr>
        <w:rFonts w:hint="default"/>
        <w:lang w:val="ru-RU" w:eastAsia="en-US" w:bidi="ar-SA"/>
      </w:rPr>
      <w:start w:val="0"/>
      <w:suff w:val="tab"/>
    </w:lvl>
  </w:abstractNum>
  <w:abstractNum w:abstractNumId="9">
    <w:lvl w:ilvl="0">
      <w:isLgl w:val="false"/>
      <w:lvlJc w:val="left"/>
      <w:lvlText w:val="o"/>
      <w:numFmt w:val="bullet"/>
      <w:pPr>
        <w:pBdr/>
        <w:spacing/>
        <w:ind w:hanging="360" w:left="1442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308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90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72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36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18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000"/>
      </w:pPr>
      <w:rPr>
        <w:rFonts w:hint="default"/>
        <w:lang w:val="ru-RU" w:eastAsia="en-US" w:bidi="ar-SA"/>
      </w:rPr>
      <w:start w:val="0"/>
      <w:suff w:val="tab"/>
    </w:lvl>
  </w:abstractNum>
  <w:abstractNum w:abstractNumId="10">
    <w:lvl w:ilvl="0">
      <w:isLgl w:val="false"/>
      <w:lvlJc w:val="left"/>
      <w:lvlText w:val="o"/>
      <w:numFmt w:val="bullet"/>
      <w:pPr>
        <w:pBdr/>
        <w:spacing/>
        <w:ind w:hanging="360" w:left="1442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308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90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72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36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18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000"/>
      </w:pPr>
      <w:rPr>
        <w:rFonts w:hint="default"/>
        <w:lang w:val="ru-RU" w:eastAsia="en-US" w:bidi="ar-SA"/>
      </w:rPr>
      <w:start w:val="0"/>
      <w:suff w:val="tab"/>
    </w:lvl>
  </w:abstractNum>
  <w:abstractNum w:abstractNumId="11">
    <w:lvl w:ilvl="0">
      <w:isLgl w:val="false"/>
      <w:lvlJc w:val="left"/>
      <w:lvlText w:val="o"/>
      <w:numFmt w:val="bullet"/>
      <w:pPr>
        <w:pBdr/>
        <w:spacing/>
        <w:ind w:hanging="360" w:left="1442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308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90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72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36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18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000"/>
      </w:pPr>
      <w:rPr>
        <w:rFonts w:hint="default"/>
        <w:lang w:val="ru-RU" w:eastAsia="en-US" w:bidi="ar-SA"/>
      </w:rPr>
      <w:start w:val="0"/>
      <w:suff w:val="tab"/>
    </w:lvl>
  </w:abstractNum>
  <w:abstractNum w:abstractNumId="12">
    <w:lvl w:ilvl="0">
      <w:isLgl w:val="false"/>
      <w:lvlJc w:val="left"/>
      <w:lvlText w:val="o"/>
      <w:numFmt w:val="bullet"/>
      <w:pPr>
        <w:pBdr/>
        <w:spacing/>
        <w:ind w:hanging="360" w:left="1442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308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90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72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36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18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000"/>
      </w:pPr>
      <w:rPr>
        <w:rFonts w:hint="default"/>
        <w:lang w:val="ru-RU" w:eastAsia="en-US" w:bidi="ar-SA"/>
      </w:rPr>
      <w:start w:val="0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281" w:left="28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722"/>
      </w:pPr>
      <w:rPr>
        <w:rFonts w:hint="default" w:ascii="Symbol" w:hAnsi="Symbol" w:eastAsia="Symbol" w:cs="Symbol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144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2465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349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4515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54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565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590"/>
      </w:pPr>
      <w:rPr>
        <w:rFonts w:hint="default"/>
        <w:lang w:val="ru-RU" w:eastAsia="en-US" w:bidi="ar-SA"/>
      </w:rPr>
      <w:start w:val="0"/>
      <w:suff w:val="tab"/>
    </w:lvl>
  </w:abstractNum>
  <w:abstractNum w:abstractNumId="14">
    <w:lvl w:ilvl="0">
      <w:isLgl w:val="false"/>
      <w:lvlJc w:val="left"/>
      <w:lvlText w:val="%1."/>
      <w:numFmt w:val="decimal"/>
      <w:pPr>
        <w:pBdr/>
        <w:spacing/>
        <w:ind w:hanging="360" w:left="72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61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0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9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28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18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7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6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56"/>
      </w:pPr>
      <w:rPr>
        <w:rFonts w:hint="default"/>
        <w:lang w:val="ru-RU" w:eastAsia="en-US" w:bidi="ar-SA"/>
      </w:rPr>
      <w:start w:val="0"/>
      <w:suff w:val="tab"/>
    </w:lvl>
  </w:abstractNum>
  <w:abstractNum w:abstractNumId="15">
    <w:lvl w:ilvl="0">
      <w:isLgl w:val="false"/>
      <w:lvlJc w:val="left"/>
      <w:lvlText w:val=""/>
      <w:numFmt w:val="bullet"/>
      <w:pPr>
        <w:pBdr/>
        <w:spacing/>
        <w:ind w:hanging="360" w:left="722"/>
      </w:pPr>
      <w:rPr>
        <w:rFonts w:hint="default" w:ascii="Symbol" w:hAnsi="Symbol" w:eastAsia="Symbol" w:cs="Symbol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61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0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9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28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18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7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6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56"/>
      </w:pPr>
      <w:rPr>
        <w:rFonts w:hint="default"/>
        <w:lang w:val="ru-RU" w:eastAsia="en-US" w:bidi="ar-SA"/>
      </w:rPr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 w:hanging="454" w:left="11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454" w:left="353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454" w:left="587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454" w:left="82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54" w:left="1054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454" w:left="1287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54" w:left="1521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454" w:left="17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54" w:left="1988"/>
      </w:pPr>
      <w:rPr>
        <w:rFonts w:hint="default"/>
        <w:lang w:val="ru-RU" w:eastAsia="en-US" w:bidi="ar-SA"/>
      </w:rPr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 w:hanging="100" w:left="21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6"/>
        <w:szCs w:val="26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00" w:left="443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00" w:left="667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00" w:left="89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00" w:left="1114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00" w:left="1337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00" w:left="1561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00" w:left="178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00" w:left="2008"/>
      </w:pPr>
      <w:rPr>
        <w:rFonts w:hint="default"/>
        <w:lang w:val="ru-RU" w:eastAsia="en-US" w:bidi="ar-SA"/>
      </w:rPr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 w:hanging="169" w:left="11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69" w:left="625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69" w:left="1131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69" w:left="163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69" w:left="2142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69" w:left="2647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69" w:left="3153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69" w:left="3658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69" w:left="4164"/>
      </w:pPr>
      <w:rPr>
        <w:rFonts w:hint="default"/>
        <w:lang w:val="ru-RU" w:eastAsia="en-US" w:bidi="ar-SA"/>
      </w:rPr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 w:hanging="881" w:left="11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881" w:left="353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881" w:left="587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881" w:left="82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881" w:left="1054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881" w:left="1287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881" w:left="1521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881" w:left="17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881" w:left="1988"/>
      </w:pPr>
      <w:rPr>
        <w:rFonts w:hint="default"/>
        <w:lang w:val="ru-RU" w:eastAsia="en-US" w:bidi="ar-SA"/>
      </w:rPr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 w:hanging="183" w:left="11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3" w:left="625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3" w:left="1131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3" w:left="163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3" w:left="2142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3" w:left="2647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3" w:left="3153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3" w:left="3658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3" w:left="4164"/>
      </w:pPr>
      <w:rPr>
        <w:rFonts w:hint="default"/>
        <w:lang w:val="ru-RU" w:eastAsia="en-US" w:bidi="ar-SA"/>
      </w:rPr>
      <w:start w:val="0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281" w:left="28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72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1711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2702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3693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4684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675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666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658"/>
      </w:pPr>
      <w:rPr>
        <w:rFonts w:hint="default"/>
        <w:lang w:val="ru-RU" w:eastAsia="en-US" w:bidi="ar-SA"/>
      </w:rPr>
      <w:start w:val="0"/>
      <w:suff w:val="tab"/>
    </w:lvl>
  </w:abstractNum>
  <w:abstractNum w:abstractNumId="22">
    <w:lvl w:ilvl="0">
      <w:isLgl w:val="false"/>
      <w:lvlJc w:val="left"/>
      <w:lvlText w:val="%1."/>
      <w:numFmt w:val="decimal"/>
      <w:pPr>
        <w:pBdr/>
        <w:spacing/>
        <w:ind w:hanging="360" w:left="72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61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0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9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28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18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7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6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56"/>
      </w:pPr>
      <w:rPr>
        <w:rFonts w:hint="default"/>
        <w:lang w:val="ru-RU" w:eastAsia="en-US" w:bidi="ar-SA"/>
      </w:rPr>
      <w:start w:val="0"/>
      <w:suff w:val="tab"/>
    </w:lvl>
  </w:abstractNum>
  <w:abstractNum w:abstractNumId="23">
    <w:lvl w:ilvl="0">
      <w:isLgl w:val="false"/>
      <w:lvlJc w:val="left"/>
      <w:lvlText w:val="%1."/>
      <w:numFmt w:val="decimal"/>
      <w:pPr>
        <w:pBdr/>
        <w:spacing/>
        <w:ind w:hanging="360" w:left="72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61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0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9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28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18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7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6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56"/>
      </w:pPr>
      <w:rPr>
        <w:rFonts w:hint="default"/>
        <w:lang w:val="ru-RU" w:eastAsia="en-US" w:bidi="ar-SA"/>
      </w:rPr>
      <w:start w:val="0"/>
      <w:suff w:val="tab"/>
    </w:lvl>
  </w:abstractNum>
  <w:abstractNum w:abstractNumId="24">
    <w:lvl w:ilvl="0">
      <w:isLgl w:val="false"/>
      <w:lvlJc w:val="left"/>
      <w:lvlText w:val="o"/>
      <w:numFmt w:val="bullet"/>
      <w:pPr>
        <w:pBdr/>
        <w:spacing/>
        <w:ind w:hanging="360" w:left="1442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308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90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72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36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18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000"/>
      </w:pPr>
      <w:rPr>
        <w:rFonts w:hint="default"/>
        <w:lang w:val="ru-RU" w:eastAsia="en-US" w:bidi="ar-SA"/>
      </w:rPr>
      <w:start w:val="0"/>
      <w:suff w:val="tab"/>
    </w:lvl>
  </w:abstractNum>
  <w:abstractNum w:abstractNumId="25">
    <w:lvl w:ilvl="0">
      <w:isLgl w:val="false"/>
      <w:lvlJc w:val="left"/>
      <w:lvlText w:val="%1."/>
      <w:numFmt w:val="decimal"/>
      <w:pPr>
        <w:pBdr/>
        <w:spacing/>
        <w:ind w:hanging="281" w:left="28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722"/>
      </w:pPr>
      <w:rPr>
        <w:rFonts w:hint="default" w:ascii="Symbol" w:hAnsi="Symbol" w:eastAsia="Symbol" w:cs="Symbol"/>
        <w:b w:val="0"/>
        <w:bCs w:val="0"/>
        <w:i w:val="0"/>
        <w:iCs w:val="0"/>
        <w:color w:val="0e1115"/>
        <w:spacing w:val="0"/>
        <w:sz w:val="20"/>
        <w:szCs w:val="20"/>
        <w:lang w:val="ru-RU" w:eastAsia="en-US" w:bidi="ar-SA"/>
      </w:rPr>
      <w:start w:val="0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144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e1115"/>
        <w:spacing w:val="0"/>
        <w:sz w:val="28"/>
        <w:szCs w:val="28"/>
        <w:lang w:val="ru-RU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2465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349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4515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54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565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590"/>
      </w:pPr>
      <w:rPr>
        <w:rFonts w:hint="default"/>
        <w:lang w:val="ru-RU" w:eastAsia="en-US" w:bidi="ar-SA"/>
      </w:rPr>
      <w:start w:val="0"/>
      <w:suff w:val="tab"/>
    </w:lvl>
  </w:abstractNum>
  <w:abstractNum w:abstractNumId="26">
    <w:lvl w:ilvl="0">
      <w:isLgl w:val="false"/>
      <w:lvlJc w:val="left"/>
      <w:lvlText w:val="–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753"/>
    <w:next w:val="753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53"/>
    <w:next w:val="753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53"/>
    <w:next w:val="753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53"/>
    <w:next w:val="753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53"/>
    <w:next w:val="753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53"/>
    <w:next w:val="753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53"/>
    <w:next w:val="753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53"/>
    <w:next w:val="753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50"/>
    <w:link w:val="7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50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50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50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50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50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50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50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50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53"/>
    <w:next w:val="753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50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53"/>
    <w:next w:val="753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50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53"/>
    <w:next w:val="753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50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5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53"/>
    <w:next w:val="753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50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5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53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5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50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50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5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5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53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50"/>
    <w:link w:val="176"/>
    <w:uiPriority w:val="99"/>
    <w:pPr>
      <w:pBdr/>
      <w:spacing/>
      <w:ind/>
    </w:pPr>
  </w:style>
  <w:style w:type="paragraph" w:styleId="178">
    <w:name w:val="Footer"/>
    <w:basedOn w:val="753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50"/>
    <w:link w:val="178"/>
    <w:uiPriority w:val="99"/>
    <w:pPr>
      <w:pBdr/>
      <w:spacing/>
      <w:ind/>
    </w:pPr>
  </w:style>
  <w:style w:type="paragraph" w:styleId="180">
    <w:name w:val="Caption"/>
    <w:basedOn w:val="753"/>
    <w:next w:val="75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53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50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50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53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50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50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5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5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53"/>
    <w:next w:val="753"/>
    <w:uiPriority w:val="39"/>
    <w:unhideWhenUsed/>
    <w:pPr>
      <w:pBdr/>
      <w:spacing w:after="100"/>
      <w:ind/>
    </w:pPr>
  </w:style>
  <w:style w:type="paragraph" w:styleId="190">
    <w:name w:val="toc 2"/>
    <w:basedOn w:val="753"/>
    <w:next w:val="753"/>
    <w:uiPriority w:val="39"/>
    <w:unhideWhenUsed/>
    <w:pPr>
      <w:pBdr/>
      <w:spacing w:after="100"/>
      <w:ind w:left="220"/>
    </w:pPr>
  </w:style>
  <w:style w:type="paragraph" w:styleId="191">
    <w:name w:val="toc 3"/>
    <w:basedOn w:val="753"/>
    <w:next w:val="753"/>
    <w:uiPriority w:val="39"/>
    <w:unhideWhenUsed/>
    <w:pPr>
      <w:pBdr/>
      <w:spacing w:after="100"/>
      <w:ind w:left="440"/>
    </w:pPr>
  </w:style>
  <w:style w:type="paragraph" w:styleId="192">
    <w:name w:val="toc 4"/>
    <w:basedOn w:val="753"/>
    <w:next w:val="753"/>
    <w:uiPriority w:val="39"/>
    <w:unhideWhenUsed/>
    <w:pPr>
      <w:pBdr/>
      <w:spacing w:after="100"/>
      <w:ind w:left="660"/>
    </w:pPr>
  </w:style>
  <w:style w:type="paragraph" w:styleId="193">
    <w:name w:val="toc 5"/>
    <w:basedOn w:val="753"/>
    <w:next w:val="753"/>
    <w:uiPriority w:val="39"/>
    <w:unhideWhenUsed/>
    <w:pPr>
      <w:pBdr/>
      <w:spacing w:after="100"/>
      <w:ind w:left="880"/>
    </w:pPr>
  </w:style>
  <w:style w:type="paragraph" w:styleId="194">
    <w:name w:val="toc 6"/>
    <w:basedOn w:val="753"/>
    <w:next w:val="753"/>
    <w:uiPriority w:val="39"/>
    <w:unhideWhenUsed/>
    <w:pPr>
      <w:pBdr/>
      <w:spacing w:after="100"/>
      <w:ind w:left="1100"/>
    </w:pPr>
  </w:style>
  <w:style w:type="paragraph" w:styleId="195">
    <w:name w:val="toc 7"/>
    <w:basedOn w:val="753"/>
    <w:next w:val="753"/>
    <w:uiPriority w:val="39"/>
    <w:unhideWhenUsed/>
    <w:pPr>
      <w:pBdr/>
      <w:spacing w:after="100"/>
      <w:ind w:left="1320"/>
    </w:pPr>
  </w:style>
  <w:style w:type="paragraph" w:styleId="196">
    <w:name w:val="toc 8"/>
    <w:basedOn w:val="753"/>
    <w:next w:val="753"/>
    <w:uiPriority w:val="39"/>
    <w:unhideWhenUsed/>
    <w:pPr>
      <w:pBdr/>
      <w:spacing w:after="100"/>
      <w:ind w:left="1540"/>
    </w:pPr>
  </w:style>
  <w:style w:type="paragraph" w:styleId="197">
    <w:name w:val="toc 9"/>
    <w:basedOn w:val="753"/>
    <w:next w:val="753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50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53"/>
    <w:next w:val="753"/>
    <w:uiPriority w:val="99"/>
    <w:unhideWhenUsed/>
    <w:pPr>
      <w:pBdr/>
      <w:spacing w:after="0" w:afterAutospacing="0"/>
      <w:ind/>
    </w:pPr>
  </w:style>
  <w:style w:type="character" w:styleId="750" w:default="1">
    <w:name w:val="Default Paragraph Font"/>
    <w:uiPriority w:val="1"/>
    <w:semiHidden/>
    <w:unhideWhenUsed/>
    <w:pPr>
      <w:pBdr/>
      <w:spacing/>
      <w:ind/>
    </w:pPr>
  </w:style>
  <w:style w:type="table" w:styleId="751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52" w:default="1">
    <w:name w:val="No List"/>
    <w:uiPriority w:val="99"/>
    <w:semiHidden/>
    <w:unhideWhenUsed/>
    <w:pPr>
      <w:pBdr/>
      <w:spacing/>
      <w:ind/>
    </w:pPr>
  </w:style>
  <w:style w:type="paragraph" w:styleId="753" w:default="1">
    <w:name w:val="Normal"/>
    <w:uiPriority w:val="1"/>
    <w:qFormat/>
    <w:pPr>
      <w:pBdr/>
      <w:spacing/>
      <w:ind/>
    </w:pPr>
    <w:rPr>
      <w:rFonts w:ascii="Times New Roman" w:hAnsi="Times New Roman" w:eastAsia="Times New Roman" w:cs="Times New Roman"/>
      <w:lang w:val="ru-RU" w:eastAsia="en-US" w:bidi="ar-SA"/>
    </w:rPr>
  </w:style>
  <w:style w:type="paragraph" w:styleId="754">
    <w:name w:val="Body Text"/>
    <w:basedOn w:val="753"/>
    <w:uiPriority w:val="1"/>
    <w:qFormat/>
    <w:pPr>
      <w:pBdr/>
      <w:spacing/>
      <w:ind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type="paragraph" w:styleId="755">
    <w:name w:val="Heading 1"/>
    <w:basedOn w:val="753"/>
    <w:uiPriority w:val="1"/>
    <w:qFormat/>
    <w:pPr>
      <w:pBdr/>
      <w:spacing/>
      <w:ind w:left="2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type="paragraph" w:styleId="756">
    <w:name w:val="List Paragraph"/>
    <w:basedOn w:val="753"/>
    <w:uiPriority w:val="1"/>
    <w:qFormat/>
    <w:pPr>
      <w:pBdr/>
      <w:spacing/>
      <w:ind w:hanging="360" w:left="721"/>
      <w:jc w:val="both"/>
    </w:pPr>
    <w:rPr>
      <w:rFonts w:ascii="Times New Roman" w:hAnsi="Times New Roman" w:eastAsia="Times New Roman" w:cs="Times New Roman"/>
      <w:lang w:val="ru-RU" w:eastAsia="en-US" w:bidi="ar-SA"/>
    </w:rPr>
  </w:style>
  <w:style w:type="paragraph" w:styleId="757">
    <w:name w:val="Table Paragraph"/>
    <w:basedOn w:val="753"/>
    <w:uiPriority w:val="1"/>
    <w:qFormat/>
    <w:pPr>
      <w:pBdr/>
      <w:spacing/>
      <w:ind w:left="111"/>
    </w:pPr>
    <w:rPr>
      <w:rFonts w:ascii="Times New Roman" w:hAnsi="Times New Roman" w:eastAsia="Times New Roman" w:cs="Times New Roman"/>
      <w:lang w:val="ru-RU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Шульгин В.А.</dc:creator>
  <cp:revision>1</cp:revision>
  <dcterms:created xsi:type="dcterms:W3CDTF">2026-03-30T08:47:55Z</dcterms:created>
  <dcterms:modified xsi:type="dcterms:W3CDTF">2026-03-30T08:59:19Z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2026-03-07T00:00:00Z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2013</vt:lpwstr>
  </property>
</Properties>
</file>