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4"/>
          <w:lang w:eastAsia="en-US"/>
        </w:rPr>
      </w:pPr>
      <w:r>
        <w:rPr>
          <w:rFonts w:ascii="Times New Roman" w:hAnsi="Times New Roman" w:eastAsia="Times New Roman" w:cs="Times New Roman"/>
          <w:sz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113155" cy="1113155"/>
                <wp:effectExtent l="0" t="0" r="10795" b="10795"/>
                <wp:docPr id="1" name="Рисунок 2" descr="МИРЭА — Российский технологический университет — Википеди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4147856" name="Рисунок 2" descr="МИРЭА — Российский технологический университет — Википедия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127308" cy="1127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87.65pt;height:87.65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lang w:eastAsia="en-US"/>
        </w:rPr>
      </w:r>
      <w:r>
        <w:rPr>
          <w:rFonts w:ascii="Times New Roman" w:hAnsi="Times New Roman" w:eastAsia="Times New Roman" w:cs="Times New Roman"/>
          <w:sz w:val="24"/>
          <w:lang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  <w:t xml:space="preserve">высшего образования</w:t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</w:p>
    <w:p>
      <w:pPr>
        <w:pBdr/>
        <w:shd w:val="clear" w:color="auto" w:fill="ffffff"/>
        <w:spacing w:after="120"/>
        <w:ind w:firstLine="709"/>
        <w:jc w:val="center"/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val="ru-RU" w:eastAsia="en-US"/>
        </w:rPr>
        <w:t xml:space="preserve">«МИРЭА – Российский технологический университет»</w:t>
      </w:r>
      <w:r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  <w:t xml:space="preserve">РТУ МИРЭА</w:t>
      </w:r>
      <w:r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</w:r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>
          <w:trHeight w:val="283"/>
        </w:trPr>
        <w:tc>
          <w:tcPr>
            <w:tcBorders>
              <w:top w:val="none" w:color="000000" w:sz="4" w:space="0"/>
              <w:left w:val="none" w:color="000000" w:sz="4" w:space="0"/>
              <w:bottom w:val="single" w:color="auto" w:sz="12" w:space="0"/>
              <w:right w:val="none" w:color="000000" w:sz="4" w:space="0"/>
            </w:tcBorders>
            <w:tcW w:w="9355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 w:firstLine="709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 w:eastAsia="ru-RU"/>
              </w:rPr>
            </w:r>
          </w:p>
        </w:tc>
      </w:tr>
    </w:tbl>
    <w:p>
      <w:pPr>
        <w:pBdr/>
        <w:shd w:val="clear" w:color="auto" w:fill="ffffff"/>
        <w:spacing w:line="360" w:lineRule="auto"/>
        <w:ind w:firstLine="709"/>
        <w:jc w:val="center"/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  <w:t xml:space="preserve">Институт кибербезопасности и цифровых технологий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</w:r>
    </w:p>
    <w:p>
      <w:pPr>
        <w:pBdr/>
        <w:shd w:val="clear" w:color="auto" w:fill="ffffff"/>
        <w:spacing w:line="360" w:lineRule="auto"/>
        <w:ind w:firstLine="709"/>
        <w:jc w:val="center"/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  <w:t xml:space="preserve">Кафедра КБ-4 «Интеллектуальные системы информационной безопасности»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</w:p>
    <w:p>
      <w:pPr>
        <w:pBdr/>
        <w:shd w:val="clear" w:color="auto" w:fill="ffffff"/>
        <w:spacing w:line="36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Лабораторная работа №</w:t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2.1</w:t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</w:p>
    <w:p>
      <w:pPr>
        <w:pBdr/>
        <w:shd w:val="clear" w:color="auto" w:fill="ffffff"/>
        <w:spacing w:line="360" w:lineRule="auto"/>
        <w:ind w:firstLine="709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Тема: «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Классификация средств защиты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»</w:t>
      </w:r>
      <w:r>
        <w:rPr>
          <w:rFonts w:ascii="Times New Roman" w:hAnsi="Times New Roman" w:cs="Times New Roman"/>
          <w:sz w:val="28"/>
          <w:szCs w:val="28"/>
          <w:lang w:val="ru-RU"/>
        </w:rPr>
      </w:r>
      <w:r/>
    </w:p>
    <w:p>
      <w:pPr>
        <w:pBdr/>
        <w:spacing w:after="1540" w:line="261" w:lineRule="auto"/>
        <w:ind w:right="0" w:firstLine="709" w:left="0"/>
        <w:jc w:val="center"/>
        <w:rPr>
          <w:rFonts w:ascii="Times New Roman" w:hAnsi="Times New Roman" w:eastAsia="Times New Roman" w:cs="Times New Roman"/>
          <w:color w:val="000000"/>
          <w:sz w:val="28"/>
          <w:szCs w:val="22"/>
          <w:lang w:val="ru" w:bidi="ar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по дисциплине </w:t>
      </w:r>
      <w:r>
        <w:rPr>
          <w:rFonts w:ascii="Times New Roman" w:hAnsi="Times New Roman" w:eastAsia="Times New Roman" w:cs="Times New Roman"/>
          <w:color w:val="000000"/>
          <w:sz w:val="28"/>
          <w:szCs w:val="22"/>
          <w:lang w:val="ru" w:bidi="ar"/>
        </w:rPr>
        <w:t xml:space="preserve">«Технологии </w:t>
      </w:r>
      <w:r>
        <w:rPr>
          <w:rFonts w:ascii="Times New Roman" w:hAnsi="Times New Roman" w:eastAsia="Times New Roman" w:cs="Times New Roman"/>
          <w:color w:val="000000"/>
          <w:sz w:val="28"/>
          <w:szCs w:val="22"/>
          <w:lang w:val="ru-RU" w:bidi="ar"/>
        </w:rPr>
        <w:t xml:space="preserve">обеспечения информационной безопасности</w:t>
      </w:r>
      <w:r>
        <w:rPr>
          <w:rFonts w:ascii="Times New Roman" w:hAnsi="Times New Roman" w:eastAsia="Times New Roman" w:cs="Times New Roman"/>
          <w:color w:val="000000"/>
          <w:sz w:val="28"/>
          <w:szCs w:val="22"/>
          <w:lang w:val="ru" w:bidi="ar"/>
        </w:rPr>
        <w:t xml:space="preserve">»</w:t>
      </w:r>
      <w:r>
        <w:rPr>
          <w:rFonts w:ascii="Times New Roman" w:hAnsi="Times New Roman" w:eastAsia="Times New Roman" w:cs="Times New Roman"/>
          <w:color w:val="000000"/>
          <w:sz w:val="28"/>
          <w:szCs w:val="22"/>
          <w:lang w:val="ru" w:bidi="ar"/>
        </w:rPr>
      </w:r>
      <w:r>
        <w:rPr>
          <w:rFonts w:ascii="Times New Roman" w:hAnsi="Times New Roman" w:eastAsia="Times New Roman" w:cs="Times New Roman"/>
          <w:color w:val="000000"/>
          <w:sz w:val="28"/>
          <w:szCs w:val="22"/>
          <w:lang w:val="ru" w:bidi="ar"/>
        </w:rPr>
      </w:r>
    </w:p>
    <w:p>
      <w:pPr>
        <w:pBdr/>
        <w:shd w:val="clear" w:color="auto" w:fill="ffffff"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</w:p>
    <w:tbl>
      <w:tblPr>
        <w:tblStyle w:val="935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pPr w:horzAnchor="margin" w:tblpXSpec="center" w:vertAnchor="text" w:tblpY="116" w:leftFromText="180" w:topFromText="0" w:rightFromText="180" w:bottomFromText="0"/>
        <w:tblLook w:val="04A0" w:firstRow="1" w:lastRow="0" w:firstColumn="1" w:lastColumn="0" w:noHBand="0" w:noVBand="1"/>
      </w:tblPr>
      <w:tblGrid>
        <w:gridCol w:w="4672"/>
        <w:gridCol w:w="4672"/>
      </w:tblGrid>
      <w:tr>
        <w:trPr/>
        <w:tc>
          <w:tcPr>
            <w:tcBorders/>
            <w:tcW w:w="4672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 w:firstLine="709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lang w:val="ru-RU" w:eastAsia="ru-RU"/>
              </w:rPr>
              <w:t xml:space="preserve">Выполнил студент группы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spacing w:line="360" w:lineRule="auto"/>
              <w:ind w:firstLine="709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lang w:val="ru-RU" w:eastAsia="ru-RU"/>
              </w:rPr>
              <w:t xml:space="preserve">Б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БМО</w:t>
            </w:r>
            <w:r>
              <w:rPr>
                <w:rFonts w:hint="eastAsia" w:ascii="Times New Roman" w:hAnsi="Times New Roman" w:eastAsia="Times New Roman" w:cs="Times New Roman"/>
                <w:sz w:val="24"/>
                <w:lang w:val="ru-RU" w:eastAsia="ru-RU"/>
              </w:rPr>
              <w:t xml:space="preserve">-01-2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spacing w:line="360" w:lineRule="auto"/>
              <w:ind w:firstLine="709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spacing w:line="360" w:lineRule="auto"/>
              <w:ind w:firstLine="709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lang w:val="ru-RU" w:eastAsia="ru-RU"/>
              </w:rPr>
              <w:t xml:space="preserve">Проверил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  <w:tc>
          <w:tcPr>
            <w:tcBorders/>
            <w:tcW w:w="4672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lang w:val="ru-RU" w:eastAsia="ru-RU"/>
              </w:rPr>
              <w:t xml:space="preserve">Мухаметшин Александр Ринато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вич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tabs>
                <w:tab w:val="left" w:leader="none" w:pos="1723"/>
              </w:tabs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tabs>
                <w:tab w:val="left" w:leader="none" w:pos="1723"/>
              </w:tabs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tabs>
                <w:tab w:val="left" w:leader="none" w:pos="1723"/>
              </w:tabs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Здольник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Владиимир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 Вячеславович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</w:tr>
      <w:tr>
        <w:trPr/>
        <w:tc>
          <w:tcPr>
            <w:tcBorders/>
            <w:tcW w:w="4672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  <w:tc>
          <w:tcPr>
            <w:tcBorders/>
            <w:tcW w:w="4672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</w:tr>
      <w:tr>
        <w:trPr/>
        <w:tc>
          <w:tcPr>
            <w:tcBorders/>
            <w:tcW w:w="4672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  <w:tc>
          <w:tcPr>
            <w:tcBorders/>
            <w:tcW w:w="4672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</w:tr>
    </w:tbl>
    <w:p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eastAsia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Москва 2025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eastAsia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eastAsia="en-US"/>
        </w:rPr>
      </w:r>
    </w:p>
    <w:p>
      <w:pPr>
        <w:pBdr/>
        <w:spacing w:after="281"/>
        <w:ind w:right="179" w:hanging="10" w:left="187"/>
        <w:jc w:val="center"/>
        <w:rPr>
          <w:rFonts w:ascii="Times New Roman" w:hAnsi="Times New Roman" w:eastAsia="Times New Roman" w:cs="Times New Roman"/>
          <w:sz w:val="28"/>
          <w:lang w:val="ru-RU"/>
        </w:rPr>
        <w:sectPr>
          <w:footerReference w:type="default" r:id="rId9"/>
          <w:footnotePr/>
          <w:endnotePr/>
          <w:type w:val="nextPage"/>
          <w:pgSz w:h="16838" w:orient="portrait" w:w="11906"/>
          <w:pgMar w:top="1134" w:right="794" w:bottom="1134" w:left="1135" w:header="720" w:footer="720" w:gutter="0"/>
          <w:pgNumType w:start="1"/>
          <w:cols w:num="1" w:sep="0" w:space="720" w:equalWidth="1"/>
          <w:titlePg/>
        </w:sectPr>
      </w:pPr>
      <w:r>
        <w:rPr>
          <w:rFonts w:ascii="Times New Roman" w:hAnsi="Times New Roman" w:eastAsia="Times New Roman" w:cs="Times New Roman"/>
          <w:sz w:val="28"/>
          <w:lang w:val="ru-RU"/>
        </w:rPr>
      </w:r>
      <w:r>
        <w:rPr>
          <w:rFonts w:ascii="Times New Roman" w:hAnsi="Times New Roman" w:eastAsia="Times New Roman" w:cs="Times New Roman"/>
          <w:sz w:val="28"/>
          <w:lang w:val="ru-RU"/>
        </w:rPr>
      </w:r>
      <w:r>
        <w:rPr>
          <w:rFonts w:ascii="Times New Roman" w:hAnsi="Times New Roman" w:eastAsia="Times New Roman" w:cs="Times New Roman"/>
          <w:sz w:val="28"/>
          <w:lang w:val="ru-RU"/>
        </w:rPr>
      </w:r>
    </w:p>
    <w:p>
      <w:pPr>
        <w:pBdr/>
        <w:spacing w:line="360" w:lineRule="auto"/>
        <w:ind w:right="0" w:firstLine="0" w:left="0"/>
        <w:jc w:val="center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Цель работы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</w:r>
    </w:p>
    <w:p>
      <w:pPr>
        <w:pBdr/>
        <w:spacing w:line="360" w:lineRule="auto"/>
        <w:ind w:right="0" w:firstLine="709" w:left="0"/>
        <w:jc w:val="both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Студент должен: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894"/>
        <w:numPr>
          <w:ilvl w:val="0"/>
          <w:numId w:val="13"/>
        </w:numPr>
        <w:pBdr/>
        <w:spacing w:line="360" w:lineRule="auto"/>
        <w:ind w:right="0"/>
        <w:jc w:val="both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понять основные задачи и направления информационной безопасности;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894"/>
        <w:numPr>
          <w:ilvl w:val="0"/>
          <w:numId w:val="13"/>
        </w:numPr>
        <w:pBdr/>
        <w:spacing w:line="360" w:lineRule="auto"/>
        <w:ind w:right="0"/>
        <w:jc w:val="both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изучить классификацию средств защиты информации (СЗИ);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894"/>
        <w:numPr>
          <w:ilvl w:val="0"/>
          <w:numId w:val="13"/>
        </w:numPr>
        <w:pBdr/>
        <w:spacing w:line="360" w:lineRule="auto"/>
        <w:ind w:right="0"/>
        <w:jc w:val="both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научиться сопоставлять угрозы и механизмы защиты;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894"/>
        <w:numPr>
          <w:ilvl w:val="0"/>
          <w:numId w:val="13"/>
        </w:numPr>
        <w:pBdr/>
        <w:spacing w:line="360" w:lineRule="auto"/>
        <w:ind w:right="0"/>
        <w:jc w:val="both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сформировать представление о структурах современных ИБ-систем;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894"/>
        <w:numPr>
          <w:ilvl w:val="0"/>
          <w:numId w:val="13"/>
        </w:numPr>
        <w:pBdr/>
        <w:spacing w:line="360" w:lineRule="auto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проанализировать реальные примеры СЗИ в действующих ИС.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Bdr/>
        <w:spacing w:line="360" w:lineRule="auto"/>
        <w:ind w:right="0" w:firstLine="709" w:left="0"/>
        <w:jc w:val="center"/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shd w:val="clear" w:color="auto" w:fill="ffffff"/>
          <w:lang w:val="ru-RU" w:bidi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  <w:t xml:space="preserve">Теоретическая часть</w:t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shd w:val="clear" w:color="auto" w:fill="ffffff"/>
        </w:rPr>
      </w:r>
    </w:p>
    <w:p>
      <w:pPr>
        <w:pBdr/>
        <w:spacing w:line="360" w:lineRule="auto"/>
        <w:ind w:right="0" w:firstLine="709" w:left="0"/>
        <w:jc w:val="both"/>
        <w:rPr>
          <w:b/>
          <w:bCs/>
        </w:rPr>
      </w:pP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  <w:t xml:space="preserve">Информационная безопасность (ИБ)</w:t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</w:r>
    </w:p>
    <w:p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Информационная безопасность — состояние защищённости информации и поддерживающей её инфраструктуры от угроз, нарушителей, случайных и преднамеренных воздействий.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</w:p>
    <w:p>
      <w:pPr>
        <w:pBdr/>
        <w:spacing w:line="360" w:lineRule="auto"/>
        <w:ind w:right="0" w:firstLine="709" w:left="0"/>
        <w:jc w:val="both"/>
        <w:rPr>
          <w:b/>
          <w:bCs/>
        </w:rPr>
      </w:pP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  <w:t xml:space="preserve">Основные свойства ИБ (CIA-трезвуч):</w:t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</w:r>
    </w:p>
    <w:p>
      <w:pPr>
        <w:pStyle w:val="894"/>
        <w:numPr>
          <w:ilvl w:val="0"/>
          <w:numId w:val="15"/>
        </w:numPr>
        <w:pBdr/>
        <w:spacing w:line="360" w:lineRule="auto"/>
        <w:ind w:right="0"/>
        <w:jc w:val="both"/>
        <w:rPr/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Конфиденциальность — защита от несанкционированного доступа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</w:p>
    <w:p>
      <w:pPr>
        <w:pStyle w:val="894"/>
        <w:numPr>
          <w:ilvl w:val="0"/>
          <w:numId w:val="15"/>
        </w:numPr>
        <w:pBdr/>
        <w:spacing w:line="360" w:lineRule="auto"/>
        <w:ind w:right="0"/>
        <w:jc w:val="both"/>
        <w:rPr/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Целостность — защита от несанкционированных изменений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</w:p>
    <w:p>
      <w:pPr>
        <w:pStyle w:val="894"/>
        <w:numPr>
          <w:ilvl w:val="0"/>
          <w:numId w:val="15"/>
        </w:numPr>
        <w:pBdr/>
        <w:spacing w:line="360" w:lineRule="auto"/>
        <w:ind w:right="0"/>
        <w:jc w:val="both"/>
        <w:rPr/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Доступность — обеспечение функционирования информации и сервисов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</w:p>
    <w:p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Дополнительные свойства: подлинность, неотказуемость, наблюдаемость, аудит.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</w:p>
    <w:p>
      <w:pPr>
        <w:pBdr/>
        <w:spacing w:line="360" w:lineRule="auto"/>
        <w:ind w:right="0" w:firstLine="709" w:left="0"/>
        <w:jc w:val="both"/>
        <w:rPr>
          <w:b/>
          <w:bCs/>
        </w:rPr>
      </w:pP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  <w:t xml:space="preserve">Классификация угроз</w:t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</w:r>
    </w:p>
    <w:p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Техногенные:</w:t>
        <w:tab/>
        <w:t xml:space="preserve">сбои оборудования, ошибки ПО, отказ инфраструктуры.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</w:p>
    <w:p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Природные:</w:t>
        <w:tab/>
        <w:t xml:space="preserve">пожар, наводнение, стихийные бедствия.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</w:p>
    <w:p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Антропогенные:</w:t>
        <w:tab/>
        <w:t xml:space="preserve">вредоносное ПО, социальная инженерия, инсайдерская деятельность, утечки данных.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</w:p>
    <w:p>
      <w:pPr>
        <w:pBdr/>
        <w:spacing w:line="360" w:lineRule="auto"/>
        <w:ind w:right="0" w:firstLine="709" w:left="0"/>
        <w:jc w:val="both"/>
        <w:rPr>
          <w:b/>
          <w:bCs/>
        </w:rPr>
      </w:pP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  <w:t xml:space="preserve">Классификация средств защиты</w:t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</w:r>
    </w:p>
    <w:p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Средства защиты делятся на две категории: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</w:p>
    <w:p>
      <w:pPr>
        <w:pBdr/>
        <w:spacing w:line="360" w:lineRule="auto"/>
        <w:ind w:right="0" w:firstLine="709" w:left="0"/>
        <w:jc w:val="both"/>
        <w:rPr>
          <w:b/>
          <w:bCs/>
        </w:rPr>
      </w:pP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  <w:t xml:space="preserve">I. Организационные средства:</w:t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</w:r>
    </w:p>
    <w:p>
      <w:pPr>
        <w:pStyle w:val="894"/>
        <w:numPr>
          <w:ilvl w:val="0"/>
          <w:numId w:val="16"/>
        </w:numPr>
        <w:pBdr/>
        <w:spacing w:line="360" w:lineRule="auto"/>
        <w:ind w:right="0"/>
        <w:jc w:val="both"/>
        <w:rPr/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Политики и регламенты ИБ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</w:p>
    <w:p>
      <w:pPr>
        <w:pStyle w:val="894"/>
        <w:numPr>
          <w:ilvl w:val="0"/>
          <w:numId w:val="16"/>
        </w:numPr>
        <w:pBdr/>
        <w:spacing w:line="360" w:lineRule="auto"/>
        <w:ind w:right="0"/>
        <w:jc w:val="both"/>
        <w:rPr/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Разграничение прав пользователей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</w:p>
    <w:p>
      <w:pPr>
        <w:pStyle w:val="894"/>
        <w:numPr>
          <w:ilvl w:val="0"/>
          <w:numId w:val="16"/>
        </w:numPr>
        <w:pBdr/>
        <w:spacing w:line="360" w:lineRule="auto"/>
        <w:ind w:right="0"/>
        <w:jc w:val="both"/>
        <w:rPr/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Обучение сотрудников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</w:p>
    <w:p>
      <w:pPr>
        <w:pStyle w:val="894"/>
        <w:numPr>
          <w:ilvl w:val="0"/>
          <w:numId w:val="16"/>
        </w:numPr>
        <w:pBdr/>
        <w:spacing w:line="360" w:lineRule="auto"/>
        <w:ind w:right="0"/>
        <w:jc w:val="both"/>
        <w:rPr/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Аудит и аттестация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</w:p>
    <w:p>
      <w:pPr>
        <w:pStyle w:val="894"/>
        <w:numPr>
          <w:ilvl w:val="0"/>
          <w:numId w:val="16"/>
        </w:numPr>
        <w:pBdr/>
        <w:spacing w:line="360" w:lineRule="auto"/>
        <w:ind w:right="0"/>
        <w:jc w:val="both"/>
        <w:rPr/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Контроль доступа на территорию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</w:p>
    <w:p>
      <w:pPr>
        <w:pBdr/>
        <w:spacing w:line="360" w:lineRule="auto"/>
        <w:ind w:right="0" w:firstLine="709" w:left="0"/>
        <w:jc w:val="both"/>
        <w:rPr>
          <w:b/>
          <w:bCs/>
        </w:rPr>
      </w:pP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  <w:t xml:space="preserve">II. Технические средства:</w:t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</w:r>
    </w:p>
    <w:p>
      <w:pPr>
        <w:pStyle w:val="894"/>
        <w:numPr>
          <w:ilvl w:val="0"/>
          <w:numId w:val="17"/>
        </w:numPr>
        <w:pBdr/>
        <w:spacing w:line="360" w:lineRule="auto"/>
        <w:ind w:right="0"/>
        <w:jc w:val="both"/>
        <w:rPr/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Межсетевые экраны (Firewall, NGFW)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</w:p>
    <w:p>
      <w:pPr>
        <w:pStyle w:val="894"/>
        <w:numPr>
          <w:ilvl w:val="0"/>
          <w:numId w:val="17"/>
        </w:numPr>
        <w:pBdr/>
        <w:spacing w:line="360" w:lineRule="auto"/>
        <w:ind w:right="0"/>
        <w:jc w:val="both"/>
        <w:rPr/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IDS/IPS системы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</w:p>
    <w:p>
      <w:pPr>
        <w:pStyle w:val="894"/>
        <w:numPr>
          <w:ilvl w:val="0"/>
          <w:numId w:val="17"/>
        </w:numPr>
        <w:pBdr/>
        <w:spacing w:line="360" w:lineRule="auto"/>
        <w:ind w:right="0"/>
        <w:jc w:val="both"/>
        <w:rPr/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WAF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</w:p>
    <w:p>
      <w:pPr>
        <w:pStyle w:val="894"/>
        <w:numPr>
          <w:ilvl w:val="0"/>
          <w:numId w:val="17"/>
        </w:numPr>
        <w:pBdr/>
        <w:spacing w:line="360" w:lineRule="auto"/>
        <w:ind w:right="0"/>
        <w:jc w:val="both"/>
        <w:rPr/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VPN/IPSec/SSL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</w:p>
    <w:p>
      <w:pPr>
        <w:pStyle w:val="894"/>
        <w:numPr>
          <w:ilvl w:val="0"/>
          <w:numId w:val="17"/>
        </w:numPr>
        <w:pBdr/>
        <w:spacing w:line="360" w:lineRule="auto"/>
        <w:ind w:right="0"/>
        <w:jc w:val="both"/>
        <w:rPr/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Криптографические средства (СКЗИ)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</w:p>
    <w:p>
      <w:pPr>
        <w:pStyle w:val="894"/>
        <w:numPr>
          <w:ilvl w:val="0"/>
          <w:numId w:val="17"/>
        </w:numPr>
        <w:pBdr/>
        <w:spacing w:line="360" w:lineRule="auto"/>
        <w:ind w:right="0"/>
        <w:jc w:val="both"/>
        <w:rPr/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Системы управления доступом (IAM/PAM)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</w:p>
    <w:p>
      <w:pPr>
        <w:pStyle w:val="894"/>
        <w:numPr>
          <w:ilvl w:val="0"/>
          <w:numId w:val="17"/>
        </w:numPr>
        <w:pBdr/>
        <w:spacing w:line="360" w:lineRule="auto"/>
        <w:ind w:right="0"/>
        <w:jc w:val="both"/>
        <w:rPr/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SIEM, DLP, EDR/XDR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</w:p>
    <w:p>
      <w:pPr>
        <w:pStyle w:val="894"/>
        <w:numPr>
          <w:ilvl w:val="0"/>
          <w:numId w:val="17"/>
        </w:numPr>
        <w:pBdr/>
        <w:spacing w:line="360" w:lineRule="auto"/>
        <w:ind w:right="0"/>
        <w:jc w:val="both"/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Средства отказоустойчивости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</w:rPr>
      </w:r>
    </w:p>
    <w:p>
      <w:pPr>
        <w:pBdr/>
        <w:spacing w:line="360" w:lineRule="auto"/>
        <w:ind w:right="0" w:firstLine="0" w:left="0"/>
        <w:jc w:val="center"/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  <w:t xml:space="preserve">Ход работы</w:t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</w:rPr>
      </w:r>
    </w:p>
    <w:p>
      <w:pPr>
        <w:pBdr/>
        <w:spacing w:line="360" w:lineRule="auto"/>
        <w:ind w:right="0" w:firstLine="709" w:left="0"/>
        <w:jc w:val="left"/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  <w:t xml:space="preserve">Таблица классификации угроз и сзи</w:t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</w:rPr>
      </w:r>
    </w:p>
    <w:tbl>
      <w:tblPr>
        <w:tblStyle w:val="747"/>
        <w:tblW w:w="0" w:type="auto"/>
        <w:tblBorders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>
        <w:trPr/>
        <w:tc>
          <w:tcPr>
            <w:tcBorders/>
            <w:tcW w:w="302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highlight w:val="none"/>
                <w:lang w:val="ru-RU" w:bidi="ru-RU"/>
              </w:rPr>
              <w:t xml:space="preserve">Угроза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3024" w:type="dxa"/>
            <w:textDirection w:val="lrTb"/>
            <w:noWrap w:val="false"/>
          </w:tcPr>
          <w:p>
            <w:pPr>
              <w:pBdr/>
              <w:tabs>
                <w:tab w:val="center" w:leader="none" w:pos="1404"/>
              </w:tabs>
              <w:spacing w:line="360" w:lineRule="auto"/>
              <w:ind/>
              <w:jc w:val="left"/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highlight w:val="none"/>
                <w:lang w:val="ru-RU" w:bidi="ru-RU"/>
              </w:rPr>
              <w:t xml:space="preserve">Контроль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highlight w:val="none"/>
                <w:lang w:val="ru-RU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302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highlight w:val="none"/>
                <w:lang w:val="ru-RU" w:bidi="ru-RU"/>
              </w:rPr>
              <w:t xml:space="preserve">Средства защиты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302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pacing w:val="2"/>
                <w:sz w:val="24"/>
                <w:szCs w:val="24"/>
              </w:rPr>
              <w:t xml:space="preserve">SQL Injection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02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pacing w:val="2"/>
                <w:sz w:val="24"/>
                <w:szCs w:val="24"/>
              </w:rPr>
              <w:t xml:space="preserve">Фильтрация входных данных, проверка запросов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02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pacing w:val="2"/>
                <w:sz w:val="24"/>
                <w:szCs w:val="24"/>
              </w:rPr>
              <w:t xml:space="preserve">WAF, параметризованные запросы, фильтрация ввода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02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pacing w:val="2"/>
                <w:sz w:val="24"/>
                <w:szCs w:val="24"/>
              </w:rPr>
              <w:t xml:space="preserve">Фишинг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02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pacing w:val="2"/>
                <w:sz w:val="24"/>
                <w:szCs w:val="24"/>
              </w:rPr>
              <w:t xml:space="preserve">Обучение сотрудников, фильтрация почты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02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pacing w:val="2"/>
                <w:sz w:val="24"/>
                <w:szCs w:val="24"/>
              </w:rPr>
              <w:t xml:space="preserve">EDR, SIEM, двухфакторная аутентификация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02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pacing w:val="2"/>
                <w:sz w:val="24"/>
                <w:szCs w:val="24"/>
              </w:rPr>
              <w:t xml:space="preserve">Утечка данных через флешку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02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pacing w:val="2"/>
                <w:sz w:val="24"/>
                <w:szCs w:val="24"/>
              </w:rPr>
              <w:t xml:space="preserve">Контроль портов, контроль съёмных устройств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02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pacing w:val="2"/>
                <w:sz w:val="24"/>
                <w:szCs w:val="24"/>
              </w:rPr>
              <w:t xml:space="preserve">DLP, блокировка USB, мониторинг трафика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02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pacing w:val="2"/>
                <w:sz w:val="24"/>
                <w:szCs w:val="24"/>
              </w:rPr>
              <w:t xml:space="preserve">Перебор паролей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02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pacing w:val="2"/>
                <w:sz w:val="24"/>
                <w:szCs w:val="24"/>
              </w:rPr>
              <w:t xml:space="preserve">Ограничение попыток входа, сильные пароли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02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pacing w:val="2"/>
                <w:sz w:val="24"/>
                <w:szCs w:val="24"/>
              </w:rPr>
              <w:t xml:space="preserve">IAM/PAM, OTP, многофакторная аутентификация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02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pacing w:val="2"/>
                <w:sz w:val="24"/>
                <w:szCs w:val="24"/>
              </w:rPr>
              <w:t xml:space="preserve">DDoS атаки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02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pacing w:val="2"/>
                <w:sz w:val="24"/>
                <w:szCs w:val="24"/>
              </w:rPr>
              <w:t xml:space="preserve">Фильтрация трафика, распределение нагрузки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02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pacing w:val="2"/>
                <w:sz w:val="24"/>
                <w:szCs w:val="24"/>
              </w:rPr>
              <w:t xml:space="preserve">NGFW, IPS, DDoS-защита, балансировщик нагрузки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02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pacing w:val="2"/>
                <w:sz w:val="24"/>
                <w:szCs w:val="24"/>
              </w:rPr>
              <w:t xml:space="preserve">Инсайдер-администратор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02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pacing w:val="2"/>
                <w:sz w:val="24"/>
                <w:szCs w:val="24"/>
              </w:rPr>
              <w:t xml:space="preserve">Разделение ролей, аудит действий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02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pacing w:val="2"/>
                <w:sz w:val="24"/>
                <w:szCs w:val="24"/>
              </w:rPr>
              <w:t xml:space="preserve">PAM, SIEM, аудит логов, мониторинг привилегированного доступа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02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pacing w:val="2"/>
                <w:sz w:val="24"/>
                <w:szCs w:val="24"/>
              </w:rPr>
              <w:t xml:space="preserve">Вредоносное ПО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02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pacing w:val="2"/>
                <w:sz w:val="24"/>
                <w:szCs w:val="24"/>
              </w:rPr>
              <w:t xml:space="preserve">Контроль на хосте, контроль приложений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02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pacing w:val="2"/>
                <w:sz w:val="24"/>
                <w:szCs w:val="24"/>
              </w:rPr>
              <w:t xml:space="preserve">EDR, антивирус, AppLocker, белые списки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02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pacing w:val="2"/>
                <w:sz w:val="24"/>
                <w:szCs w:val="24"/>
              </w:rPr>
              <w:t xml:space="preserve">Перехват трафика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02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pacing w:val="2"/>
                <w:sz w:val="24"/>
                <w:szCs w:val="24"/>
              </w:rPr>
              <w:t xml:space="preserve">Защита канала связи, шифрование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02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pacing w:val="2"/>
                <w:sz w:val="24"/>
                <w:szCs w:val="24"/>
              </w:rPr>
              <w:t xml:space="preserve">VPN, TLS/SSL, IPSec, сегментация сети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02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pacing w:val="2"/>
                <w:sz w:val="24"/>
                <w:szCs w:val="24"/>
              </w:rPr>
              <w:t xml:space="preserve">Несанкционированный доступ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02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pacing w:val="2"/>
                <w:sz w:val="24"/>
                <w:szCs w:val="24"/>
              </w:rPr>
              <w:t xml:space="preserve">Контроль доступа, разграничение прав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02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pacing w:val="2"/>
                <w:sz w:val="24"/>
                <w:szCs w:val="24"/>
              </w:rPr>
              <w:t xml:space="preserve">RBAC, ABAC, MAC, биометрия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02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pacing w:val="2"/>
                <w:sz w:val="24"/>
                <w:szCs w:val="24"/>
              </w:rPr>
              <w:t xml:space="preserve">Потеря данных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02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pacing w:val="2"/>
                <w:sz w:val="24"/>
                <w:szCs w:val="24"/>
              </w:rPr>
              <w:t xml:space="preserve">Резервирование, дублирование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02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pacing w:val="2"/>
                <w:sz w:val="24"/>
                <w:szCs w:val="24"/>
              </w:rPr>
              <w:t xml:space="preserve">RAID, кластеризация, резервные каналы связи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</w:tr>
    </w:tbl>
    <w:p>
      <w:pPr>
        <w:pBdr/>
        <w:spacing w:before="240" w:line="360" w:lineRule="auto"/>
        <w:ind w:right="0" w:firstLine="0" w:left="0"/>
        <w:jc w:val="left"/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  <w:t xml:space="preserve">Аналитическая таблица по выбранным средствам защиты</w:t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</w:rPr>
      </w:r>
    </w:p>
    <w:tbl>
      <w:tblPr>
        <w:tblStyle w:val="747"/>
        <w:tblW w:w="0" w:type="auto"/>
        <w:tblBorders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>
        <w:trPr/>
        <w:tc>
          <w:tcPr>
            <w:tcBorders/>
            <w:tcW w:w="181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4"/>
              </w:rPr>
              <w:t xml:space="preserve">СЗИ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4"/>
              </w:rPr>
              <w:t xml:space="preserve">Класс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4"/>
              </w:rPr>
              <w:t xml:space="preserve">Закрываемые угрозы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4"/>
              </w:rPr>
              <w:t xml:space="preserve">Тип защиты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4"/>
              </w:rPr>
              <w:t xml:space="preserve">Особенности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1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4"/>
              </w:rPr>
              <w:t xml:space="preserve">Fortigate NGFW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Сетевой экран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DDoS, сетевые атаки, вредоносное ПО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Пограничная защита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Фильтрация L3-L7, IPS, антивирус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1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4"/>
              </w:rPr>
              <w:t xml:space="preserve">Kaspersky EDR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Хостовая защита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Вредоносное ПО, компрометация хоста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Защита на эндпоинте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Мониторинг поведения, изоляция хоста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1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4"/>
              </w:rPr>
              <w:t xml:space="preserve">CryptoPro CSP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Криптография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Перехват данных, подделка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Шифрование, ЭЦП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Реализация ГОСТ 28147, ГОСТ Р 34.10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1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4"/>
              </w:rPr>
              <w:t xml:space="preserve">OpenVPN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VPN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Перехват трафика, утечки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Защита канала связи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Туннелирование трафика, шифрование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1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4"/>
              </w:rPr>
              <w:t xml:space="preserve">AIDE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Контроль целостности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Несанкционированные изменения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Аудит на хосте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Проверка целостности файлов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1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4"/>
              </w:rPr>
              <w:t xml:space="preserve">Suricata IDS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Обнаружение атак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Сетевые атаки, эксплуатация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Мониторинг трафика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Правила сигнатур, выявление аномалий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1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4"/>
              </w:rPr>
              <w:t xml:space="preserve">ArcSight SIEM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Управление событиями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Скоординированные атаки, инсайдеры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Централизованное управление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Корреляция событий, длительное хранение логов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pBdr/>
        <w:spacing w:before="240" w:line="360" w:lineRule="auto"/>
        <w:ind/>
        <w:jc w:val="center"/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  <w:t xml:space="preserve">Вывод</w:t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 w:firstLine="708"/>
        <w:jc w:val="both"/>
        <w:rPr/>
      </w:pP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  <w:t xml:space="preserve">Комплексность защиты: Безопасность информации требует многоуровневого подхода, сочетающего организационные и технические средства защиты.</w:t>
      </w: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 w:firstLine="708"/>
        <w:jc w:val="both"/>
        <w:rPr/>
      </w:pP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  <w:t xml:space="preserve">Сопоставление угроз и контролей: Каждой угрозе должны соответствовать адекватные средства защиты на различных уровнях: сетевом, хостовом и приложения.</w:t>
      </w: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 w:firstLine="708"/>
        <w:jc w:val="both"/>
        <w:rPr/>
      </w:pP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  <w:t xml:space="preserve">Классификация СЗИ: Средства защиты делятся по компетенции (сеть, хост, приложение, криптография, управление) и по функции (предотвращение, обнаружение, реагирование, восстановление).</w:t>
      </w: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 w:firstLine="708"/>
        <w:jc w:val="both"/>
        <w:rPr/>
      </w:pP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  <w:t xml:space="preserve">Приоритизация: В условиях ограниченных ресурсов необходимо выделять критичные активы и в первую очередь защищать их наиболее актуальными средствами.</w:t>
      </w: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 w:firstLine="708"/>
        <w:jc w:val="both"/>
        <w:rPr/>
      </w:pP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  <w:t xml:space="preserve">Постоянное совершенствование: Ландшафт угроз постоянно меняется, требуя регулярного аудита и обновления комплекса защиты.</w:t>
      </w: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highlight w:val="none"/>
          <w:shd w:val="clear" w:color="auto" w:fill="ffffff"/>
          <w:lang w:val="ru-RU"/>
        </w:rPr>
      </w:pP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  <w:t xml:space="preserve">Знание принципов связывания угроз с контролями демонстрирует понимание архитектуры защиты и способность строить рациональную систему информационной безопасности.</w:t>
      </w: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color w:val="0f1115"/>
          <w:sz w:val="28"/>
          <w:szCs w:val="28"/>
          <w:highlight w:val="none"/>
          <w:shd w:val="clear" w:color="auto" w:fill="ffffff"/>
          <w:lang w:val="ru-RU"/>
        </w:rPr>
      </w:r>
    </w:p>
    <w:sectPr>
      <w:footnotePr/>
      <w:endnotePr/>
      <w:type w:val="nextPage"/>
      <w:pgSz w:h="16838" w:orient="portrait" w:w="11906"/>
      <w:pgMar w:top="1440" w:right="1460" w:bottom="1440" w:left="1375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204020203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SimSun">
    <w:panose1 w:val="0201060003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251359582"/>
      <w:docPartObj>
        <w:docPartGallery w:val="Page Numbers (Bottom of Page)"/>
        <w:docPartUnique w:val="true"/>
      </w:docPartObj>
      <w:rPr/>
    </w:sdtPr>
    <w:sdtContent>
      <w:p>
        <w:pPr>
          <w:pStyle w:val="939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ru-RU"/>
          </w:rPr>
          <w:t xml:space="preserve">2</w:t>
        </w:r>
        <w:r>
          <w:fldChar w:fldCharType="end"/>
        </w:r>
        <w:r/>
      </w:p>
    </w:sdtContent>
  </w:sdt>
  <w:p>
    <w:pPr>
      <w:pStyle w:val="93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5DBC31F"/>
    <w:lvl w:ilvl="0">
      <w:isLgl w:val="false"/>
      <w:lvlJc w:val="left"/>
      <w:lvlText w:val="%1."/>
      <w:numFmt w:val="decimal"/>
      <w:pPr>
        <w:pBdr/>
        <w:spacing/>
        <w:ind/>
      </w:pPr>
      <w:rPr/>
      <w:start w:val="1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D6B5637A"/>
    <w:lvl w:ilvl="0">
      <w:isLgl w:val="false"/>
      <w:lvlJc w:val="left"/>
      <w:lvlText w:val="%1."/>
      <w:numFmt w:val="decimal"/>
      <w:pPr>
        <w:pBdr/>
        <w:spacing/>
        <w:ind/>
      </w:pPr>
      <w:rPr/>
      <w:start w:val="1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118D779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3">
    <w:nsid w:val="542C5CE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4">
    <w:nsid w:val="1D7D725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5">
    <w:nsid w:val="368265A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6">
    <w:nsid w:val="6AEC3A2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7">
    <w:nsid w:val="2DBD765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8">
    <w:nsid w:val="62871F8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9">
    <w:nsid w:val="63015B5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10">
    <w:nsid w:val="4CE77F8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nsid w:val="539E860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5EE7C43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763F895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0403EDB2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762DA708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1980ECD7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doNotExpandShiftReturn w:val="true"/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7">
    <w:name w:val="Table Grid Light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1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2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1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2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3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4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5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6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1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2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3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4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5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6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1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2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3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4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5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6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2">
    <w:name w:val="Heading 3"/>
    <w:basedOn w:val="925"/>
    <w:next w:val="925"/>
    <w:link w:val="88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3">
    <w:name w:val="Heading 4"/>
    <w:basedOn w:val="925"/>
    <w:next w:val="925"/>
    <w:link w:val="88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4">
    <w:name w:val="Heading 5"/>
    <w:basedOn w:val="925"/>
    <w:next w:val="925"/>
    <w:link w:val="88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5">
    <w:name w:val="Heading 6"/>
    <w:basedOn w:val="925"/>
    <w:next w:val="925"/>
    <w:link w:val="88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6">
    <w:name w:val="Heading 7"/>
    <w:basedOn w:val="925"/>
    <w:next w:val="925"/>
    <w:link w:val="88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7">
    <w:name w:val="Heading 8"/>
    <w:basedOn w:val="925"/>
    <w:next w:val="925"/>
    <w:link w:val="88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8">
    <w:name w:val="Heading 9"/>
    <w:basedOn w:val="925"/>
    <w:next w:val="925"/>
    <w:link w:val="88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9">
    <w:name w:val="Heading 1 Char"/>
    <w:basedOn w:val="928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0">
    <w:name w:val="Heading 2 Char"/>
    <w:basedOn w:val="928"/>
    <w:link w:val="9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1">
    <w:name w:val="Heading 3 Char"/>
    <w:basedOn w:val="928"/>
    <w:link w:val="8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2">
    <w:name w:val="Heading 4 Char"/>
    <w:basedOn w:val="928"/>
    <w:link w:val="87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3">
    <w:name w:val="Heading 5 Char"/>
    <w:basedOn w:val="928"/>
    <w:link w:val="8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4">
    <w:name w:val="Heading 6 Char"/>
    <w:basedOn w:val="928"/>
    <w:link w:val="87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5">
    <w:name w:val="Heading 7 Char"/>
    <w:basedOn w:val="928"/>
    <w:link w:val="87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6">
    <w:name w:val="Heading 8 Char"/>
    <w:basedOn w:val="928"/>
    <w:link w:val="87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7">
    <w:name w:val="Heading 9 Char"/>
    <w:basedOn w:val="928"/>
    <w:link w:val="8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8">
    <w:name w:val="Title"/>
    <w:basedOn w:val="925"/>
    <w:next w:val="925"/>
    <w:link w:val="88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9">
    <w:name w:val="Title Char"/>
    <w:basedOn w:val="928"/>
    <w:link w:val="88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0">
    <w:name w:val="Subtitle"/>
    <w:basedOn w:val="925"/>
    <w:next w:val="925"/>
    <w:link w:val="89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1">
    <w:name w:val="Subtitle Char"/>
    <w:basedOn w:val="928"/>
    <w:link w:val="89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2">
    <w:name w:val="Quote"/>
    <w:basedOn w:val="925"/>
    <w:next w:val="925"/>
    <w:link w:val="89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3">
    <w:name w:val="Quote Char"/>
    <w:basedOn w:val="928"/>
    <w:link w:val="89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4">
    <w:name w:val="List Paragraph"/>
    <w:basedOn w:val="925"/>
    <w:uiPriority w:val="34"/>
    <w:qFormat/>
    <w:pPr>
      <w:pBdr/>
      <w:spacing/>
      <w:ind w:left="720"/>
      <w:contextualSpacing w:val="true"/>
    </w:pPr>
  </w:style>
  <w:style w:type="character" w:styleId="895">
    <w:name w:val="Intense Emphasis"/>
    <w:basedOn w:val="92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6">
    <w:name w:val="Intense Quote"/>
    <w:basedOn w:val="925"/>
    <w:next w:val="925"/>
    <w:link w:val="89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7">
    <w:name w:val="Intense Quote Char"/>
    <w:basedOn w:val="928"/>
    <w:link w:val="89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8">
    <w:name w:val="Intense Reference"/>
    <w:basedOn w:val="92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9">
    <w:name w:val="No Spacing"/>
    <w:basedOn w:val="925"/>
    <w:uiPriority w:val="1"/>
    <w:qFormat/>
    <w:pPr>
      <w:pBdr/>
      <w:spacing w:after="0" w:line="240" w:lineRule="auto"/>
      <w:ind/>
    </w:pPr>
  </w:style>
  <w:style w:type="character" w:styleId="900">
    <w:name w:val="Subtle Emphasis"/>
    <w:basedOn w:val="92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1">
    <w:name w:val="Subtle Reference"/>
    <w:basedOn w:val="92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2">
    <w:name w:val="Book Title"/>
    <w:basedOn w:val="92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03">
    <w:name w:val="Header Char"/>
    <w:basedOn w:val="928"/>
    <w:link w:val="937"/>
    <w:uiPriority w:val="99"/>
    <w:pPr>
      <w:pBdr/>
      <w:spacing/>
      <w:ind/>
    </w:pPr>
  </w:style>
  <w:style w:type="character" w:styleId="904">
    <w:name w:val="Footer Char"/>
    <w:basedOn w:val="928"/>
    <w:link w:val="939"/>
    <w:uiPriority w:val="99"/>
    <w:pPr>
      <w:pBdr/>
      <w:spacing/>
      <w:ind/>
    </w:pPr>
  </w:style>
  <w:style w:type="paragraph" w:styleId="905">
    <w:name w:val="Caption"/>
    <w:basedOn w:val="925"/>
    <w:next w:val="92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6">
    <w:name w:val="footnote text"/>
    <w:basedOn w:val="925"/>
    <w:link w:val="9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7">
    <w:name w:val="Footnote Text Char"/>
    <w:basedOn w:val="928"/>
    <w:link w:val="906"/>
    <w:uiPriority w:val="99"/>
    <w:semiHidden/>
    <w:pPr>
      <w:pBdr/>
      <w:spacing/>
      <w:ind/>
    </w:pPr>
    <w:rPr>
      <w:sz w:val="20"/>
      <w:szCs w:val="20"/>
    </w:rPr>
  </w:style>
  <w:style w:type="character" w:styleId="908">
    <w:name w:val="footnote reference"/>
    <w:basedOn w:val="928"/>
    <w:uiPriority w:val="99"/>
    <w:semiHidden/>
    <w:unhideWhenUsed/>
    <w:pPr>
      <w:pBdr/>
      <w:spacing/>
      <w:ind/>
    </w:pPr>
    <w:rPr>
      <w:vertAlign w:val="superscript"/>
    </w:rPr>
  </w:style>
  <w:style w:type="paragraph" w:styleId="909">
    <w:name w:val="endnote text"/>
    <w:basedOn w:val="925"/>
    <w:link w:val="9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0">
    <w:name w:val="Endnote Text Char"/>
    <w:basedOn w:val="928"/>
    <w:link w:val="909"/>
    <w:uiPriority w:val="99"/>
    <w:semiHidden/>
    <w:pPr>
      <w:pBdr/>
      <w:spacing/>
      <w:ind/>
    </w:pPr>
    <w:rPr>
      <w:sz w:val="20"/>
      <w:szCs w:val="20"/>
    </w:rPr>
  </w:style>
  <w:style w:type="character" w:styleId="911">
    <w:name w:val="endnote reference"/>
    <w:basedOn w:val="928"/>
    <w:uiPriority w:val="99"/>
    <w:semiHidden/>
    <w:unhideWhenUsed/>
    <w:pPr>
      <w:pBdr/>
      <w:spacing/>
      <w:ind/>
    </w:pPr>
    <w:rPr>
      <w:vertAlign w:val="superscript"/>
    </w:rPr>
  </w:style>
  <w:style w:type="character" w:styleId="912">
    <w:name w:val="FollowedHyperlink"/>
    <w:basedOn w:val="92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3">
    <w:name w:val="toc 1"/>
    <w:basedOn w:val="925"/>
    <w:next w:val="925"/>
    <w:uiPriority w:val="39"/>
    <w:unhideWhenUsed/>
    <w:pPr>
      <w:pBdr/>
      <w:spacing w:after="100"/>
      <w:ind/>
    </w:pPr>
  </w:style>
  <w:style w:type="paragraph" w:styleId="914">
    <w:name w:val="toc 2"/>
    <w:basedOn w:val="925"/>
    <w:next w:val="925"/>
    <w:uiPriority w:val="39"/>
    <w:unhideWhenUsed/>
    <w:pPr>
      <w:pBdr/>
      <w:spacing w:after="100"/>
      <w:ind w:left="220"/>
    </w:pPr>
  </w:style>
  <w:style w:type="paragraph" w:styleId="915">
    <w:name w:val="toc 3"/>
    <w:basedOn w:val="925"/>
    <w:next w:val="925"/>
    <w:uiPriority w:val="39"/>
    <w:unhideWhenUsed/>
    <w:pPr>
      <w:pBdr/>
      <w:spacing w:after="100"/>
      <w:ind w:left="440"/>
    </w:pPr>
  </w:style>
  <w:style w:type="paragraph" w:styleId="916">
    <w:name w:val="toc 4"/>
    <w:basedOn w:val="925"/>
    <w:next w:val="925"/>
    <w:uiPriority w:val="39"/>
    <w:unhideWhenUsed/>
    <w:pPr>
      <w:pBdr/>
      <w:spacing w:after="100"/>
      <w:ind w:left="660"/>
    </w:pPr>
  </w:style>
  <w:style w:type="paragraph" w:styleId="917">
    <w:name w:val="toc 5"/>
    <w:basedOn w:val="925"/>
    <w:next w:val="925"/>
    <w:uiPriority w:val="39"/>
    <w:unhideWhenUsed/>
    <w:pPr>
      <w:pBdr/>
      <w:spacing w:after="100"/>
      <w:ind w:left="880"/>
    </w:pPr>
  </w:style>
  <w:style w:type="paragraph" w:styleId="918">
    <w:name w:val="toc 6"/>
    <w:basedOn w:val="925"/>
    <w:next w:val="925"/>
    <w:uiPriority w:val="39"/>
    <w:unhideWhenUsed/>
    <w:pPr>
      <w:pBdr/>
      <w:spacing w:after="100"/>
      <w:ind w:left="1100"/>
    </w:pPr>
  </w:style>
  <w:style w:type="paragraph" w:styleId="919">
    <w:name w:val="toc 7"/>
    <w:basedOn w:val="925"/>
    <w:next w:val="925"/>
    <w:uiPriority w:val="39"/>
    <w:unhideWhenUsed/>
    <w:pPr>
      <w:pBdr/>
      <w:spacing w:after="100"/>
      <w:ind w:left="1320"/>
    </w:pPr>
  </w:style>
  <w:style w:type="paragraph" w:styleId="920">
    <w:name w:val="toc 8"/>
    <w:basedOn w:val="925"/>
    <w:next w:val="925"/>
    <w:uiPriority w:val="39"/>
    <w:unhideWhenUsed/>
    <w:pPr>
      <w:pBdr/>
      <w:spacing w:after="100"/>
      <w:ind w:left="1540"/>
    </w:pPr>
  </w:style>
  <w:style w:type="paragraph" w:styleId="921">
    <w:name w:val="toc 9"/>
    <w:basedOn w:val="925"/>
    <w:next w:val="925"/>
    <w:uiPriority w:val="39"/>
    <w:unhideWhenUsed/>
    <w:pPr>
      <w:pBdr/>
      <w:spacing w:after="100"/>
      <w:ind w:left="1760"/>
    </w:pPr>
  </w:style>
  <w:style w:type="character" w:styleId="922">
    <w:name w:val="Placeholder Text"/>
    <w:basedOn w:val="928"/>
    <w:uiPriority w:val="99"/>
    <w:semiHidden/>
    <w:pPr>
      <w:pBdr/>
      <w:spacing/>
      <w:ind/>
    </w:pPr>
    <w:rPr>
      <w:color w:val="666666"/>
    </w:rPr>
  </w:style>
  <w:style w:type="paragraph" w:styleId="923">
    <w:name w:val="TOC Heading"/>
    <w:uiPriority w:val="39"/>
    <w:unhideWhenUsed/>
    <w:pPr>
      <w:pBdr/>
      <w:spacing/>
      <w:ind/>
    </w:pPr>
  </w:style>
  <w:style w:type="paragraph" w:styleId="924">
    <w:name w:val="table of figures"/>
    <w:basedOn w:val="925"/>
    <w:next w:val="925"/>
    <w:uiPriority w:val="99"/>
    <w:unhideWhenUsed/>
    <w:pPr>
      <w:pBdr/>
      <w:spacing w:after="0" w:afterAutospacing="0"/>
      <w:ind/>
    </w:pPr>
  </w:style>
  <w:style w:type="paragraph" w:styleId="925" w:default="1">
    <w:name w:val="Normal"/>
    <w:qFormat/>
    <w:pPr>
      <w:pBdr/>
      <w:spacing/>
      <w:ind/>
    </w:pPr>
    <w:rPr>
      <w:rFonts w:asciiTheme="minorHAnsi" w:hAnsiTheme="minorHAnsi" w:eastAsiaTheme="minorEastAsia" w:cstheme="minorBidi"/>
      <w:lang w:val="en-US" w:eastAsia="zh-CN"/>
    </w:rPr>
  </w:style>
  <w:style w:type="paragraph" w:styleId="926">
    <w:name w:val="Heading 1"/>
    <w:next w:val="925"/>
    <w:uiPriority w:val="9"/>
    <w:unhideWhenUsed/>
    <w:qFormat/>
    <w:pPr>
      <w:keepNext w:val="true"/>
      <w:keepLines w:val="true"/>
      <w:pBdr/>
      <w:spacing w:after="74" w:line="259" w:lineRule="auto"/>
      <w:ind w:right="65" w:hanging="10" w:left="10"/>
      <w:jc w:val="center"/>
      <w:outlineLvl w:val="0"/>
    </w:pPr>
    <w:rPr>
      <w:rFonts w:eastAsia="Times New Roman"/>
      <w:b/>
      <w:color w:val="000000"/>
      <w:sz w:val="28"/>
      <w:szCs w:val="22"/>
    </w:rPr>
  </w:style>
  <w:style w:type="paragraph" w:styleId="927">
    <w:name w:val="Heading 2"/>
    <w:basedOn w:val="925"/>
    <w:next w:val="925"/>
    <w:link w:val="941"/>
    <w:semiHidden/>
    <w:unhideWhenUsed/>
    <w:qFormat/>
    <w:pPr>
      <w:keepNext w:val="true"/>
      <w:keepLines w:val="true"/>
      <w:pBdr/>
      <w:spacing w:before="40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928" w:default="1">
    <w:name w:val="Default Paragraph Font"/>
    <w:uiPriority w:val="1"/>
    <w:semiHidden/>
    <w:unhideWhenUsed/>
    <w:pPr>
      <w:pBdr/>
      <w:spacing/>
      <w:ind/>
    </w:pPr>
  </w:style>
  <w:style w:type="table" w:styleId="92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0" w:default="1">
    <w:name w:val="No List"/>
    <w:uiPriority w:val="99"/>
    <w:semiHidden/>
    <w:unhideWhenUsed/>
    <w:pPr>
      <w:pBdr/>
      <w:spacing/>
      <w:ind/>
    </w:pPr>
  </w:style>
  <w:style w:type="character" w:styleId="931">
    <w:name w:val="Emphasis"/>
    <w:basedOn w:val="928"/>
    <w:qFormat/>
    <w:pPr>
      <w:pBdr/>
      <w:spacing/>
      <w:ind/>
    </w:pPr>
    <w:rPr>
      <w:i/>
      <w:iCs/>
    </w:rPr>
  </w:style>
  <w:style w:type="character" w:styleId="932">
    <w:name w:val="Hyperlink"/>
    <w:basedOn w:val="928"/>
    <w:pPr>
      <w:pBdr/>
      <w:spacing/>
      <w:ind/>
    </w:pPr>
    <w:rPr>
      <w:color w:val="0000ff"/>
      <w:u w:val="single"/>
    </w:rPr>
  </w:style>
  <w:style w:type="character" w:styleId="933">
    <w:name w:val="Strong"/>
    <w:basedOn w:val="928"/>
    <w:qFormat/>
    <w:pPr>
      <w:pBdr/>
      <w:spacing/>
      <w:ind/>
    </w:pPr>
    <w:rPr>
      <w:b/>
      <w:bCs/>
    </w:rPr>
  </w:style>
  <w:style w:type="paragraph" w:styleId="934">
    <w:name w:val="Normal (Web)"/>
    <w:basedOn w:val="925"/>
    <w:pPr>
      <w:pBdr/>
      <w:spacing/>
      <w:ind/>
    </w:pPr>
    <w:rPr>
      <w:sz w:val="24"/>
      <w:szCs w:val="24"/>
    </w:rPr>
  </w:style>
  <w:style w:type="table" w:styleId="935">
    <w:name w:val="Table Grid"/>
    <w:basedOn w:val="929"/>
    <w:pPr>
      <w:widowControl w:val="false"/>
      <w:pBdr/>
      <w:spacing/>
      <w:ind/>
      <w:jc w:val="both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Table Grid"/>
    <w:qFormat/>
    <w:pPr>
      <w:pBdr/>
      <w:spacing/>
      <w:ind/>
    </w:pPr>
    <w:rPr>
      <w:rFonts w:eastAsiaTheme="minorEastAsia"/>
    </w:r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7">
    <w:name w:val="Header"/>
    <w:basedOn w:val="925"/>
    <w:link w:val="938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38" w:customStyle="1">
    <w:name w:val="Верхний колонтитул Знак"/>
    <w:basedOn w:val="928"/>
    <w:link w:val="937"/>
    <w:pPr>
      <w:pBdr/>
      <w:spacing/>
      <w:ind/>
    </w:pPr>
    <w:rPr>
      <w:rFonts w:asciiTheme="minorHAnsi" w:hAnsiTheme="minorHAnsi" w:eastAsiaTheme="minorEastAsia" w:cstheme="minorBidi"/>
      <w:lang w:val="en-US" w:eastAsia="zh-CN"/>
    </w:rPr>
  </w:style>
  <w:style w:type="paragraph" w:styleId="939">
    <w:name w:val="Footer"/>
    <w:basedOn w:val="925"/>
    <w:link w:val="940"/>
    <w:uiPriority w:val="99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40" w:customStyle="1">
    <w:name w:val="Нижний колонтитул Знак"/>
    <w:basedOn w:val="928"/>
    <w:link w:val="939"/>
    <w:uiPriority w:val="99"/>
    <w:pPr>
      <w:pBdr/>
      <w:spacing/>
      <w:ind/>
    </w:pPr>
    <w:rPr>
      <w:rFonts w:asciiTheme="minorHAnsi" w:hAnsiTheme="minorHAnsi" w:eastAsiaTheme="minorEastAsia" w:cstheme="minorBidi"/>
      <w:lang w:val="en-US" w:eastAsia="zh-CN"/>
    </w:rPr>
  </w:style>
  <w:style w:type="character" w:styleId="941" w:customStyle="1">
    <w:name w:val="Заголовок 2 Знак"/>
    <w:basedOn w:val="928"/>
    <w:link w:val="927"/>
    <w:semiHidden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  <w:lang w:val="en-US" w:eastAsia="zh-C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revision>14</cp:revision>
  <dcterms:created xsi:type="dcterms:W3CDTF">2025-11-22T09:52:00Z</dcterms:created>
  <dcterms:modified xsi:type="dcterms:W3CDTF">2025-12-11T19:38:02Z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E4FB51337D3E46BAA0F4584C276FAC93_12</vt:lpwstr>
  </property>
</Properties>
</file>