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113155" cy="1113155"/>
                <wp:effectExtent l="0" t="0" r="10795" b="10795"/>
                <wp:docPr id="1" name="Рисунок 2" descr="МИРЭА — Российский технологический университет — Википеди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4147856" name="Рисунок 2" descr="МИРЭА — Российский технологический университет — Википедия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127308" cy="1127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87.65pt;height:87.65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lang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  <w:t xml:space="preserve">высшего образования</w:t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 w:after="120"/>
        <w:ind w:firstLine="709"/>
        <w:jc w:val="center"/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val="ru-RU" w:eastAsia="en-US"/>
        </w:rPr>
        <w:t xml:space="preserve">«МИРЭА – Российский технологический университет»</w:t>
      </w: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  <w:t xml:space="preserve">РТУ МИРЭА</w:t>
      </w: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r>
    </w:p>
    <w:tbl>
      <w:tblPr>
        <w:tblStyle w:val="737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>
          <w:trHeight w:val="283"/>
        </w:trPr>
        <w:tc>
          <w:tcPr>
            <w:tcBorders>
              <w:top w:val="none" w:color="000000" w:sz="4" w:space="0"/>
              <w:left w:val="none" w:color="000000" w:sz="4" w:space="0"/>
              <w:bottom w:val="single" w:color="auto" w:sz="12" w:space="0"/>
              <w:right w:val="none" w:color="000000" w:sz="4" w:space="0"/>
            </w:tcBorders>
            <w:tcW w:w="9355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 w:eastAsia="ru-RU"/>
              </w:rPr>
            </w:r>
          </w:p>
        </w:tc>
      </w:tr>
    </w:tbl>
    <w:p>
      <w:pPr>
        <w:pBdr/>
        <w:shd w:val="clear" w:color="auto" w:fill="ffffff"/>
        <w:spacing w:line="360" w:lineRule="auto"/>
        <w:ind w:firstLine="709"/>
        <w:jc w:val="center"/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  <w:t xml:space="preserve">Институт кибербезопасности и цифровых технологий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r>
    </w:p>
    <w:p>
      <w:pPr>
        <w:pBdr/>
        <w:shd w:val="clear" w:color="auto" w:fill="ffffff"/>
        <w:spacing w:line="360" w:lineRule="auto"/>
        <w:ind w:firstLine="709"/>
        <w:jc w:val="center"/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  <w:t xml:space="preserve">Кафедра КБ-4 «Интеллектуальные системы информационной безопасности»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</w:p>
    <w:p>
      <w:pPr>
        <w:pBdr/>
        <w:shd w:val="clear" w:color="auto" w:fill="ffffff"/>
        <w:spacing w:line="360" w:lineRule="auto"/>
        <w:ind w:right="0" w:firstLine="709" w:left="0"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Практическая работа №</w:t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3.1</w:t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</w:p>
    <w:p>
      <w:pPr>
        <w:pBdr/>
        <w:spacing w:after="1540" w:line="261" w:lineRule="auto"/>
        <w:ind w:hanging="580" w:left="1440"/>
        <w:jc w:val="center"/>
        <w:rPr>
          <w:lang w:val="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по дисциплине </w:t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  <w:t xml:space="preserve">«Технологии </w:t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-RU" w:bidi="ar"/>
        </w:rPr>
        <w:t xml:space="preserve">обеспечения информационной безопасности</w:t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  <w:t xml:space="preserve">»</w:t>
      </w:r>
      <w:r>
        <w:rPr>
          <w:lang w:val="ru"/>
        </w:rPr>
      </w:r>
    </w:p>
    <w:p>
      <w:pPr>
        <w:pBdr/>
        <w:shd w:val="clear" w:color="auto" w:fill="ffffff"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</w:p>
    <w:tbl>
      <w:tblPr>
        <w:tblStyle w:val="73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pPr w:horzAnchor="margin" w:tblpXSpec="center" w:vertAnchor="text" w:tblpY="116" w:leftFromText="180" w:topFromText="0" w:rightFromText="180" w:bottomFromText="0"/>
        <w:tblLook w:val="04A0" w:firstRow="1" w:lastRow="0" w:firstColumn="1" w:lastColumn="0" w:noHBand="0" w:noVBand="1"/>
      </w:tblPr>
      <w:tblGrid>
        <w:gridCol w:w="4672"/>
        <w:gridCol w:w="4672"/>
      </w:tblGrid>
      <w:tr>
        <w:trPr/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Выполнил студент группы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Б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БМО</w:t>
            </w: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-01-2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Проверил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Мухаметшин Александр Ринатович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tabs>
                <w:tab w:val="left" w:leader="none" w:pos="1723"/>
              </w:tabs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tabs>
                <w:tab w:val="left" w:leader="none" w:pos="1723"/>
              </w:tabs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tabs>
                <w:tab w:val="left" w:leader="none" w:pos="1723"/>
              </w:tabs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Здольник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Владиимир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 Вячеславович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</w:tr>
      <w:tr>
        <w:trPr/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</w:tr>
      <w:tr>
        <w:trPr/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</w:tr>
    </w:tbl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Москва 2025</w:t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</w:p>
    <w:p>
      <w:pPr>
        <w:pBdr/>
        <w:spacing w:after="281"/>
        <w:ind w:right="179" w:hanging="10" w:left="187"/>
        <w:jc w:val="center"/>
        <w:rPr>
          <w:rFonts w:ascii="Times New Roman" w:hAnsi="Times New Roman" w:eastAsia="Times New Roman" w:cs="Times New Roman"/>
          <w:sz w:val="28"/>
          <w:lang w:val="ru-RU"/>
        </w:rPr>
        <w:sectPr>
          <w:footerReference w:type="default" r:id="rId9"/>
          <w:footnotePr/>
          <w:endnotePr/>
          <w:type w:val="nextPage"/>
          <w:pgSz w:h="16838" w:orient="portrait" w:w="11906"/>
          <w:pgMar w:top="1134" w:right="794" w:bottom="1134" w:left="1702" w:header="720" w:footer="720" w:gutter="0"/>
          <w:pgNumType w:start="1"/>
          <w:cols w:num="1" w:sep="0" w:space="720" w:equalWidth="1"/>
          <w:titlePg/>
        </w:sectPr>
      </w:pPr>
      <w:r>
        <w:rPr>
          <w:rFonts w:ascii="Times New Roman" w:hAnsi="Times New Roman" w:eastAsia="Times New Roman" w:cs="Times New Roman"/>
          <w:sz w:val="28"/>
          <w:lang w:val="ru-RU"/>
        </w:rPr>
      </w:r>
      <w:r>
        <w:rPr>
          <w:rFonts w:ascii="Times New Roman" w:hAnsi="Times New Roman" w:eastAsia="Times New Roman" w:cs="Times New Roman"/>
          <w:sz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Анализ запущенных служб и сетевых портов в ОС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Windows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netstat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an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показать все подключения и порты, ожидающие подключений.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не преобразовывать адреса и порты в имена (показать в числовом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формате для скорости).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Команда </w:t>
      </w:r>
      <w:r>
        <w:rPr>
          <w:rFonts w:ascii="Times New Roman" w:hAnsi="Times New Roman" w:cs="Times New Roman"/>
          <w:sz w:val="28"/>
          <w:szCs w:val="28"/>
        </w:rPr>
        <w:t xml:space="preserve">netstat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представлена на рисунке 1.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464939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16142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274309" cy="46493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5.30pt;height:366.0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1 - </w:t>
      </w:r>
      <w:r>
        <w:rPr>
          <w:rFonts w:ascii="Times New Roman" w:hAnsi="Times New Roman" w:cs="Times New Roman"/>
          <w:sz w:val="28"/>
          <w:szCs w:val="28"/>
        </w:rPr>
        <w:t xml:space="preserve">netstat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a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1 -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Протоколы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TCP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tbl>
      <w:tblPr>
        <w:tblStyle w:val="737"/>
        <w:tblW w:w="0" w:type="auto"/>
        <w:tblBorders/>
        <w:tblLook w:val="04A0" w:firstRow="1" w:lastRow="0" w:firstColumn="1" w:lastColumn="0" w:noHBand="0" w:noVBand="1"/>
      </w:tblPr>
      <w:tblGrid>
        <w:gridCol w:w="2755"/>
        <w:gridCol w:w="2708"/>
        <w:gridCol w:w="2833"/>
      </w:tblGrid>
      <w:tr>
        <w:trPr/>
        <w:tc>
          <w:tcPr>
            <w:tcBorders/>
            <w:tcW w:w="284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Протокол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8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Порт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8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Назначение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84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735"/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HTTP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8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80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8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Веб-браузинг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 (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незашифрованный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84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735"/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HTTPS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8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443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8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Защищенный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 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веб-браузинг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 (HTTP over SSL/TLS)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84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735"/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FTP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8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20, 21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8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Передача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 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файлов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84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735"/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SSH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8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22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8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Безопасное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 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удаленное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 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управление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84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735"/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Telnet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8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23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8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Терминальное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 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удаленное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 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управление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 (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небезопасное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84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735"/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SMTP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8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25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8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Отправка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 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электронной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 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почты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84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735"/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POP3/IMAP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8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110/143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8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val="ru-RU" w:bidi="ar"/>
              </w:rPr>
              <w:t xml:space="preserve">Получение электронной почты с сервера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284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735"/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DNS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8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53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8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Style w:val="733"/>
                <w:rFonts w:ascii="Times New Roman" w:hAnsi="Times New Roman" w:eastAsia="Segoe UI" w:cs="Times New Roman"/>
                <w:i w:val="0"/>
                <w:iCs w:val="0"/>
                <w:color w:val="0f1115"/>
                <w:sz w:val="28"/>
                <w:szCs w:val="28"/>
                <w:lang w:val="ru-RU" w:bidi="ar"/>
              </w:rPr>
              <w:t xml:space="preserve">Иногда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 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val="ru-RU" w:bidi="ar"/>
              </w:rPr>
              <w:t xml:space="preserve">используется для передачи больших зон и запросов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</w:tr>
    </w:tbl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2 -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Протоколы </w:t>
      </w:r>
      <w:r>
        <w:rPr>
          <w:rFonts w:ascii="Times New Roman" w:hAnsi="Times New Roman" w:cs="Times New Roman"/>
          <w:sz w:val="28"/>
          <w:szCs w:val="28"/>
        </w:rPr>
        <w:t xml:space="preserve">UDP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tbl>
      <w:tblPr>
        <w:tblStyle w:val="737"/>
        <w:tblW w:w="0" w:type="auto"/>
        <w:tblBorders/>
        <w:tblLook w:val="04A0" w:firstRow="1" w:lastRow="0" w:firstColumn="1" w:lastColumn="0" w:noHBand="0" w:noVBand="1"/>
      </w:tblPr>
      <w:tblGrid>
        <w:gridCol w:w="2782"/>
        <w:gridCol w:w="2705"/>
        <w:gridCol w:w="2809"/>
      </w:tblGrid>
      <w:tr>
        <w:trPr/>
        <w:tc>
          <w:tcPr>
            <w:tcBorders/>
            <w:tcW w:w="284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Протокол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8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Порт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8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Назначение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284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Style w:val="735"/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DNS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8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53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8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Style w:val="733"/>
                <w:rFonts w:ascii="Times New Roman" w:hAnsi="Times New Roman" w:eastAsia="Segoe UI" w:cs="Times New Roman"/>
                <w:i w:val="0"/>
                <w:iCs w:val="0"/>
                <w:color w:val="0f1115"/>
                <w:sz w:val="28"/>
                <w:szCs w:val="28"/>
                <w:lang w:val="ru-RU" w:bidi="ar"/>
              </w:rPr>
              <w:t xml:space="preserve">В основном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 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val="ru-RU" w:bidi="ar"/>
              </w:rPr>
              <w:t xml:space="preserve">для простых запросов (преобразование имени сайта в 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IP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val="ru-RU" w:bidi="ar"/>
              </w:rPr>
              <w:t xml:space="preserve">)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284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Style w:val="735"/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DHCP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8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67, 68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8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val="ru-RU" w:bidi="ar"/>
              </w:rPr>
              <w:t xml:space="preserve">Автоматическое получение 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IP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val="ru-RU" w:bidi="ar"/>
              </w:rPr>
              <w:t xml:space="preserve">-адреса устройством в сети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284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Style w:val="735"/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VoIP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 (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например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, SIP)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8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5060/5061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8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Голосовая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 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связь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 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через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 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интернет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284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Style w:val="735"/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Видеостриминг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8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Разные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8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val="ru-RU" w:bidi="ar"/>
              </w:rPr>
              <w:t xml:space="preserve">Онлайн-видео, видеоконференции (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Zoom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val="ru-RU" w:bidi="ar"/>
              </w:rPr>
              <w:t xml:space="preserve">, 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Skype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val="ru-RU" w:bidi="ar"/>
              </w:rPr>
              <w:t xml:space="preserve">)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284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Style w:val="735"/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SNMP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8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161, 162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8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val="ru-RU" w:bidi="ar"/>
              </w:rPr>
              <w:t xml:space="preserve">Управление сетевыми устройствами (маршрутизаторы, коммутаторы)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284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Style w:val="735"/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QUIC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8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443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8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val="ru-RU" w:bidi="ar"/>
              </w:rPr>
              <w:t xml:space="preserve">Новый транспортный протокол поверх 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UDP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val="ru-RU" w:bidi="ar"/>
              </w:rPr>
              <w:t xml:space="preserve">, используемый в 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HTTP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val="ru-RU" w:bidi="ar"/>
              </w:rPr>
              <w:t xml:space="preserve">/3 для ускорения веба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284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Style w:val="735"/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NTP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8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123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Borders/>
            <w:tcW w:w="28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line="375" w:lineRule="atLeast"/>
              <w:ind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Синхронизация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 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  <w:t xml:space="preserve">времени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</w:tc>
      </w:tr>
    </w:tbl>
    <w:p>
      <w:pPr>
        <w:pStyle w:val="736"/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735"/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LISTEN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</w:rPr>
        <w:t xml:space="preserve"> 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Сервер ожидает входящих запросов на установление соединения от любого клиента.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736"/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735"/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SYN</w:t>
      </w:r>
      <w:r>
        <w:rPr>
          <w:rStyle w:val="735"/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-</w:t>
      </w:r>
      <w:r>
        <w:rPr>
          <w:rStyle w:val="735"/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SENT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 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Клиент отправил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SYN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-пакет для начала установления соединения и ожидает ответа от сервера.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736"/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735"/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SYN</w:t>
      </w:r>
      <w:r>
        <w:rPr>
          <w:rStyle w:val="735"/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-</w:t>
      </w:r>
      <w:r>
        <w:rPr>
          <w:rStyle w:val="735"/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RECEIVED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 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Сервер получил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SYN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-пакет от клиента, отправил в ответ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SYN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-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ACK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 и ожидает подтверждения (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ACK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).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736"/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735"/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ESTABLISHED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 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Соединение установлено. Происходит обычный двусторонний обмен данными. Это состояние для активной передачи данных.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736"/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735"/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FIN</w:t>
      </w:r>
      <w:r>
        <w:rPr>
          <w:rStyle w:val="735"/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-</w:t>
      </w:r>
      <w:r>
        <w:rPr>
          <w:rStyle w:val="735"/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WAIT</w:t>
      </w:r>
      <w:r>
        <w:rPr>
          <w:rStyle w:val="735"/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-1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 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Одна из сторон (например, клиент) отправила пакет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FIN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 для закрытия соединения и ожидает ответного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FIN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 от другой стороны.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736"/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735"/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FIN</w:t>
      </w:r>
      <w:r>
        <w:rPr>
          <w:rStyle w:val="735"/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-</w:t>
      </w:r>
      <w:r>
        <w:rPr>
          <w:rStyle w:val="735"/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WAIT</w:t>
      </w:r>
      <w:r>
        <w:rPr>
          <w:rStyle w:val="735"/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-2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 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Эта сторона получила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ACK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 на свой пакет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FIN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 и теперь ожидает получения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FIN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 от другой стороны.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736"/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735"/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CLOSE</w:t>
      </w:r>
      <w:r>
        <w:rPr>
          <w:rStyle w:val="735"/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-</w:t>
      </w:r>
      <w:r>
        <w:rPr>
          <w:rStyle w:val="735"/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WAIT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 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Сторона получила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FIN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 от другой стороны и ожидает, когда приложение завершит работу и закроет соединение со своей стороны.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736"/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735"/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TIME</w:t>
      </w:r>
      <w:r>
        <w:rPr>
          <w:rStyle w:val="735"/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-</w:t>
      </w:r>
      <w:r>
        <w:rPr>
          <w:rStyle w:val="735"/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WAIT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 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Сторона, которая первой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initiated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 закрытие, ожидает в этом состоянии некоторое время, чтобы гарантировать, что все пакеты "умерли" в сети. Это предотвращает путаницу с пакетами от новых соединений.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736"/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735"/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LAST</w:t>
      </w:r>
      <w:r>
        <w:rPr>
          <w:rStyle w:val="735"/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-</w:t>
      </w:r>
      <w:r>
        <w:rPr>
          <w:rStyle w:val="735"/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ACK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 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Сторона, находившаяся в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CLOSE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-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WAIT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, отправила свой собственный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FIN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 и ожидает последний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ACK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 перед окончательным закрытием.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736"/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735"/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CLOSED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</w:rPr>
        <w:t xml:space="preserve"> 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Соединение полностью закрыто, и ресурсы освобождены.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Autospacing="1" w:before="90"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 w:clear="all"/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2 представлена команда </w:t>
      </w:r>
      <w:r>
        <w:rPr>
          <w:rFonts w:ascii="Times New Roman" w:hAnsi="Times New Roman" w:cs="Times New Roman"/>
          <w:sz w:val="28"/>
          <w:szCs w:val="28"/>
        </w:rPr>
        <w:t xml:space="preserve">netstat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bn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46350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87503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274309" cy="4634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5.30pt;height:364.9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2 - </w:t>
      </w:r>
      <w:r>
        <w:rPr>
          <w:rFonts w:ascii="Times New Roman" w:hAnsi="Times New Roman" w:cs="Times New Roman"/>
          <w:sz w:val="28"/>
          <w:szCs w:val="28"/>
        </w:rPr>
        <w:t xml:space="preserve">netstat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bn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Использование графической утилиты "Монитор ресурсов" (Resource Monitor)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3 представлен скриншот процессов, которые используют сеть.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401084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17954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274309" cy="40108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5.30pt;height:315.8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/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3 - процессы сетевой активности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Сильно используют: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numPr>
          <w:ilvl w:val="0"/>
          <w:numId w:val="1"/>
        </w:num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Браузер (browser.exe) - самый активный, скачивает и отправляет данные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numPr>
          <w:ilvl w:val="0"/>
          <w:numId w:val="1"/>
        </w:num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Системные службы Windows (svchost.exe) - работают в фоне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numPr>
          <w:ilvl w:val="0"/>
          <w:numId w:val="1"/>
        </w:num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Сама система Windows (System) - базовая сетевая активность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Анализ запущенных служб и сетевых портов в ОС Linux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Команда </w:t>
      </w:r>
      <w:r>
        <w:rPr>
          <w:rFonts w:ascii="Times New Roman" w:hAnsi="Times New Roman" w:cs="Times New Roman"/>
          <w:sz w:val="28"/>
          <w:szCs w:val="28"/>
        </w:rPr>
        <w:t xml:space="preserve">netstat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tulpn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представлена на рисунке 4.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72462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65858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274309" cy="7246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5.30pt;height:57.0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4 - </w:t>
      </w:r>
      <w:r>
        <w:rPr>
          <w:rFonts w:ascii="Times New Roman" w:hAnsi="Times New Roman" w:cs="Times New Roman"/>
          <w:sz w:val="28"/>
          <w:szCs w:val="28"/>
        </w:rPr>
        <w:t xml:space="preserve">netstat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tulpn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Команда </w:t>
      </w:r>
      <w:r>
        <w:rPr>
          <w:rFonts w:ascii="Times New Roman" w:hAnsi="Times New Roman" w:cs="Times New Roman"/>
          <w:sz w:val="28"/>
          <w:szCs w:val="28"/>
        </w:rPr>
        <w:t xml:space="preserve">ss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tulpn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представлена на рисунке 5.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53760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73865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274309" cy="5376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15.30pt;height:42.3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5 - </w:t>
      </w:r>
      <w:r>
        <w:rPr>
          <w:rFonts w:ascii="Times New Roman" w:hAnsi="Times New Roman" w:cs="Times New Roman"/>
          <w:sz w:val="28"/>
          <w:szCs w:val="28"/>
        </w:rPr>
        <w:t xml:space="preserve">ss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tulpn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735"/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SS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 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- лучше показывает детали (номера файловых дескрипторов, больше информации об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IPv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6)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br/>
      </w:r>
      <w:r>
        <w:rPr>
          <w:rStyle w:val="735"/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Netstat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 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- проще и компактнее для быстрого просмотра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Использование утилиты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nmap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для локального сканирования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портов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Команда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nmap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sT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-O 127.0.0.1 представлена на рисунке 6.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161847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16236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274309" cy="16184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15.30pt;height:127.44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</w:t>
      </w:r>
      <w:r>
        <w:rPr>
          <w:rFonts w:ascii="Times New Roman" w:hAnsi="Times New Roman" w:cs="Times New Roman"/>
          <w:sz w:val="28"/>
          <w:szCs w:val="28"/>
        </w:rPr>
        <w:t xml:space="preserve"> 5 - </w:t>
      </w:r>
      <w:r>
        <w:rPr>
          <w:rFonts w:ascii="Times New Roman" w:hAnsi="Times New Roman" w:cs="Times New Roman"/>
          <w:sz w:val="28"/>
          <w:szCs w:val="28"/>
        </w:rPr>
        <w:t xml:space="preserve">ss -</w:t>
      </w:r>
      <w:r>
        <w:rPr>
          <w:rFonts w:ascii="Times New Roman" w:hAnsi="Times New Roman" w:cs="Times New Roman"/>
          <w:sz w:val="28"/>
          <w:szCs w:val="28"/>
        </w:rPr>
        <w:t xml:space="preserve">tulpn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Доп. информация: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/>
        <w:ind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ОС: Linux 5.0 - 6.2 (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Kali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 Linux)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/>
        <w:ind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/>
        <w:ind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Хост: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localhost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 (127.0.0.1)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/>
        <w:ind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/>
        <w:ind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en-US"/>
        </w:rPr>
        <w:t xml:space="preserve">1000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 портов: закрыты или отфильтрованы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/>
        <w:ind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/>
        <w:ind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Сканирование заняло: 1.5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en-US"/>
        </w:rPr>
        <w:t xml:space="preserve">6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 секунды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/>
        <w:ind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/>
        <w:ind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На рисунке 6 представлен просмотр всех активных служб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40273" cy="2281167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93597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6040272" cy="22811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75.61pt;height:179.6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6 - все активные службы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Изучение уязвимости CVE-2025-54472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tbl>
      <w:tblPr>
        <w:tblStyle w:val="737"/>
        <w:tblW w:w="0" w:type="auto"/>
        <w:tblBorders/>
        <w:tblLook w:val="04A0" w:firstRow="1" w:lastRow="0" w:firstColumn="1" w:lastColumn="0" w:noHBand="0" w:noVBand="1"/>
      </w:tblPr>
      <w:tblGrid>
        <w:gridCol w:w="3911"/>
        <w:gridCol w:w="4385"/>
      </w:tblGrid>
      <w:tr>
        <w:trPr/>
        <w:tc>
          <w:tcPr>
            <w:tcBorders/>
            <w:tcW w:w="426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Поле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</w:r>
          </w:p>
        </w:tc>
        <w:tc>
          <w:tcPr>
            <w:tcBorders/>
            <w:tcW w:w="426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Значение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</w:r>
          </w:p>
        </w:tc>
      </w:tr>
      <w:tr>
        <w:trPr/>
        <w:tc>
          <w:tcPr>
            <w:tcBorders/>
            <w:tcW w:w="426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Идентификатор уязвимости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</w:r>
          </w:p>
        </w:tc>
        <w:tc>
          <w:tcPr>
            <w:tcBorders/>
            <w:tcW w:w="426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CVE-2025-54472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</w:r>
          </w:p>
        </w:tc>
      </w:tr>
      <w:tr>
        <w:trPr/>
        <w:tc>
          <w:tcPr>
            <w:tcBorders/>
            <w:tcW w:w="426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Краткое описание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</w:r>
          </w:p>
        </w:tc>
        <w:tc>
          <w:tcPr>
            <w:tcBorders/>
            <w:tcW w:w="426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Неограниченное выделение памяти в парсере протокола 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Redis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 в Apache 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bRPC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 (все версии до 1.14.1) на всех платформах позволяет злоумышленникам выводить из строя сервис через сеть. Основная причина: в коде парсера протокола 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Redis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 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bRPC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 память для массивов или строк соответствующего размера выделяется на основе целого числа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</w:r>
          </w:p>
        </w:tc>
      </w:tr>
      <w:tr>
        <w:trPr/>
        <w:tc>
          <w:tcPr>
            <w:tcBorders/>
            <w:tcW w:w="426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Уровень опасности по 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</w:rPr>
              <w:t xml:space="preserve">CVSS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</w:r>
          </w:p>
        </w:tc>
        <w:tc>
          <w:tcPr>
            <w:tcBorders/>
            <w:tcW w:w="426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Высокий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</w:r>
          </w:p>
        </w:tc>
      </w:tr>
      <w:tr>
        <w:trPr/>
        <w:tc>
          <w:tcPr>
            <w:tcBorders/>
            <w:tcW w:w="426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Базовый балл 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</w:rPr>
              <w:t xml:space="preserve">CVSS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</w:rPr>
            </w:r>
          </w:p>
        </w:tc>
        <w:tc>
          <w:tcPr>
            <w:tcBorders/>
            <w:tcW w:w="426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Высокий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</w:r>
          </w:p>
        </w:tc>
      </w:tr>
      <w:tr>
        <w:trPr/>
        <w:tc>
          <w:tcPr>
            <w:tcBorders/>
            <w:tcW w:w="426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vertAlign w:val="subscript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vertAlign w:val="subscript"/>
                <w:lang w:val="ru-RU"/>
              </w:rPr>
              <w:t xml:space="preserve">Версия ПО, на которые воздействуют уязвимость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vertAlign w:val="subscript"/>
                <w:lang w:val="ru-RU"/>
              </w:rPr>
            </w:r>
          </w:p>
        </w:tc>
        <w:tc>
          <w:tcPr>
            <w:tcBorders/>
            <w:tcW w:w="426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все версии до 1.14.1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</w:r>
          </w:p>
        </w:tc>
      </w:tr>
      <w:tr>
        <w:trPr/>
        <w:tc>
          <w:tcPr>
            <w:tcBorders/>
            <w:tcW w:w="426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Ссылки на доп. 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информациию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</w:r>
          </w:p>
        </w:tc>
        <w:tc>
          <w:tcPr>
            <w:tcBorders/>
            <w:tcW w:w="426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https://nvd.nist.gov/vuln/detail/CVE-2025-54472</w:t>
            </w:r>
            <w:r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</w:r>
          </w:p>
        </w:tc>
      </w:tr>
    </w:tbl>
    <w:p>
      <w:pPr>
        <w:pBdr/>
        <w:spacing/>
        <w:ind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numPr>
          <w:ilvl w:val="0"/>
          <w:numId w:val="2"/>
        </w:numPr>
        <w:pBdr/>
        <w:spacing w:line="360" w:lineRule="auto"/>
        <w:ind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На странице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 выбранной вами CVE найдите раздел "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Weakness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Enumeration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 (CWE)". Что это за тип слабости (например, CWE-787: Out-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ofbounds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Write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)?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</w:rPr>
        <w:t xml:space="preserve">CWE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  <w:t xml:space="preserve">-400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 -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Неконтролируемое потребление ресурсов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</w:rPr>
        <w:t xml:space="preserve">CWE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  <w:t xml:space="preserve">-190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 -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Целочисленное переполнение или обтекание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numPr>
          <w:ilvl w:val="0"/>
          <w:numId w:val="2"/>
        </w:numPr>
        <w:pBdr/>
        <w:spacing w:line="360" w:lineRule="auto"/>
        <w:ind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 Найдите раздел "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References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". Есть ли там ссылки на эксплойты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(например, на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Exploit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-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DB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) или на бюллетени безопасности производителя?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Есть ссылка на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lists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.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apache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,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где описывается эта проблема, и на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openwall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.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numPr>
          <w:ilvl w:val="0"/>
          <w:numId w:val="2"/>
        </w:numPr>
        <w:pBdr/>
        <w:spacing w:line="360" w:lineRule="auto"/>
        <w:ind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Краткие рекомендации для системного администратора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</w:r>
    </w:p>
    <w:p>
      <w:pPr>
        <w:pBdr/>
        <w:spacing w:line="360" w:lineRule="auto"/>
        <w:ind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ab/>
        <w:t xml:space="preserve">А) Обновление ПО;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ab/>
        <w:t xml:space="preserve">Б) Проверить версию ПО,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убедииться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, что она не попадает под угрозу;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ab/>
        <w:t xml:space="preserve">В) Ограничить доступ, настроить сетевые правила доступа к уязвимому сервису;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ab/>
        <w:t xml:space="preserve">Г) Мониторить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логи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, выявлять подозрительную активность.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  <w:t xml:space="preserve">Вывод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  <w:t xml:space="preserve">Работа показала важность комплексного подхода к сетевой безопасности - от мониторинга текущей активности до </w:t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  <w:t xml:space="preserve">проактивного</w:t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  <w:t xml:space="preserve"> поиска уязвимостей. Полученные навыки позволяют эффективно анализировать сетевую инфраструктуру и оперативно реагировать на угрозы.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sectPr>
      <w:footnotePr/>
      <w:endnotePr/>
      <w:type w:val="nextPage"/>
      <w:pgSz w:h="16838" w:orient="portrait" w:w="11906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</w:font>
  <w:font w:name="Arial">
    <w:panose1 w:val="020B0604020202020204"/>
  </w:font>
  <w:font w:name="SimSun">
    <w:panose1 w:val="0201060003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251359582"/>
      <w:docPartObj>
        <w:docPartGallery w:val="Page Numbers (Bottom of Page)"/>
        <w:docPartUnique w:val="true"/>
      </w:docPartObj>
      <w:rPr/>
    </w:sdtPr>
    <w:sdtContent>
      <w:p>
        <w:pPr>
          <w:pStyle w:val="741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ru-RU"/>
          </w:rPr>
          <w:t xml:space="preserve">2</w:t>
        </w:r>
        <w:r>
          <w:fldChar w:fldCharType="end"/>
        </w:r>
        <w:r/>
      </w:p>
    </w:sdtContent>
  </w:sdt>
  <w:p>
    <w:pPr>
      <w:pStyle w:val="74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5DBC31F"/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D6B5637A"/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doNotExpandShiftReturn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728"/>
    <w:next w:val="72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28"/>
    <w:next w:val="72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28"/>
    <w:next w:val="72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28"/>
    <w:next w:val="72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28"/>
    <w:next w:val="72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28"/>
    <w:next w:val="72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8"/>
    <w:next w:val="72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8"/>
    <w:next w:val="72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30"/>
    <w:link w:val="7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0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0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0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0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28"/>
    <w:next w:val="72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30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8"/>
    <w:next w:val="72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3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8"/>
    <w:next w:val="72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2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3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8"/>
    <w:next w:val="72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73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30"/>
    <w:link w:val="739"/>
    <w:uiPriority w:val="99"/>
    <w:pPr>
      <w:pBdr/>
      <w:spacing/>
      <w:ind/>
    </w:pPr>
  </w:style>
  <w:style w:type="character" w:styleId="179">
    <w:name w:val="Footer Char"/>
    <w:basedOn w:val="730"/>
    <w:link w:val="741"/>
    <w:uiPriority w:val="99"/>
    <w:pPr>
      <w:pBdr/>
      <w:spacing/>
      <w:ind/>
    </w:pPr>
  </w:style>
  <w:style w:type="paragraph" w:styleId="180">
    <w:name w:val="Caption"/>
    <w:basedOn w:val="728"/>
    <w:next w:val="7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0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3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8"/>
    <w:next w:val="728"/>
    <w:uiPriority w:val="39"/>
    <w:unhideWhenUsed/>
    <w:pPr>
      <w:pBdr/>
      <w:spacing w:after="100"/>
      <w:ind/>
    </w:pPr>
  </w:style>
  <w:style w:type="paragraph" w:styleId="190">
    <w:name w:val="toc 2"/>
    <w:basedOn w:val="728"/>
    <w:next w:val="728"/>
    <w:uiPriority w:val="39"/>
    <w:unhideWhenUsed/>
    <w:pPr>
      <w:pBdr/>
      <w:spacing w:after="100"/>
      <w:ind w:left="220"/>
    </w:pPr>
  </w:style>
  <w:style w:type="paragraph" w:styleId="191">
    <w:name w:val="toc 3"/>
    <w:basedOn w:val="728"/>
    <w:next w:val="728"/>
    <w:uiPriority w:val="39"/>
    <w:unhideWhenUsed/>
    <w:pPr>
      <w:pBdr/>
      <w:spacing w:after="100"/>
      <w:ind w:left="440"/>
    </w:pPr>
  </w:style>
  <w:style w:type="paragraph" w:styleId="192">
    <w:name w:val="toc 4"/>
    <w:basedOn w:val="728"/>
    <w:next w:val="728"/>
    <w:uiPriority w:val="39"/>
    <w:unhideWhenUsed/>
    <w:pPr>
      <w:pBdr/>
      <w:spacing w:after="100"/>
      <w:ind w:left="660"/>
    </w:pPr>
  </w:style>
  <w:style w:type="paragraph" w:styleId="193">
    <w:name w:val="toc 5"/>
    <w:basedOn w:val="728"/>
    <w:next w:val="728"/>
    <w:uiPriority w:val="39"/>
    <w:unhideWhenUsed/>
    <w:pPr>
      <w:pBdr/>
      <w:spacing w:after="100"/>
      <w:ind w:left="880"/>
    </w:pPr>
  </w:style>
  <w:style w:type="paragraph" w:styleId="194">
    <w:name w:val="toc 6"/>
    <w:basedOn w:val="728"/>
    <w:next w:val="728"/>
    <w:uiPriority w:val="39"/>
    <w:unhideWhenUsed/>
    <w:pPr>
      <w:pBdr/>
      <w:spacing w:after="100"/>
      <w:ind w:left="1100"/>
    </w:pPr>
  </w:style>
  <w:style w:type="paragraph" w:styleId="195">
    <w:name w:val="toc 7"/>
    <w:basedOn w:val="728"/>
    <w:next w:val="728"/>
    <w:uiPriority w:val="39"/>
    <w:unhideWhenUsed/>
    <w:pPr>
      <w:pBdr/>
      <w:spacing w:after="100"/>
      <w:ind w:left="1320"/>
    </w:pPr>
  </w:style>
  <w:style w:type="paragraph" w:styleId="196">
    <w:name w:val="toc 8"/>
    <w:basedOn w:val="728"/>
    <w:next w:val="728"/>
    <w:uiPriority w:val="39"/>
    <w:unhideWhenUsed/>
    <w:pPr>
      <w:pBdr/>
      <w:spacing w:after="100"/>
      <w:ind w:left="1540"/>
    </w:pPr>
  </w:style>
  <w:style w:type="paragraph" w:styleId="197">
    <w:name w:val="toc 9"/>
    <w:basedOn w:val="728"/>
    <w:next w:val="72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8"/>
    <w:next w:val="728"/>
    <w:uiPriority w:val="99"/>
    <w:unhideWhenUsed/>
    <w:pPr>
      <w:pBdr/>
      <w:spacing w:after="0" w:afterAutospacing="0"/>
      <w:ind/>
    </w:pPr>
  </w:style>
  <w:style w:type="paragraph" w:styleId="728" w:default="1">
    <w:name w:val="Normal"/>
    <w:qFormat/>
    <w:pPr>
      <w:pBdr/>
      <w:spacing/>
      <w:ind/>
    </w:pPr>
    <w:rPr>
      <w:rFonts w:asciiTheme="minorHAnsi" w:hAnsiTheme="minorHAnsi" w:eastAsiaTheme="minorEastAsia" w:cstheme="minorBidi"/>
      <w:lang w:val="en-US" w:eastAsia="zh-CN"/>
    </w:rPr>
  </w:style>
  <w:style w:type="paragraph" w:styleId="729">
    <w:name w:val="Heading 1"/>
    <w:next w:val="728"/>
    <w:uiPriority w:val="9"/>
    <w:unhideWhenUsed/>
    <w:qFormat/>
    <w:pPr>
      <w:keepNext w:val="true"/>
      <w:keepLines w:val="true"/>
      <w:pBdr/>
      <w:spacing w:after="74" w:line="259" w:lineRule="auto"/>
      <w:ind w:right="65" w:hanging="10" w:left="10"/>
      <w:jc w:val="center"/>
      <w:outlineLvl w:val="0"/>
    </w:pPr>
    <w:rPr>
      <w:rFonts w:eastAsia="Times New Roman"/>
      <w:b/>
      <w:color w:val="000000"/>
      <w:sz w:val="28"/>
      <w:szCs w:val="22"/>
    </w:rPr>
  </w:style>
  <w:style w:type="character" w:styleId="730" w:default="1">
    <w:name w:val="Default Paragraph Font"/>
    <w:uiPriority w:val="1"/>
    <w:semiHidden/>
    <w:unhideWhenUsed/>
    <w:pPr>
      <w:pBdr/>
      <w:spacing/>
      <w:ind/>
    </w:pPr>
  </w:style>
  <w:style w:type="table" w:styleId="73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2" w:default="1">
    <w:name w:val="No List"/>
    <w:uiPriority w:val="99"/>
    <w:semiHidden/>
    <w:unhideWhenUsed/>
    <w:pPr>
      <w:pBdr/>
      <w:spacing/>
      <w:ind/>
    </w:pPr>
  </w:style>
  <w:style w:type="character" w:styleId="733">
    <w:name w:val="Emphasis"/>
    <w:basedOn w:val="730"/>
    <w:qFormat/>
    <w:pPr>
      <w:pBdr/>
      <w:spacing/>
      <w:ind/>
    </w:pPr>
    <w:rPr>
      <w:i/>
      <w:iCs/>
    </w:rPr>
  </w:style>
  <w:style w:type="character" w:styleId="734">
    <w:name w:val="Hyperlink"/>
    <w:basedOn w:val="730"/>
    <w:pPr>
      <w:pBdr/>
      <w:spacing/>
      <w:ind/>
    </w:pPr>
    <w:rPr>
      <w:color w:val="0000ff"/>
      <w:u w:val="single"/>
    </w:rPr>
  </w:style>
  <w:style w:type="character" w:styleId="735">
    <w:name w:val="Strong"/>
    <w:basedOn w:val="730"/>
    <w:qFormat/>
    <w:pPr>
      <w:pBdr/>
      <w:spacing/>
      <w:ind/>
    </w:pPr>
    <w:rPr>
      <w:b/>
      <w:bCs/>
    </w:rPr>
  </w:style>
  <w:style w:type="paragraph" w:styleId="736">
    <w:name w:val="Normal (Web)"/>
    <w:basedOn w:val="728"/>
    <w:pPr>
      <w:pBdr/>
      <w:spacing/>
      <w:ind/>
    </w:pPr>
    <w:rPr>
      <w:sz w:val="24"/>
      <w:szCs w:val="24"/>
    </w:rPr>
  </w:style>
  <w:style w:type="table" w:styleId="737">
    <w:name w:val="Table Grid"/>
    <w:basedOn w:val="731"/>
    <w:pPr>
      <w:widowControl w:val="false"/>
      <w:pBdr/>
      <w:spacing/>
      <w:ind/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 w:customStyle="1">
    <w:name w:val="Table Grid"/>
    <w:qFormat/>
    <w:pPr>
      <w:pBdr/>
      <w:spacing/>
      <w:ind/>
    </w:pPr>
    <w:rPr>
      <w:rFonts w:eastAsiaTheme="minorEastAsia"/>
    </w:r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9">
    <w:name w:val="Header"/>
    <w:basedOn w:val="728"/>
    <w:link w:val="740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40" w:customStyle="1">
    <w:name w:val="Верхний колонтитул Знак"/>
    <w:basedOn w:val="730"/>
    <w:link w:val="739"/>
    <w:pPr>
      <w:pBdr/>
      <w:spacing/>
      <w:ind/>
    </w:pPr>
    <w:rPr>
      <w:rFonts w:asciiTheme="minorHAnsi" w:hAnsiTheme="minorHAnsi" w:eastAsiaTheme="minorEastAsia" w:cstheme="minorBidi"/>
      <w:lang w:val="en-US" w:eastAsia="zh-CN"/>
    </w:rPr>
  </w:style>
  <w:style w:type="paragraph" w:styleId="741">
    <w:name w:val="Footer"/>
    <w:basedOn w:val="728"/>
    <w:link w:val="742"/>
    <w:uiPriority w:val="99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42" w:customStyle="1">
    <w:name w:val="Нижний колонтитул Знак"/>
    <w:basedOn w:val="730"/>
    <w:link w:val="741"/>
    <w:uiPriority w:val="99"/>
    <w:pPr>
      <w:pBdr/>
      <w:spacing/>
      <w:ind/>
    </w:pPr>
    <w:rPr>
      <w:rFonts w:asciiTheme="minorHAnsi" w:hAnsiTheme="minorHAnsi" w:eastAsiaTheme="minorEastAsia" w:cstheme="minorBidi"/>
      <w:lang w:val="en-US" w:eastAsia="zh-C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revision>6</cp:revision>
  <dcterms:created xsi:type="dcterms:W3CDTF">2025-11-22T09:52:00Z</dcterms:created>
  <dcterms:modified xsi:type="dcterms:W3CDTF">2025-11-24T19:32:11Z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E4FB51337D3E46BAA0F4584C276FAC93_12</vt:lpwstr>
  </property>
</Properties>
</file>