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2"/>
        <w:pBdr/>
        <w:spacing/>
        <w:ind w:firstLine="0"/>
        <w:jc w:val="left"/>
        <w:rPr>
          <w:rFonts w:eastAsia="Times New Roman" w:cs="Times New Roman"/>
          <w:b w:val="0"/>
          <w:bCs w:val="0"/>
          <w:i w:val="0"/>
          <w:sz w:val="24"/>
          <w:szCs w:val="24"/>
        </w:rPr>
      </w:pPr>
      <w:r>
        <w:rPr>
          <w:rFonts w:eastAsia="Times New Roman" w:cs="Times New Roman"/>
          <w:b w:val="0"/>
          <w:i w:val="0"/>
          <w:sz w:val="24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6672" behindDoc="0" locked="0" layoutInCell="1" allowOverlap="1">
                <wp:simplePos x="0" y="0"/>
                <wp:positionH relativeFrom="column">
                  <wp:posOffset>-1071880</wp:posOffset>
                </wp:positionH>
                <wp:positionV relativeFrom="paragraph">
                  <wp:posOffset>-707027</wp:posOffset>
                </wp:positionV>
                <wp:extent cx="7543800" cy="10683086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20168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7543800" cy="106830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76672;o:allowoverlap:true;o:allowincell:true;mso-position-horizontal-relative:text;margin-left:-84.40pt;mso-position-horizontal:absolute;mso-position-vertical-relative:text;margin-top:-55.67pt;mso-position-vertical:absolute;width:594.00pt;height:841.19pt;mso-wrap-distance-left:9.07pt;mso-wrap-distance-top:0.00pt;mso-wrap-distance-right:9.07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  <w:b w:val="0"/>
          <w:bCs w:val="0"/>
          <w:i w:val="0"/>
          <w:sz w:val="24"/>
          <w:szCs w:val="24"/>
        </w:rPr>
      </w:r>
    </w:p>
    <w:p w14:paraId="4CC7AAAC">
      <w:pPr>
        <w:pStyle w:val="712"/>
        <w:pBdr/>
        <w:spacing/>
        <w:ind w:firstLine="0"/>
        <w:jc w:val="left"/>
        <w:rPr>
          <w:rFonts w:eastAsia="Times New Roman" w:cs="Times New Roman"/>
          <w:b w:val="0"/>
          <w:bCs w:val="0"/>
          <w:i w:val="0"/>
          <w:sz w:val="24"/>
          <w:szCs w:val="24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br w:type="page" w:clear="all"/>
      </w:r>
      <w:r>
        <w:rPr>
          <w:rFonts w:eastAsia="Times New Roman" w:cs="Times New Roman"/>
          <w:b w:val="0"/>
          <w:bCs w:val="0"/>
          <w:i w:val="0"/>
          <w:sz w:val="24"/>
          <w:szCs w:val="24"/>
        </w:rPr>
      </w:r>
    </w:p>
    <w:p w14:paraId="1C0F3B04">
      <w:pPr>
        <w:pStyle w:val="712"/>
        <w:pBdr/>
        <w:spacing/>
        <w:ind w:firstLine="0"/>
        <w:jc w:val="left"/>
        <w:rPr>
          <w:rFonts w:eastAsia="Times New Roman" w:cs="Times New Roman"/>
          <w:b w:val="0"/>
          <w:bCs w:val="0"/>
          <w:i w:val="0"/>
          <w:sz w:val="24"/>
          <w:szCs w:val="24"/>
        </w:rPr>
      </w:pPr>
      <w:r>
        <w:rPr>
          <w:rFonts w:eastAsia="Times New Roman" w:cs="Times New Roman"/>
          <w:b w:val="0"/>
          <w:i w:val="0"/>
          <w:sz w:val="24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7696" behindDoc="0" locked="0" layoutInCell="1" allowOverlap="1">
                <wp:simplePos x="0" y="0"/>
                <wp:positionH relativeFrom="column">
                  <wp:posOffset>-1085850</wp:posOffset>
                </wp:positionH>
                <wp:positionV relativeFrom="paragraph">
                  <wp:posOffset>-733425</wp:posOffset>
                </wp:positionV>
                <wp:extent cx="7579065" cy="10733026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8054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7579064" cy="10733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77696;o:allowoverlap:true;o:allowincell:true;mso-position-horizontal-relative:text;margin-left:-85.50pt;mso-position-horizontal:absolute;mso-position-vertical-relative:text;margin-top:-57.75pt;mso-position-vertical:absolute;width:596.78pt;height:845.12pt;mso-wrap-distance-left:9.07pt;mso-wrap-distance-top:0.00pt;mso-wrap-distance-right:9.07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486797F7">
      <w:pPr>
        <w:pStyle w:val="712"/>
        <w:pBdr/>
        <w:spacing/>
        <w:ind w:firstLine="0"/>
        <w:jc w:val="left"/>
        <w:rPr>
          <w:rFonts w:eastAsia="Times New Roman" w:cs="Times New Roman"/>
          <w:b w:val="0"/>
          <w:bCs w:val="0"/>
          <w:i w:val="0"/>
          <w:sz w:val="24"/>
          <w:szCs w:val="24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br w:type="page" w:clear="all"/>
      </w:r>
      <w:r>
        <w:rPr>
          <w:rFonts w:eastAsia="Times New Roman" w:cs="Times New Roman"/>
          <w:b w:val="0"/>
          <w:bCs w:val="0"/>
          <w:i w:val="0"/>
          <w:sz w:val="24"/>
          <w:szCs w:val="24"/>
        </w:rPr>
      </w:r>
    </w:p>
    <w:p w14:paraId="52A1A3E0">
      <w:pPr>
        <w:pStyle w:val="712"/>
        <w:pBdr/>
        <w:spacing/>
        <w:ind w:firstLine="0"/>
        <w:jc w:val="left"/>
        <w:rPr>
          <w:rFonts w:eastAsia="Times New Roman" w:cs="Times New Roman"/>
          <w:b w:val="0"/>
          <w:bCs w:val="0"/>
          <w:i w:val="0"/>
          <w:sz w:val="24"/>
          <w:szCs w:val="24"/>
        </w:rPr>
      </w:pPr>
      <w:r>
        <w:rPr>
          <w:rFonts w:eastAsia="Times New Roman" w:cs="Times New Roman"/>
          <w:b w:val="0"/>
          <w:i w:val="0"/>
          <w:sz w:val="24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8720" behindDoc="0" locked="0" layoutInCell="1" allowOverlap="1">
                <wp:simplePos x="0" y="0"/>
                <wp:positionH relativeFrom="column">
                  <wp:posOffset>-1085850</wp:posOffset>
                </wp:positionH>
                <wp:positionV relativeFrom="paragraph">
                  <wp:posOffset>-733425</wp:posOffset>
                </wp:positionV>
                <wp:extent cx="7579065" cy="10733026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33027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7579064" cy="10733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78720;o:allowoverlap:true;o:allowincell:true;mso-position-horizontal-relative:text;margin-left:-85.50pt;mso-position-horizontal:absolute;mso-position-vertical-relative:text;margin-top:-57.75pt;mso-position-vertical:absolute;width:596.78pt;height:845.12pt;mso-wrap-distance-left:9.07pt;mso-wrap-distance-top:0.00pt;mso-wrap-distance-right:9.07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 w14:paraId="5943D4FE">
      <w:pPr>
        <w:pStyle w:val="712"/>
        <w:pBdr/>
        <w:spacing/>
        <w:ind w:firstLine="0"/>
        <w:jc w:val="left"/>
        <w:rPr>
          <w:rFonts w:eastAsia="Times New Roman" w:cs="Times New Roman"/>
          <w:b w:val="0"/>
          <w:bCs w:val="0"/>
          <w:i w:val="0"/>
          <w:sz w:val="24"/>
          <w:szCs w:val="24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br w:type="page" w:clear="all"/>
      </w:r>
      <w:r>
        <w:rPr>
          <w:rFonts w:eastAsia="Times New Roman" w:cs="Times New Roman"/>
          <w:b w:val="0"/>
          <w:bCs w:val="0"/>
          <w:i w:val="0"/>
          <w:sz w:val="24"/>
          <w:szCs w:val="24"/>
        </w:rPr>
      </w:r>
    </w:p>
    <w:p w14:paraId="6AD42DA0">
      <w:pPr>
        <w:pStyle w:val="712"/>
        <w:pBdr/>
        <w:spacing/>
        <w:ind w:firstLine="0"/>
        <w:jc w:val="left"/>
        <w:rPr>
          <w:rFonts w:eastAsia="Times New Roman" w:cs="Times New Roman"/>
          <w:b w:val="0"/>
          <w:bCs w:val="0"/>
          <w:i w:val="0"/>
          <w:sz w:val="24"/>
          <w:szCs w:val="24"/>
        </w:rPr>
      </w:pPr>
      <w:r>
        <w:rPr>
          <w:rFonts w:eastAsia="Times New Roman" w:cs="Times New Roman"/>
          <w:b w:val="0"/>
          <w:i w:val="0"/>
          <w:sz w:val="24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9744" behindDoc="0" locked="0" layoutInCell="1" allowOverlap="1">
                <wp:simplePos x="0" y="0"/>
                <wp:positionH relativeFrom="column">
                  <wp:posOffset>-1076325</wp:posOffset>
                </wp:positionH>
                <wp:positionV relativeFrom="paragraph">
                  <wp:posOffset>-723900</wp:posOffset>
                </wp:positionV>
                <wp:extent cx="7569540" cy="10706037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4909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7569539" cy="10706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79744;o:allowoverlap:true;o:allowincell:true;mso-position-horizontal-relative:text;margin-left:-84.75pt;mso-position-horizontal:absolute;mso-position-vertical-relative:text;margin-top:-57.00pt;mso-position-vertical:absolute;width:596.03pt;height:843.00pt;mso-wrap-distance-left:9.07pt;mso-wrap-distance-top:0.00pt;mso-wrap-distance-right:9.07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30C97952">
      <w:pPr>
        <w:pStyle w:val="712"/>
        <w:pBdr/>
        <w:spacing/>
        <w:ind w:firstLine="0"/>
        <w:jc w:val="left"/>
        <w:rPr>
          <w:rFonts w:eastAsia="Times New Roman" w:cs="Times New Roman"/>
          <w:b w:val="0"/>
          <w:bCs w:val="0"/>
          <w:i w:val="0"/>
          <w:sz w:val="24"/>
          <w:szCs w:val="24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br w:type="page" w:clear="all"/>
      </w:r>
      <w:r>
        <w:rPr>
          <w:rFonts w:eastAsia="Times New Roman" w:cs="Times New Roman"/>
          <w:b w:val="0"/>
          <w:bCs w:val="0"/>
          <w:i w:val="0"/>
          <w:sz w:val="24"/>
          <w:szCs w:val="24"/>
        </w:rPr>
      </w:r>
    </w:p>
    <w:p w14:paraId="4D265F0F">
      <w:pPr>
        <w:pStyle w:val="712"/>
        <w:pBdr/>
        <w:spacing/>
        <w:ind w:firstLine="0"/>
        <w:jc w:val="left"/>
        <w:rPr>
          <w:rFonts w:eastAsia="Times New Roman" w:cs="Times New Roman"/>
          <w:b w:val="0"/>
          <w:bCs w:val="0"/>
          <w:i w:val="0"/>
          <w:sz w:val="24"/>
          <w:szCs w:val="24"/>
        </w:rPr>
        <w:sectPr>
          <w:headerReference w:type="default" r:id="rId9"/>
          <w:footerReference w:type="default" r:id="rId10"/>
          <w:footerReference w:type="even" r:id="rId11"/>
          <w:footerReference w:type="first" r:id="rId12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pgNumType w:start="0"/>
          <w:cols w:num="1" w:sep="0" w:space="1701" w:equalWidth="1"/>
          <w:titlePg/>
        </w:sectPr>
      </w:pPr>
      <w:r>
        <w:rPr>
          <w:rFonts w:eastAsia="Times New Roman" w:cs="Times New Roman"/>
          <w:b w:val="0"/>
          <w:i w:val="0"/>
          <w:sz w:val="24"/>
          <w:szCs w:val="20"/>
        </w:rPr>
      </w:r>
      <w:r/>
      <w:r/>
    </w:p>
    <w:p w14:paraId="7A6B5254">
      <w:pPr>
        <w:pStyle w:val="712"/>
        <w:pBdr/>
        <w:spacing/>
        <w:ind w:firstLine="0"/>
        <w:jc w:val="left"/>
        <w:rPr>
          <w:sz w:val="24"/>
          <w:szCs w:val="24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t xml:space="preserve">УДК 004.056</w:t>
      </w:r>
      <w:r>
        <w:rPr>
          <w:sz w:val="24"/>
          <w:szCs w:val="20"/>
        </w:rPr>
      </w:r>
      <w:r/>
    </w:p>
    <w:p>
      <w:pPr>
        <w:pStyle w:val="712"/>
        <w:pBdr/>
        <w:spacing/>
        <w:ind w:firstLine="0"/>
        <w:rPr>
          <w:sz w:val="24"/>
          <w:szCs w:val="20"/>
        </w:rPr>
      </w:pP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Style w:val="712"/>
        <w:pBdr/>
        <w:spacing/>
        <w:ind w:firstLine="709"/>
        <w:jc w:val="both"/>
        <w:rPr>
          <w:sz w:val="24"/>
          <w:szCs w:val="20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t xml:space="preserve">Мухаметшин А.</w:t>
      </w:r>
      <w:r>
        <w:rPr>
          <w:rFonts w:eastAsia="Times New Roman" w:cs="Times New Roman"/>
          <w:b w:val="0"/>
          <w:i w:val="0"/>
          <w:sz w:val="24"/>
          <w:szCs w:val="20"/>
        </w:rPr>
        <w:t xml:space="preserve">Р., научно-исследовательская работа направления подготовки «Кибербезопасность и противодействие угрозам с применением технологий искусственного интеллекта» на тему «Исследование методов взаимодействия автономных агентов кибербезопасности на основе протокол</w:t>
      </w:r>
      <w:r>
        <w:rPr>
          <w:rFonts w:eastAsia="Times New Roman" w:cs="Times New Roman"/>
          <w:b w:val="0"/>
          <w:i w:val="0"/>
          <w:sz w:val="24"/>
          <w:szCs w:val="20"/>
        </w:rPr>
        <w:t xml:space="preserve">ов обмена контекстом»: М. 2026 г., МИРЭА – Российский технологический университет (РТУ МИРЭА), Институт кибербезопасности и цифровых технологий (ИКБ), направление «Киберразведка и противодействие угрозам с применением технологий искусственного интеллекта»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 – 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29  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–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 стр., 2 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–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 рис., 1 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–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 табл., 3 – форм., 16 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–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 источн., 1 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–</w:t>
      </w:r>
      <w:r/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 прил.</w:t>
      </w:r>
      <w:r>
        <w:rPr>
          <w:rFonts w:eastAsia="Times New Roman" w:cs="Times New Roman"/>
          <w:b w:val="0"/>
          <w:i w:val="0"/>
          <w:sz w:val="24"/>
          <w:szCs w:val="20"/>
          <w:highlight w:val="yellow"/>
          <w:lang w:val="ru-RU"/>
        </w:rPr>
      </w:r>
      <w:r>
        <w:rPr>
          <w:sz w:val="24"/>
          <w:szCs w:val="20"/>
        </w:rPr>
      </w:r>
    </w:p>
    <w:p>
      <w:pPr>
        <w:pStyle w:val="712"/>
        <w:pBdr/>
        <w:spacing/>
        <w:ind w:firstLine="709"/>
        <w:jc w:val="both"/>
        <w:rPr>
          <w:sz w:val="24"/>
          <w:szCs w:val="20"/>
        </w:rPr>
      </w:pPr>
      <w:r>
        <w:rPr>
          <w:rFonts w:eastAsia="Times New Roman" w:cs="Times New Roman"/>
          <w:b/>
          <w:i w:val="0"/>
          <w:sz w:val="24"/>
          <w:szCs w:val="20"/>
        </w:rPr>
        <w:t xml:space="preserve">Ключевые слова: </w:t>
      </w:r>
      <w:r>
        <w:rPr>
          <w:rFonts w:eastAsia="Times New Roman" w:cs="Times New Roman"/>
          <w:b w:val="0"/>
          <w:i w:val="0"/>
          <w:sz w:val="24"/>
          <w:szCs w:val="20"/>
        </w:rPr>
        <w:t xml:space="preserve">автономные агенты кибербезопасности, протоколы обмена контекстом, мультиагентные системы, Model Context Protocol, Agent-to-Agent Protocol, STIX/TAXII, OCSF, CACAO, MITRE ATT&amp;CK, координация агентов, большие языковые модели.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</w:r>
      <w:r>
        <w:rPr>
          <w:sz w:val="24"/>
          <w:szCs w:val="20"/>
        </w:rPr>
      </w:r>
    </w:p>
    <w:p>
      <w:pPr>
        <w:pStyle w:val="712"/>
        <w:pBdr/>
        <w:spacing/>
        <w:ind w:firstLine="0"/>
        <w:rPr>
          <w:sz w:val="24"/>
          <w:szCs w:val="20"/>
        </w:rPr>
      </w:pP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Style w:val="712"/>
        <w:pBdr/>
        <w:spacing/>
        <w:ind w:firstLine="709"/>
        <w:jc w:val="both"/>
        <w:rPr>
          <w:sz w:val="24"/>
          <w:szCs w:val="20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t xml:space="preserve">Целью работы является систематизация суще</w:t>
      </w:r>
      <w:r>
        <w:rPr>
          <w:rFonts w:eastAsia="Times New Roman" w:cs="Times New Roman"/>
          <w:b w:val="0"/>
          <w:i w:val="0"/>
          <w:sz w:val="24"/>
          <w:szCs w:val="20"/>
        </w:rPr>
        <w:t xml:space="preserve">ствующих протоколов обмена контекстом между автономными агентами кибербезопасности и обоснование архитектурного решения, обеспечивающего полный цикл координации агентов от приёма телеметрии до согласованного исполнения ответного действия. В работе предложе</w:t>
      </w:r>
      <w:r>
        <w:rPr>
          <w:rFonts w:eastAsia="Times New Roman" w:cs="Times New Roman"/>
          <w:b w:val="0"/>
          <w:i w:val="0"/>
          <w:sz w:val="24"/>
          <w:szCs w:val="20"/>
        </w:rPr>
        <w:t xml:space="preserve">на трёхуровневая концептуальная архитектура брокера контекста, введены три количественные метрики качества межагентного взаимодействия и обоснованы пороговые значения, при выполнении которых допустим автономный режим реагирования без участия аналитика SOC.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</w:r>
      <w:r>
        <w:rPr>
          <w:sz w:val="24"/>
          <w:szCs w:val="20"/>
        </w:rPr>
      </w:r>
    </w:p>
    <w:p>
      <w:pPr>
        <w:pStyle w:val="712"/>
        <w:pBdr/>
        <w:spacing/>
        <w:ind w:firstLine="0"/>
        <w:rPr>
          <w:sz w:val="24"/>
          <w:szCs w:val="20"/>
        </w:rPr>
      </w:pP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Style w:val="712"/>
        <w:pBdr/>
        <w:spacing/>
        <w:ind w:firstLine="709"/>
        <w:jc w:val="both"/>
        <w:rPr>
          <w:sz w:val="24"/>
          <w:szCs w:val="20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t xml:space="preserve">Mukhametshin A.R., Research work in the field of study "Cyber Intelligence and Countering Threats with the Use of Artificial Intelligence</w:t>
      </w:r>
      <w:r>
        <w:rPr>
          <w:rFonts w:eastAsia="Times New Roman" w:cs="Times New Roman"/>
          <w:b w:val="0"/>
          <w:i w:val="0"/>
          <w:sz w:val="24"/>
          <w:szCs w:val="20"/>
        </w:rPr>
        <w:t xml:space="preserve"> Technologies" on the topic "A Study on Interaction Methods for Autonomous Cybersecurity Agents Based on Context-Exchange Protocols": M. 2026, MIREA – Russian Technological University (RTU MIREA), Institute of Cybersecurity and Digital Technologies (ICDT)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 – </w:t>
      </w:r>
      <w:r>
        <w:rPr>
          <w:rFonts w:eastAsia="Times New Roman" w:cs="Times New Roman"/>
          <w:bCs/>
          <w:sz w:val="24"/>
          <w:lang w:val="en-US"/>
          <w14:ligatures w14:val="none"/>
        </w:rPr>
        <w:t xml:space="preserve">29 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–</w:t>
      </w:r>
      <w:r/>
      <w:r>
        <w:rPr>
          <w:rFonts w:eastAsia="Times New Roman" w:cs="Times New Roman"/>
          <w:bCs/>
          <w:sz w:val="24"/>
          <w:lang w:val="en-US"/>
          <w14:ligatures w14:val="none"/>
        </w:rPr>
        <w:t xml:space="preserve"> p., </w:t>
      </w:r>
      <w:r>
        <w:rPr>
          <w:rFonts w:eastAsia="Times New Roman" w:cs="Times New Roman"/>
          <w:bCs/>
          <w:sz w:val="24"/>
          <w:lang w:val="en-US"/>
          <w14:ligatures w14:val="none"/>
        </w:rPr>
        <w:t xml:space="preserve">2 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–</w:t>
      </w:r>
      <w:r/>
      <w:r>
        <w:rPr>
          <w:rFonts w:eastAsia="Times New Roman" w:cs="Times New Roman"/>
          <w:bCs/>
          <w:sz w:val="24"/>
          <w:lang w:val="en-US"/>
          <w14:ligatures w14:val="none"/>
        </w:rPr>
        <w:t xml:space="preserve"> fig., </w:t>
      </w:r>
      <w:r>
        <w:rPr>
          <w:rFonts w:eastAsia="Times New Roman" w:cs="Times New Roman"/>
          <w:bCs/>
          <w:sz w:val="24"/>
          <w:lang w:val="en-US"/>
          <w14:ligatures w14:val="none"/>
        </w:rPr>
        <w:t xml:space="preserve">1 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–</w:t>
      </w:r>
      <w:r/>
      <w:r>
        <w:rPr>
          <w:rFonts w:eastAsia="Times New Roman" w:cs="Times New Roman"/>
          <w:bCs/>
          <w:sz w:val="24"/>
          <w:lang w:val="en-US"/>
          <w14:ligatures w14:val="none"/>
        </w:rPr>
        <w:t xml:space="preserve"> table.,</w:t>
      </w:r>
      <w:r>
        <w:rPr>
          <w:rFonts w:eastAsia="Times New Roman" w:cs="Times New Roman"/>
          <w:bCs/>
          <w:sz w:val="24"/>
          <w:lang w:val="ru-RU"/>
          <w14:ligatures w14:val="none"/>
        </w:rPr>
        <w:t xml:space="preserve"> 3 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–</w:t>
      </w:r>
      <w:r>
        <w:rPr>
          <w:rFonts w:eastAsia="Times New Roman" w:cs="Times New Roman"/>
          <w:bCs/>
          <w:sz w:val="24"/>
          <w:lang w:val="ru-RU"/>
          <w14:ligatures w14:val="none"/>
        </w:rPr>
        <w:t xml:space="preserve"> </w:t>
      </w:r>
      <w:r>
        <w:rPr>
          <w:rFonts w:eastAsia="Times New Roman" w:cs="Times New Roman"/>
          <w:bCs/>
          <w:sz w:val="24"/>
          <w:lang w:val="en-US"/>
          <w14:ligatures w14:val="none"/>
        </w:rPr>
        <w:t xml:space="preserve">formule,</w:t>
      </w:r>
      <w:r>
        <w:rPr>
          <w:rFonts w:eastAsia="Times New Roman" w:cs="Times New Roman"/>
          <w:bCs/>
          <w:sz w:val="24"/>
          <w:lang w:val="en-US"/>
          <w14:ligatures w14:val="none"/>
        </w:rPr>
        <w:t xml:space="preserve"> </w:t>
      </w:r>
      <w:r>
        <w:rPr>
          <w:rFonts w:eastAsia="Times New Roman" w:cs="Times New Roman"/>
          <w:bCs/>
          <w:sz w:val="24"/>
          <w:lang w:val="en-US"/>
          <w14:ligatures w14:val="none"/>
        </w:rPr>
        <w:t xml:space="preserve">16 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–</w:t>
      </w:r>
      <w:r/>
      <w:r>
        <w:rPr>
          <w:rFonts w:eastAsia="Times New Roman" w:cs="Times New Roman"/>
          <w:bCs/>
          <w:sz w:val="24"/>
          <w:lang w:val="en-US"/>
          <w14:ligatures w14:val="none"/>
        </w:rPr>
        <w:t xml:space="preserve"> source., </w:t>
      </w:r>
      <w:r>
        <w:rPr>
          <w:rFonts w:eastAsia="Times New Roman" w:cs="Times New Roman"/>
          <w:bCs/>
          <w:sz w:val="24"/>
          <w:lang w:val="en-US"/>
          <w14:ligatures w14:val="none"/>
        </w:rPr>
        <w:t xml:space="preserve">1 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  <w:t xml:space="preserve">–</w:t>
      </w:r>
      <w:r/>
      <w:r>
        <w:rPr>
          <w:rFonts w:eastAsia="Times New Roman" w:cs="Times New Roman"/>
          <w:bCs/>
          <w:sz w:val="24"/>
          <w:lang w:val="en-US"/>
          <w14:ligatures w14:val="none"/>
        </w:rPr>
        <w:t xml:space="preserve"> form.</w:t>
      </w:r>
      <w:r>
        <w:rPr>
          <w:rFonts w:eastAsia="Times New Roman" w:cs="Times New Roman"/>
          <w:b w:val="0"/>
          <w:i w:val="0"/>
          <w:sz w:val="24"/>
          <w:szCs w:val="20"/>
          <w:lang w:val="ru-RU"/>
        </w:rPr>
      </w:r>
      <w:r>
        <w:rPr>
          <w:sz w:val="24"/>
          <w:szCs w:val="20"/>
        </w:rPr>
      </w:r>
    </w:p>
    <w:p>
      <w:pPr>
        <w:pStyle w:val="712"/>
        <w:pBdr/>
        <w:spacing/>
        <w:ind w:firstLine="709"/>
        <w:jc w:val="both"/>
        <w:rPr>
          <w:sz w:val="24"/>
          <w:szCs w:val="20"/>
        </w:rPr>
      </w:pPr>
      <w:r>
        <w:rPr>
          <w:rFonts w:eastAsia="Times New Roman" w:cs="Times New Roman"/>
          <w:b/>
          <w:i w:val="0"/>
          <w:sz w:val="24"/>
          <w:szCs w:val="20"/>
        </w:rPr>
        <w:t xml:space="preserve">Keywords: </w:t>
      </w:r>
      <w:r>
        <w:rPr>
          <w:rFonts w:eastAsia="Times New Roman" w:cs="Times New Roman"/>
          <w:b w:val="0"/>
          <w:i w:val="0"/>
          <w:sz w:val="24"/>
          <w:szCs w:val="20"/>
        </w:rPr>
        <w:t xml:space="preserve">autonomous cybersecurity agents, context-exchange protocols, multi-agent systems, Model Context Protocol, Agent-to-Agent Protocol, STIX/TAXII, OCSF, CACAO, MITRE ATT&amp;CK, agent coordination, large language models.</w:t>
      </w:r>
      <w:r>
        <w:rPr>
          <w:sz w:val="24"/>
          <w:szCs w:val="20"/>
        </w:rPr>
      </w:r>
    </w:p>
    <w:p>
      <w:pPr>
        <w:pStyle w:val="712"/>
        <w:pBdr/>
        <w:spacing/>
        <w:ind w:firstLine="0"/>
        <w:rPr>
          <w:sz w:val="24"/>
          <w:szCs w:val="20"/>
        </w:rPr>
      </w:pP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Style w:val="712"/>
        <w:pBdr/>
        <w:spacing/>
        <w:ind w:firstLine="709"/>
        <w:jc w:val="both"/>
        <w:rPr>
          <w:sz w:val="24"/>
          <w:szCs w:val="20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t xml:space="preserve">The aim of the work is to systematise t</w:t>
      </w:r>
      <w:r>
        <w:rPr>
          <w:rFonts w:eastAsia="Times New Roman" w:cs="Times New Roman"/>
          <w:b w:val="0"/>
          <w:i w:val="0"/>
          <w:sz w:val="24"/>
          <w:szCs w:val="20"/>
        </w:rPr>
        <w:t xml:space="preserve">he existing protocols for context exchange between autonomous cybersecurity agents and to substantiate an architectural solution that ensures the full agent coordination cycle – from telemetry intake to the execution of an agreed response action. A three-t</w:t>
      </w:r>
      <w:r>
        <w:rPr>
          <w:rFonts w:eastAsia="Times New Roman" w:cs="Times New Roman"/>
          <w:b w:val="0"/>
          <w:i w:val="0"/>
          <w:sz w:val="24"/>
          <w:szCs w:val="20"/>
        </w:rPr>
        <w:t xml:space="preserve">ier conceptual architecture of a context broker is proposed, three quantitative metrics of inter-agent interaction quality are introduced, and threshold values are substantiated under which autonomous response is admissible without SOC-analyst supervision.</w:t>
      </w:r>
      <w:r>
        <w:rPr>
          <w:sz w:val="24"/>
          <w:szCs w:val="20"/>
        </w:rPr>
      </w:r>
    </w:p>
    <w:p>
      <w:pPr>
        <w:pStyle w:val="712"/>
        <w:pBdr/>
        <w:spacing/>
        <w:ind w:firstLine="0"/>
        <w:rPr>
          <w:sz w:val="24"/>
          <w:szCs w:val="20"/>
        </w:rPr>
      </w:pP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Style w:val="712"/>
        <w:pBdr/>
        <w:spacing/>
        <w:ind w:firstLine="0"/>
        <w:jc w:val="left"/>
        <w:rPr>
          <w:sz w:val="24"/>
          <w:szCs w:val="20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t xml:space="preserve">РТУ МИРЭА: 119454, Москва, </w:t>
      </w:r>
      <w:r>
        <w:rPr>
          <w:rFonts w:eastAsia="Times New Roman" w:cs="Times New Roman"/>
          <w:sz w:val="24"/>
          <w14:ligatures w14:val="none"/>
        </w:rPr>
        <w:t xml:space="preserve"> ул. Стромынка, д.20</w:t>
      </w:r>
      <w:r/>
      <w:r>
        <w:rPr>
          <w:rFonts w:eastAsia="Times New Roman" w:cs="Times New Roman"/>
          <w:b w:val="0"/>
          <w:i w:val="0"/>
          <w:sz w:val="24"/>
          <w:szCs w:val="20"/>
        </w:rPr>
      </w:r>
      <w:r>
        <w:rPr>
          <w:sz w:val="24"/>
          <w:szCs w:val="20"/>
        </w:rPr>
      </w:r>
    </w:p>
    <w:p>
      <w:pPr>
        <w:pStyle w:val="712"/>
        <w:pBdr/>
        <w:spacing/>
        <w:ind w:firstLine="0"/>
        <w:jc w:val="left"/>
        <w:rPr>
          <w:sz w:val="24"/>
          <w:szCs w:val="20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t xml:space="preserve">Институт кибербезопасности и цифровых технологий</w:t>
      </w:r>
      <w:r>
        <w:rPr>
          <w:sz w:val="24"/>
          <w:szCs w:val="20"/>
        </w:rPr>
      </w:r>
    </w:p>
    <w:p>
      <w:pPr>
        <w:pStyle w:val="712"/>
        <w:pBdr/>
        <w:spacing/>
        <w:ind w:firstLine="0"/>
        <w:jc w:val="left"/>
        <w:rPr>
          <w:sz w:val="24"/>
          <w:szCs w:val="20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t xml:space="preserve">Направление: «Киберразведка и противодействие угрозам с применением технологий искусственного интеллекта»</w:t>
      </w:r>
      <w:r>
        <w:rPr>
          <w:sz w:val="24"/>
          <w:szCs w:val="20"/>
        </w:rPr>
      </w:r>
    </w:p>
    <w:p>
      <w:pPr>
        <w:pStyle w:val="712"/>
        <w:pBdr/>
        <w:spacing/>
        <w:ind w:firstLine="0"/>
        <w:jc w:val="left"/>
        <w:rPr>
          <w:sz w:val="24"/>
          <w:szCs w:val="20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t xml:space="preserve">Тираж: 1 экз. (на правах рукописи)</w:t>
      </w:r>
      <w:r>
        <w:rPr>
          <w:sz w:val="24"/>
          <w:szCs w:val="20"/>
        </w:rPr>
      </w:r>
    </w:p>
    <w:p>
      <w:pPr>
        <w:pStyle w:val="712"/>
        <w:pBdr/>
        <w:spacing/>
        <w:ind w:firstLine="0"/>
        <w:jc w:val="left"/>
        <w:rPr>
          <w:sz w:val="24"/>
          <w:szCs w:val="20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t xml:space="preserve">Файл: «Мухаметшин_АР_статья.docx», исполнитель Мухаметшин А.Р.</w:t>
      </w:r>
      <w:r>
        <w:rPr>
          <w:sz w:val="24"/>
          <w:szCs w:val="20"/>
        </w:rPr>
      </w:r>
    </w:p>
    <w:p>
      <w:pPr>
        <w:pStyle w:val="712"/>
        <w:pBdr/>
        <w:spacing/>
        <w:ind w:firstLine="0"/>
        <w:jc w:val="left"/>
        <w:rPr>
          <w:sz w:val="24"/>
          <w:szCs w:val="20"/>
        </w:rPr>
      </w:pPr>
      <w:r>
        <w:rPr>
          <w:rFonts w:eastAsia="Times New Roman" w:cs="Times New Roman"/>
          <w:b w:val="0"/>
          <w:i w:val="0"/>
          <w:sz w:val="24"/>
          <w:szCs w:val="20"/>
        </w:rPr>
        <w:t xml:space="preserve">© А.Р. Мухаметшин</w:t>
      </w:r>
      <w:r>
        <w:rPr>
          <w:sz w:val="24"/>
          <w:szCs w:val="20"/>
        </w:rPr>
      </w:r>
    </w:p>
    <w:p>
      <w:pPr>
        <w:pStyle w:val="712"/>
        <w:pBdr/>
        <w:spacing/>
        <w:ind w:firstLine="0"/>
        <w:rPr/>
      </w:pPr>
      <w:r/>
      <w:r>
        <w:br w:type="page" w:clear="all"/>
      </w:r>
      <w:r/>
    </w:p>
    <w:p>
      <w:pPr>
        <w:pStyle w:val="713"/>
        <w:pBdr/>
        <w:spacing w:after="0" w:before="0"/>
        <w:ind w:firstLine="0"/>
        <w:jc w:val="center"/>
        <w:rPr/>
      </w:pPr>
      <w:r/>
      <w:bookmarkStart w:id="56" w:name="_Toc1"/>
      <w:r/>
      <w:bookmarkStart w:id="0" w:name="__RefHeading___Toc890_430826545"/>
      <w:r/>
      <w:bookmarkStart w:id="1" w:name="abbr"/>
      <w:r/>
      <w:bookmarkEnd w:id="0"/>
      <w:r/>
      <w:bookmarkEnd w:id="1"/>
      <w:r>
        <w:rPr>
          <w:rFonts w:ascii="Times New Roman" w:hAnsi="Times New Roman" w:eastAsia="Times New Roman" w:cs="Times New Roman"/>
          <w:b/>
          <w:sz w:val="28"/>
        </w:rPr>
        <w:t xml:space="preserve">ПЕРЕЧЕНЬ СОКРАЩЕНИЙ И ОБОЗНАЧЕНИЙ</w:t>
      </w:r>
      <w:bookmarkEnd w:id="56"/>
      <w:r/>
      <w:r/>
    </w:p>
    <w:tbl>
      <w:tblPr>
        <w:tblInd w:w="108" w:type="dxa"/>
        <w:tblW w:w="935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268"/>
        <w:gridCol w:w="396"/>
        <w:gridCol w:w="6690"/>
      </w:tblGrid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A2A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Agent-to-Agent – протокол прямой координации между автономными агентами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CACAO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Collaborative Automated Course of Action Operations – стандарт описания плейбуков реагирования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CTI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Cyber Threat Intelligence – разведка киберугроз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EDR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Endpoint Detection and Response – система обнаружения и реагирования на конечных устройствах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IDS / IPS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Intrusion Detection / Prevention System – система обнаружения / предотвращения вторжений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IOC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Indicator of Compromise – индикатор компрометации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JSON-RPC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JavaScript Object Notation – Remote Procedure Call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LLM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Large Language Model – большая языковая модель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MCP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Model Context Protocol – протокол контекста модели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NDR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Network Detection and Response – система обнаружения и реагирования в сетевом трафике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OASIS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Organization for the Advancement of Structured Information Standards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OCSF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Open Cybersecurity Schema Framework – открытая схема событий кибербезопасности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OpenC2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Open Command and Control – открытый язык команд защиты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SDO / SRO / SCO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STIX Domain Object / STIX Relationship Object / STIX Cyber-observable Object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SIEM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Security Information and Event Management – система управления событиями безопасности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SOAR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Security Orchestration, Automation and Response – оркестрация и автоматизация реагирования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SOC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Security Operations Center – центр мониторинга и реагирования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STIX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Structured Threat Information Expression – структурированный язык описания угроз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TAXII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Trusted Automated Exchange of Indicator Information – протокол передачи индикаторов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TTP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Tactics, Techniques and Procedures – тактики, техники и процедуры противника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ЗРК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задержка распространения контекста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КПК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коэффициент полноты контекста</w:t>
            </w:r>
            <w:r/>
          </w:p>
        </w:tc>
      </w:tr>
      <w:tr>
        <w:trPr>
          <w:cantSplit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КССА</w:t>
            </w:r>
            <w:r/>
          </w:p>
        </w:tc>
        <w:tc>
          <w:tcPr>
            <w:tcBorders/>
            <w:tcW w:w="396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–</w:t>
            </w:r>
            <w:r/>
          </w:p>
        </w:tc>
        <w:tc>
          <w:tcPr>
            <w:tcBorders/>
            <w:tcW w:w="6690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коэффициент семантической согласованности агентов</w:t>
            </w:r>
            <w:r/>
          </w:p>
        </w:tc>
      </w:tr>
    </w:tbl>
    <w:p>
      <w:pPr>
        <w:pStyle w:val="712"/>
        <w:pBdr/>
        <w:spacing/>
        <w:ind w:firstLine="0"/>
        <w:rPr/>
      </w:pPr>
      <w:r/>
      <w:r>
        <w:br w:type="page" w:clear="all"/>
      </w:r>
      <w:r/>
    </w:p>
    <w:p>
      <w:pPr>
        <w:pStyle w:val="713"/>
        <w:pBdr/>
        <w:spacing w:after="0" w:before="0"/>
        <w:ind w:firstLine="0"/>
        <w:jc w:val="center"/>
        <w:rPr/>
      </w:pPr>
      <w:r/>
      <w:bookmarkStart w:id="57" w:name="_Toc2"/>
      <w:r/>
      <w:bookmarkStart w:id="2" w:name="__RefHeading___Toc892_430826545"/>
      <w:r/>
      <w:bookmarkStart w:id="3" w:name="toc"/>
      <w:r/>
      <w:bookmarkEnd w:id="2"/>
      <w:r/>
      <w:bookmarkEnd w:id="3"/>
      <w:r>
        <w:rPr>
          <w:rFonts w:ascii="Times New Roman" w:hAnsi="Times New Roman" w:eastAsia="Times New Roman" w:cs="Times New Roman"/>
          <w:b/>
          <w:sz w:val="28"/>
        </w:rPr>
        <w:t xml:space="preserve">СОДЕРЖАНИЕ</w:t>
      </w:r>
      <w:bookmarkEnd w:id="57"/>
      <w:r/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 w14:paraId="0F8FF5F5">
          <w:pPr>
            <w:pStyle w:val="781"/>
            <w:pBdr/>
            <w:tabs>
              <w:tab w:val="right" w:leader="dot" w:pos="9354"/>
            </w:tabs>
            <w:spacing w:line="336" w:lineRule="auto"/>
            <w:ind/>
            <w:rPr/>
          </w:pPr>
          <w:r>
            <w:fldChar w:fldCharType="begin"/>
          </w:r>
          <w:r>
            <w:rPr>
              <w:rStyle w:val="750"/>
            </w:rPr>
            <w:instrText xml:space="preserve"> TOC \z \o "1-3" \u \h</w:instrText>
          </w:r>
          <w:r>
            <w:rPr>
              <w:rStyle w:val="750"/>
            </w:rPr>
            <w:fldChar w:fldCharType="separate"/>
          </w:r>
          <w:r/>
          <w:hyperlink w:tooltip="#_Toc1" w:anchor="_Toc1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ПЕРЕЧЕНЬ СОКРАЩЕНИЙ И ОБОЗНАЧЕНИЙ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</w:r>
            <w:r>
              <w:rPr>
                <w:rStyle w:val="749"/>
              </w:rPr>
              <w:t xml:space="preserve">6</w:t>
            </w:r>
            <w:r/>
            <w:r>
              <w:fldChar w:fldCharType="end"/>
            </w:r>
          </w:hyperlink>
          <w:r/>
        </w:p>
        <w:p w14:paraId="5465FE18">
          <w:pPr>
            <w:pStyle w:val="781"/>
            <w:pBdr/>
            <w:tabs>
              <w:tab w:val="right" w:leader="dot" w:pos="9354"/>
            </w:tabs>
            <w:spacing w:line="336" w:lineRule="auto"/>
            <w:ind/>
            <w:rPr/>
          </w:pPr>
          <w:hyperlink w:tooltip="#_Toc2" w:anchor="_Toc2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СОДЕРЖАНИЕ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</w:r>
            <w:r>
              <w:rPr>
                <w:rStyle w:val="749"/>
              </w:rPr>
              <w:t xml:space="preserve">7</w:t>
            </w:r>
            <w:r/>
            <w:r>
              <w:fldChar w:fldCharType="end"/>
            </w:r>
          </w:hyperlink>
          <w:r/>
        </w:p>
        <w:p w14:paraId="1425F89F">
          <w:pPr>
            <w:pStyle w:val="781"/>
            <w:pBdr/>
            <w:tabs>
              <w:tab w:val="clear" w:leader="none" w:pos="720"/>
              <w:tab w:val="right" w:leader="dot" w:pos="9354"/>
              <w:tab w:val="clear" w:leader="none" w:pos="9355"/>
            </w:tabs>
            <w:spacing w:line="336" w:lineRule="auto"/>
            <w:ind/>
            <w:rPr/>
          </w:pPr>
          <w:hyperlink w:tooltip="#_Toc3" w:anchor="_Toc3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ВВЕДЕНИЕ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</w:r>
            <w:r>
              <w:rPr>
                <w:rStyle w:val="749"/>
              </w:rPr>
              <w:t xml:space="preserve">8</w:t>
            </w:r>
            <w:r/>
            <w:r>
              <w:fldChar w:fldCharType="end"/>
            </w:r>
          </w:hyperlink>
          <w:r/>
        </w:p>
        <w:p w14:paraId="13833FA7">
          <w:pPr>
            <w:pStyle w:val="781"/>
            <w:pBdr/>
            <w:tabs>
              <w:tab w:val="clear" w:leader="none" w:pos="720"/>
              <w:tab w:val="right" w:leader="dot" w:pos="9354"/>
              <w:tab w:val="clear" w:leader="none" w:pos="9355"/>
            </w:tabs>
            <w:spacing w:line="336" w:lineRule="auto"/>
            <w:ind/>
            <w:rPr/>
          </w:pPr>
          <w:hyperlink w:tooltip="#_Toc4" w:anchor="_Toc4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  <w:highlight w:val="none"/>
                <w:lang w:val="ru-RU"/>
              </w:rPr>
              <w:t xml:space="preserve">ОСНОВНАЯ ЧАСТЬ</w:t>
            </w:r>
            <w:r>
              <w:rPr>
                <w:rStyle w:val="749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</w:r>
            <w:r>
              <w:rPr>
                <w:rStyle w:val="749"/>
              </w:rPr>
              <w:t xml:space="preserve">11</w:t>
            </w:r>
            <w:r/>
            <w:r>
              <w:fldChar w:fldCharType="end"/>
            </w:r>
          </w:hyperlink>
          <w:r/>
        </w:p>
        <w:p w14:paraId="22F8974A">
          <w:pPr>
            <w:pStyle w:val="782"/>
            <w:pBdr/>
            <w:tabs>
              <w:tab w:val="clear" w:leader="none" w:pos="720"/>
              <w:tab w:val="clear" w:leader="none" w:pos="9072"/>
              <w:tab w:val="right" w:leader="dot" w:pos="9354"/>
            </w:tabs>
            <w:spacing w:line="336" w:lineRule="auto"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5" w:anchor="_Toc5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1 Обзор существующих подходов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</w:r>
            <w:r>
              <w:rPr>
                <w:rStyle w:val="749"/>
              </w:rPr>
              <w:t xml:space="preserve">11</w:t>
            </w:r>
            <w:r/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220DB626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6" w:anchor="_Toc6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1.1 Мультиагентные системы защиты информации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</w:r>
            <w:r>
              <w:rPr>
                <w:rStyle w:val="749"/>
              </w:rPr>
              <w:t xml:space="preserve">11</w:t>
            </w:r>
            <w:r/>
            <w:r>
              <w:fldChar w:fldCharType="end"/>
            </w:r>
          </w:hyperlink>
          <w:r/>
        </w:p>
        <w:p w14:paraId="4C08C599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7" w:anchor="_Toc7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1.2 Стандартизация обмена разведывательным контекстом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</w:r>
            <w:r>
              <w:rPr>
                <w:rStyle w:val="749"/>
              </w:rPr>
              <w:t xml:space="preserve">11</w:t>
            </w:r>
            <w:r/>
            <w:r>
              <w:fldChar w:fldCharType="end"/>
            </w:r>
          </w:hyperlink>
          <w:r/>
        </w:p>
        <w:p w14:paraId="5AB15569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8" w:anchor="_Toc8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1.3 Стандартизация оркестрации ответных действий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</w:r>
            <w:r>
              <w:rPr>
                <w:rStyle w:val="749"/>
              </w:rPr>
              <w:t xml:space="preserve">12</w:t>
            </w:r>
            <w:r/>
            <w:r>
              <w:fldChar w:fldCharType="end"/>
            </w:r>
          </w:hyperlink>
          <w:r/>
        </w:p>
        <w:p w14:paraId="773BE2C3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9" w:anchor="_Toc9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1.4 Нормализация схемы событий безопасности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</w:r>
            <w:r>
              <w:rPr>
                <w:rStyle w:val="749"/>
              </w:rPr>
              <w:t xml:space="preserve">13</w:t>
            </w:r>
            <w:r/>
            <w:r>
              <w:fldChar w:fldCharType="end"/>
            </w:r>
          </w:hyperlink>
          <w:r/>
        </w:p>
        <w:p w14:paraId="39872128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10" w:anchor="_Toc10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1.5 Протоколы взаимодействия LLM-агентов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</w:r>
            <w:r>
              <w:rPr>
                <w:rStyle w:val="749"/>
              </w:rPr>
              <w:t xml:space="preserve">13</w:t>
            </w:r>
            <w:r/>
            <w:r>
              <w:fldChar w:fldCharType="end"/>
            </w:r>
          </w:hyperlink>
          <w:r/>
        </w:p>
        <w:p w14:paraId="61BA1F5E">
          <w:pPr>
            <w:pStyle w:val="782"/>
            <w:pBdr/>
            <w:tabs>
              <w:tab w:val="clear" w:leader="none" w:pos="720"/>
              <w:tab w:val="clear" w:leader="none" w:pos="9072"/>
              <w:tab w:val="right" w:leader="dot" w:pos="9354"/>
            </w:tabs>
            <w:spacing w:line="336" w:lineRule="auto"/>
            <w:ind/>
            <w:rPr/>
          </w:pPr>
          <w:hyperlink w:tooltip="#_Toc11" w:anchor="_Toc11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2 Сравнительный анализ протоколов обмена контекстом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</w:r>
            <w:r>
              <w:rPr>
                <w:rStyle w:val="749"/>
              </w:rPr>
              <w:t xml:space="preserve">14</w:t>
            </w:r>
            <w:r/>
            <w:r>
              <w:fldChar w:fldCharType="end"/>
            </w:r>
          </w:hyperlink>
          <w:r/>
        </w:p>
        <w:p w14:paraId="447A7E38">
          <w:pPr>
            <w:pStyle w:val="782"/>
            <w:pBdr/>
            <w:tabs>
              <w:tab w:val="clear" w:leader="none" w:pos="720"/>
              <w:tab w:val="clear" w:leader="none" w:pos="9072"/>
              <w:tab w:val="right" w:leader="dot" w:pos="9354"/>
            </w:tabs>
            <w:spacing w:line="336" w:lineRule="auto"/>
            <w:ind/>
            <w:rPr/>
          </w:pPr>
          <w:hyperlink w:tooltip="#_Toc12" w:anchor="_Toc12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3 Метрики оценки эффективности обмена контекстом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</w:r>
            <w:r>
              <w:rPr>
                <w:rStyle w:val="749"/>
              </w:rPr>
              <w:t xml:space="preserve">16</w:t>
            </w:r>
            <w:r/>
            <w:r>
              <w:fldChar w:fldCharType="end"/>
            </w:r>
          </w:hyperlink>
          <w:r/>
        </w:p>
        <w:p w14:paraId="2BBACE1C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13" w:anchor="_Toc13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3.1 Коэффициент полноты контекста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</w:r>
            <w:r>
              <w:rPr>
                <w:rStyle w:val="749"/>
              </w:rPr>
              <w:t xml:space="preserve">16</w:t>
            </w:r>
            <w:r/>
            <w:r>
              <w:fldChar w:fldCharType="end"/>
            </w:r>
          </w:hyperlink>
          <w:r/>
        </w:p>
        <w:p w14:paraId="563F7473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14" w:anchor="_Toc14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3.2 Задержка распространения контекста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</w:r>
            <w:r>
              <w:rPr>
                <w:rStyle w:val="749"/>
              </w:rPr>
              <w:t xml:space="preserve">17</w:t>
            </w:r>
            <w:r/>
            <w:r>
              <w:fldChar w:fldCharType="end"/>
            </w:r>
          </w:hyperlink>
          <w:r/>
        </w:p>
        <w:p w14:paraId="75440211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15" w:anchor="_Toc15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3.3 Коэффициент семантической согласованности агентов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</w:r>
            <w:r>
              <w:rPr>
                <w:rStyle w:val="749"/>
              </w:rPr>
              <w:t xml:space="preserve">18</w:t>
            </w:r>
            <w:r/>
            <w:r>
              <w:fldChar w:fldCharType="end"/>
            </w:r>
          </w:hyperlink>
          <w:r/>
        </w:p>
        <w:p w14:paraId="3E8BA23B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16" w:anchor="_Toc16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3.4 Условия совместного применения метрик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</w:r>
            <w:r>
              <w:rPr>
                <w:rStyle w:val="749"/>
              </w:rPr>
              <w:t xml:space="preserve">18</w:t>
            </w:r>
            <w:r/>
            <w:r>
              <w:fldChar w:fldCharType="end"/>
            </w:r>
          </w:hyperlink>
          <w:r/>
        </w:p>
        <w:p w14:paraId="656ECA5D">
          <w:pPr>
            <w:pStyle w:val="782"/>
            <w:pBdr/>
            <w:tabs>
              <w:tab w:val="clear" w:leader="none" w:pos="720"/>
              <w:tab w:val="clear" w:leader="none" w:pos="9072"/>
              <w:tab w:val="right" w:leader="dot" w:pos="9354"/>
            </w:tabs>
            <w:spacing w:line="336" w:lineRule="auto"/>
            <w:ind/>
            <w:rPr/>
          </w:pPr>
          <w:hyperlink w:tooltip="#_Toc17" w:anchor="_Toc17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4 Концептуальная архитектура брокера контекста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</w:r>
            <w:r>
              <w:rPr>
                <w:rStyle w:val="749"/>
              </w:rPr>
              <w:t xml:space="preserve">19</w:t>
            </w:r>
            <w:r/>
            <w:r>
              <w:fldChar w:fldCharType="end"/>
            </w:r>
          </w:hyperlink>
          <w:r/>
        </w:p>
        <w:p w14:paraId="20CDBDF6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18" w:anchor="_Toc18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4.1 Уровень автономных агентов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</w:r>
            <w:r>
              <w:rPr>
                <w:rStyle w:val="749"/>
              </w:rPr>
              <w:t xml:space="preserve">19</w:t>
            </w:r>
            <w:r/>
            <w:r>
              <w:fldChar w:fldCharType="end"/>
            </w:r>
          </w:hyperlink>
          <w:r/>
        </w:p>
        <w:p w14:paraId="10F381AA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19" w:anchor="_Toc19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4.2 Уровень брокера контекста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</w:r>
            <w:r>
              <w:rPr>
                <w:rStyle w:val="749"/>
              </w:rPr>
              <w:t xml:space="preserve">20</w:t>
            </w:r>
            <w:r/>
            <w:r>
              <w:fldChar w:fldCharType="end"/>
            </w:r>
          </w:hyperlink>
          <w:r/>
        </w:p>
        <w:p w14:paraId="333A2106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20" w:anchor="_Toc20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4.3 Уровень оркестрации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</w:r>
            <w:r>
              <w:rPr>
                <w:rStyle w:val="749"/>
              </w:rPr>
              <w:t xml:space="preserve">20</w:t>
            </w:r>
            <w:r/>
            <w:r>
              <w:fldChar w:fldCharType="end"/>
            </w:r>
          </w:hyperlink>
          <w:r/>
        </w:p>
        <w:p w14:paraId="5AFB7DF2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21" w:anchor="_Toc21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4.4 Сценарий межагентного взаимодействия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</w:r>
            <w:r>
              <w:rPr>
                <w:rStyle w:val="749"/>
              </w:rPr>
              <w:t xml:space="preserve">21</w:t>
            </w:r>
            <w:r/>
            <w:r>
              <w:fldChar w:fldCharType="end"/>
            </w:r>
          </w:hyperlink>
          <w:r/>
        </w:p>
        <w:p w14:paraId="10B946F2">
          <w:pPr>
            <w:pStyle w:val="782"/>
            <w:pBdr/>
            <w:tabs>
              <w:tab w:val="clear" w:leader="none" w:pos="720"/>
              <w:tab w:val="clear" w:leader="none" w:pos="9072"/>
              <w:tab w:val="right" w:leader="dot" w:pos="9354"/>
            </w:tabs>
            <w:spacing w:line="336" w:lineRule="auto"/>
            <w:ind/>
            <w:rPr/>
          </w:pPr>
          <w:hyperlink w:tooltip="#_Toc22" w:anchor="_Toc22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5 Обсуждение результатов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</w:r>
            <w:r>
              <w:rPr>
                <w:rStyle w:val="749"/>
              </w:rPr>
              <w:t xml:space="preserve">22</w:t>
            </w:r>
            <w:r/>
            <w:r>
              <w:fldChar w:fldCharType="end"/>
            </w:r>
          </w:hyperlink>
          <w:r/>
        </w:p>
        <w:p w14:paraId="26115DD8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23" w:anchor="_Toc23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5.1 Сопоставление с существующими решениями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</w:r>
            <w:r>
              <w:rPr>
                <w:rStyle w:val="749"/>
              </w:rPr>
              <w:t xml:space="preserve">22</w:t>
            </w:r>
            <w:r/>
            <w:r>
              <w:fldChar w:fldCharType="end"/>
            </w:r>
          </w:hyperlink>
          <w:r/>
        </w:p>
        <w:p w14:paraId="3C5F5B15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24" w:anchor="_Toc24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5.2 Научная новизна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</w:r>
            <w:r>
              <w:rPr>
                <w:rStyle w:val="749"/>
              </w:rPr>
              <w:t xml:space="preserve">22</w:t>
            </w:r>
            <w:r/>
            <w:r>
              <w:fldChar w:fldCharType="end"/>
            </w:r>
          </w:hyperlink>
          <w:r/>
        </w:p>
        <w:p w14:paraId="297A4966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25" w:anchor="_Toc25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5.3 Ограничения предложенного подхода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</w:r>
            <w:r>
              <w:rPr>
                <w:rStyle w:val="749"/>
              </w:rPr>
              <w:t xml:space="preserve">23</w:t>
            </w:r>
            <w:r/>
            <w:r>
              <w:fldChar w:fldCharType="end"/>
            </w:r>
          </w:hyperlink>
          <w:r/>
        </w:p>
        <w:p w14:paraId="78E472DB">
          <w:pPr>
            <w:pStyle w:val="783"/>
            <w:pBdr/>
            <w:tabs>
              <w:tab w:val="clear" w:leader="none" w:pos="720"/>
              <w:tab w:val="clear" w:leader="none" w:pos="8788"/>
              <w:tab w:val="right" w:leader="dot" w:pos="9354"/>
            </w:tabs>
            <w:spacing w:line="336" w:lineRule="auto"/>
            <w:ind/>
            <w:rPr/>
          </w:pPr>
          <w:hyperlink w:tooltip="#_Toc26" w:anchor="_Toc26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5.4 Направления дальнейших исследований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</w:r>
            <w:r>
              <w:rPr>
                <w:rStyle w:val="749"/>
              </w:rPr>
              <w:t xml:space="preserve">23</w:t>
            </w:r>
            <w:r/>
            <w:r>
              <w:fldChar w:fldCharType="end"/>
            </w:r>
          </w:hyperlink>
          <w:r/>
        </w:p>
        <w:p w14:paraId="0CF426BA">
          <w:pPr>
            <w:pStyle w:val="781"/>
            <w:pBdr/>
            <w:tabs>
              <w:tab w:val="clear" w:leader="none" w:pos="720"/>
              <w:tab w:val="right" w:leader="dot" w:pos="9354"/>
              <w:tab w:val="clear" w:leader="none" w:pos="9355"/>
            </w:tabs>
            <w:spacing w:line="336" w:lineRule="auto"/>
            <w:ind/>
            <w:rPr/>
          </w:pPr>
          <w:hyperlink w:tooltip="#_Toc27" w:anchor="_Toc27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ЗАКЛЮЧЕНИЕ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</w:r>
            <w:r>
              <w:rPr>
                <w:rStyle w:val="749"/>
              </w:rPr>
              <w:t xml:space="preserve">25</w:t>
            </w:r>
            <w:r/>
            <w:r>
              <w:fldChar w:fldCharType="end"/>
            </w:r>
          </w:hyperlink>
          <w:r/>
        </w:p>
        <w:p w14:paraId="126D27CC">
          <w:pPr>
            <w:pStyle w:val="781"/>
            <w:pBdr/>
            <w:tabs>
              <w:tab w:val="clear" w:leader="none" w:pos="720"/>
              <w:tab w:val="right" w:leader="dot" w:pos="9354"/>
              <w:tab w:val="clear" w:leader="none" w:pos="9355"/>
            </w:tabs>
            <w:spacing w:line="336" w:lineRule="auto"/>
            <w:ind/>
            <w:rPr/>
          </w:pPr>
          <w:hyperlink w:tooltip="#_Toc28" w:anchor="_Toc28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СПИСОК ИСПОЛЬЗОВАННЫХ ИСТОЧНИКОВ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</w:r>
            <w:r>
              <w:rPr>
                <w:rStyle w:val="749"/>
              </w:rPr>
              <w:t xml:space="preserve">27</w:t>
            </w:r>
            <w:r/>
            <w:r>
              <w:fldChar w:fldCharType="end"/>
            </w:r>
          </w:hyperlink>
          <w:r/>
        </w:p>
        <w:p w14:paraId="134C511B">
          <w:pPr>
            <w:pStyle w:val="781"/>
            <w:pBdr/>
            <w:tabs>
              <w:tab w:val="right" w:leader="dot" w:pos="9354"/>
            </w:tabs>
            <w:spacing w:line="336" w:lineRule="auto"/>
            <w:ind/>
            <w:rPr/>
          </w:pPr>
          <w:hyperlink w:tooltip="#_Toc29" w:anchor="_Toc29" w:history="1">
            <w:r>
              <w:rPr>
                <w:rStyle w:val="749"/>
              </w:rPr>
            </w:r>
            <w:r>
              <w:rPr>
                <w:rStyle w:val="749"/>
                <w:rFonts w:ascii="Times New Roman" w:hAnsi="Times New Roman" w:eastAsia="Times New Roman" w:cs="Times New Roman"/>
              </w:rPr>
              <w:t xml:space="preserve">ПРИЛОЖЕНИЕ А</w:t>
            </w:r>
            <w:r>
              <w:rPr>
                <w:rStyle w:val="749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</w:r>
            <w:r>
              <w:rPr>
                <w:rStyle w:val="749"/>
              </w:rPr>
              <w:t xml:space="preserve">29</w:t>
            </w:r>
            <w:r/>
            <w:r>
              <w:fldChar w:fldCharType="end"/>
            </w:r>
          </w:hyperlink>
          <w:r/>
        </w:p>
        <w:p w14:paraId="0799B20D">
          <w:pPr>
            <w:pStyle w:val="781"/>
            <w:pBdr/>
            <w:tabs>
              <w:tab w:val="right" w:leader="dot" w:pos="9354"/>
              <w:tab w:val="clear" w:leader="none" w:pos="9355"/>
            </w:tabs>
            <w:spacing/>
            <w:ind/>
            <w:rPr/>
          </w:pPr>
          <w:r>
            <w:rPr>
              <w:rStyle w:val="750"/>
            </w:rPr>
          </w:r>
          <w:r>
            <w:rPr>
              <w:rStyle w:val="750"/>
            </w:rPr>
            <w:fldChar w:fldCharType="end"/>
          </w:r>
          <w:r/>
          <w:r/>
        </w:p>
      </w:sdtContent>
    </w:sdt>
    <w:p>
      <w:pPr>
        <w:pStyle w:val="712"/>
        <w:pBdr/>
        <w:spacing/>
        <w:ind w:firstLine="0"/>
        <w:rPr/>
      </w:pPr>
      <w:r/>
      <w:r>
        <w:br w:type="page" w:clear="all"/>
      </w:r>
      <w:r/>
    </w:p>
    <w:p>
      <w:pPr>
        <w:pStyle w:val="713"/>
        <w:pBdr/>
        <w:spacing w:after="0" w:before="0"/>
        <w:ind w:firstLine="0"/>
        <w:jc w:val="center"/>
        <w:rPr/>
      </w:pPr>
      <w:r/>
      <w:bookmarkStart w:id="58" w:name="_Toc3"/>
      <w:r/>
      <w:bookmarkStart w:id="4" w:name="__RefHeading___Toc894_430826545"/>
      <w:r/>
      <w:bookmarkStart w:id="5" w:name="vved"/>
      <w:r/>
      <w:bookmarkEnd w:id="4"/>
      <w:r/>
      <w:bookmarkEnd w:id="5"/>
      <w:r>
        <w:rPr>
          <w:rFonts w:ascii="Times New Roman" w:hAnsi="Times New Roman" w:eastAsia="Times New Roman" w:cs="Times New Roman"/>
          <w:b/>
          <w:sz w:val="28"/>
        </w:rPr>
        <w:t xml:space="preserve">ВВЕДЕНИЕ</w:t>
      </w:r>
      <w:bookmarkEnd w:id="58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Современный этап развит</w:t>
      </w:r>
      <w:r>
        <w:rPr>
          <w:rFonts w:eastAsia="Times New Roman" w:cs="Times New Roman"/>
          <w:b w:val="0"/>
          <w:i w:val="0"/>
          <w:sz w:val="28"/>
        </w:rPr>
        <w:t xml:space="preserve">ия средств обеспечения информационной безопасности характеризуется переходом от монолитных систем обнаружения, основанных на сигнатурном анализе и фиксированных корреляционных правилах, к гетерогенным мультиагентным архитектурам, в которых отдельные програ</w:t>
      </w:r>
      <w:r>
        <w:rPr>
          <w:rFonts w:eastAsia="Times New Roman" w:cs="Times New Roman"/>
          <w:b w:val="0"/>
          <w:i w:val="0"/>
          <w:sz w:val="28"/>
        </w:rPr>
        <w:t xml:space="preserve">ммные сущности – автономные агенты – отвечают за частные функции защиты: сбор телеметрии, обогащение разведывательным контекстом, принятие тактических решений и исполнение ответных действий. Усиление этого тренда обусловлено двумя факторами: появлением бол</w:t>
      </w:r>
      <w:r>
        <w:rPr>
          <w:rFonts w:eastAsia="Times New Roman" w:cs="Times New Roman"/>
          <w:b w:val="0"/>
          <w:i w:val="0"/>
          <w:sz w:val="28"/>
        </w:rPr>
        <w:t xml:space="preserve">ьших языковых моделей (LLM, от англ. Large Language Model), способных порождать рассуждения над разнородными данными, и развитием методов автоматизации реагирования на инциденты в рамках систем класса SOAR (Security Orchestration, Automation and Response).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Эффективность мультиагентной защиты определяется в первую очередь не качеством отдельной модели, а согласованностью обмена контекстом – структуриров</w:t>
      </w:r>
      <w:r>
        <w:rPr>
          <w:rFonts w:eastAsia="Times New Roman" w:cs="Times New Roman"/>
          <w:b w:val="0"/>
          <w:i w:val="0"/>
          <w:sz w:val="28"/>
        </w:rPr>
        <w:t xml:space="preserve">анной информацией о состоянии наблюдаемой среды, обнаруженных индикаторах компрометации, выполненных действиях и принятых решениях. Несогласованный обмен порождает три типичных дефекта: потерю атрибутов события при трансляции между форматами, рассинхрониза</w:t>
      </w:r>
      <w:r>
        <w:rPr>
          <w:rFonts w:eastAsia="Times New Roman" w:cs="Times New Roman"/>
          <w:b w:val="0"/>
          <w:i w:val="0"/>
          <w:sz w:val="28"/>
        </w:rPr>
        <w:t xml:space="preserve">цию состояний агентов и невозможность аудита принятых решений. Каждый из этих дефектов влечёт прямые операционные риски: ложные срабатывания, пропуск инцидентов и неустранимые расхождения между журналами SIEM и фактическими действиями системы реагирования.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За последние пять лет сообщество стандартизации предложило несколько отчасти конкурирующих протоколов и схем для обмена данными о безопасност</w:t>
      </w:r>
      <w:r>
        <w:rPr>
          <w:rFonts w:eastAsia="Times New Roman" w:cs="Times New Roman"/>
          <w:b w:val="0"/>
          <w:i w:val="0"/>
          <w:sz w:val="28"/>
        </w:rPr>
        <w:t xml:space="preserve">и: STIX 2.1 и TAXII 2.1 для разведывательного контекста [3, 4], OCSF для нормализации событий [5, 6], CACAO 2.0 для плейбуков реагирования [7], OpenC2 для атомарных команд защиты [8], Model Context Protocol (MCP) для взаимодействия LLM-агентов с инструмент</w:t>
      </w:r>
      <w:r>
        <w:rPr>
          <w:rFonts w:eastAsia="Times New Roman" w:cs="Times New Roman"/>
          <w:b w:val="0"/>
          <w:i w:val="0"/>
          <w:sz w:val="28"/>
        </w:rPr>
        <w:t xml:space="preserve">ами [9] и Agent-to-Agent (A2A) для прямой межагентной координации [10]. Каждый из этих стандартов решает свою задачу, однако вопрос их совместного применения остаётся открытым: проекции данных между ними неполны, а семантика терминов частично пересекается.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Объектом исследования являются процесс</w:t>
      </w:r>
      <w:r>
        <w:rPr>
          <w:rFonts w:eastAsia="Times New Roman" w:cs="Times New Roman"/>
          <w:b w:val="0"/>
          <w:i w:val="0"/>
          <w:sz w:val="28"/>
        </w:rPr>
        <w:t xml:space="preserve">ы обмена контекстом между автономными агентами кибербезопасности в составе распределённых систем защиты информации. Предметом исследования выступают протоколы и форматы обмена контекстом, а также методы их согласования при построении мультиагентной защиты.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/>
          <w:i w:val="0"/>
          <w:sz w:val="28"/>
        </w:rPr>
        <w:t xml:space="preserve">Актуальность. </w:t>
      </w:r>
      <w:r>
        <w:rPr>
          <w:rFonts w:eastAsia="Times New Roman" w:cs="Times New Roman"/>
          <w:b w:val="0"/>
          <w:i w:val="0"/>
          <w:sz w:val="28"/>
        </w:rPr>
        <w:t xml:space="preserve">Современные центры реагирования вынуждены интегрировать большое чис</w:t>
      </w:r>
      <w:r>
        <w:rPr>
          <w:rFonts w:eastAsia="Times New Roman" w:cs="Times New Roman"/>
          <w:b w:val="0"/>
          <w:i w:val="0"/>
          <w:sz w:val="28"/>
        </w:rPr>
        <w:t xml:space="preserve">ло разнородных источников данных и систем исполнения, при этом отдельные стандарты обмена закрывают лишь часть полного цикла координации. Без согласованного межагентного обмена контекстом автономное реагирование на инциденты становится либо невозможным, ли</w:t>
      </w:r>
      <w:r>
        <w:rPr>
          <w:rFonts w:eastAsia="Times New Roman" w:cs="Times New Roman"/>
          <w:b w:val="0"/>
          <w:i w:val="0"/>
          <w:sz w:val="28"/>
        </w:rPr>
        <w:t xml:space="preserve">бо сопряжённым с риском выполнения деструктивных действий на основании неполных или несогласованных данных. Это обусловливает необходимость систематизации существующих протоколов и обоснования архитектурного решения, преодолевающего их частные ограничения.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/>
          <w:i w:val="0"/>
          <w:sz w:val="28"/>
        </w:rPr>
        <w:t xml:space="preserve">Научная новизна. </w:t>
      </w:r>
      <w:r>
        <w:rPr>
          <w:rFonts w:eastAsia="Times New Roman" w:cs="Times New Roman"/>
          <w:b w:val="0"/>
          <w:i w:val="0"/>
          <w:sz w:val="28"/>
        </w:rPr>
        <w:t xml:space="preserve">Впервые предложен синтез</w:t>
      </w:r>
      <w:r>
        <w:rPr>
          <w:rFonts w:eastAsia="Times New Roman" w:cs="Times New Roman"/>
          <w:b w:val="0"/>
          <w:i w:val="0"/>
          <w:sz w:val="28"/>
        </w:rPr>
        <w:t xml:space="preserve"> единой архитектурной модели, объединяющей четыре функциональных уровня обмена контекстом (нормализация телеметрии, разведывательный контекст, исполнение защитных действий и агентная координация). Введены количественные метрики качества межагентного взаимо</w:t>
      </w:r>
      <w:r>
        <w:rPr>
          <w:rFonts w:eastAsia="Times New Roman" w:cs="Times New Roman"/>
          <w:b w:val="0"/>
          <w:i w:val="0"/>
          <w:sz w:val="28"/>
        </w:rPr>
        <w:t xml:space="preserve">действия – коэффициент полноты контекста (КПК), задержка распространения контекста (ЗРК) и коэффициент семантической согласованности агентов (КССА), для которых сформулированы пороговые значения, обеспечивающие корректность автономного режима реагирования.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/>
          <w:i w:val="0"/>
          <w:sz w:val="28"/>
        </w:rPr>
        <w:t xml:space="preserve">Цель работы – </w:t>
      </w:r>
      <w:r>
        <w:rPr>
          <w:rFonts w:eastAsia="Times New Roman" w:cs="Times New Roman"/>
          <w:b w:val="0"/>
          <w:i w:val="0"/>
          <w:sz w:val="28"/>
        </w:rPr>
        <w:t xml:space="preserve">систематизация существующих протоколов обмена контекстом и обоснование архитектурного решения, обеспечивающего полный цикл координации автономных агентов кибербезопасности.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/>
          <w:i w:val="0"/>
          <w:sz w:val="28"/>
        </w:rPr>
        <w:t xml:space="preserve">Решаемые задачи: 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1) выполнить сравнительный анализ современных протоколов и схем обмена данными в информационной безопасности;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2) сформулировать количественные метрики качества межагентного взаимодействия;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3) предложить архитектуру брокера контекста, преодолевающую ограничения отдельных протоколов;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4) обосновать пороговые значения метрик, допускающие автономный режим реагирования.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/>
          <w:i w:val="0"/>
          <w:sz w:val="28"/>
        </w:rPr>
        <w:t xml:space="preserve">Структура работы </w:t>
      </w:r>
      <w:r>
        <w:rPr>
          <w:rFonts w:eastAsia="Times New Roman" w:cs="Times New Roman"/>
          <w:b w:val="0"/>
          <w:i w:val="0"/>
          <w:sz w:val="28"/>
        </w:rPr>
        <w:t xml:space="preserve">построена в логике «обзор – анализ – синтез»: за обзором существующих подхо</w:t>
      </w:r>
      <w:r>
        <w:rPr>
          <w:rFonts w:eastAsia="Times New Roman" w:cs="Times New Roman"/>
          <w:b w:val="0"/>
          <w:i w:val="0"/>
          <w:sz w:val="28"/>
        </w:rPr>
        <w:t xml:space="preserve">дов следует сравнительная классификация протоколов, далее предлагаются количественные метрики, после чего описывается концептуальная архитектура брокера контекста. Завершают изложение обсуждение полученных результатов и направления дальнейших исследований.</w:t>
      </w:r>
      <w:r/>
    </w:p>
    <w:p>
      <w:pPr>
        <w:pStyle w:val="712"/>
        <w:pBdr/>
        <w:spacing/>
        <w:ind w:firstLine="0"/>
        <w:rPr/>
      </w:pPr>
      <w:r/>
      <w:r>
        <w:br w:type="page" w:clear="all"/>
      </w:r>
      <w:r/>
    </w:p>
    <w:p w14:paraId="579A7FF9">
      <w:pPr>
        <w:pStyle w:val="713"/>
        <w:pBdr/>
        <w:spacing/>
        <w:ind/>
        <w:rPr/>
      </w:pPr>
      <w:r/>
      <w:bookmarkStart w:id="59" w:name="_Toc4"/>
      <w:r>
        <w:rPr>
          <w:rFonts w:ascii="Times New Roman" w:hAnsi="Times New Roman" w:eastAsia="Times New Roman" w:cs="Times New Roman"/>
          <w:b/>
          <w:sz w:val="28"/>
          <w:highlight w:val="none"/>
          <w:lang w:val="ru-RU"/>
        </w:rPr>
        <w:t xml:space="preserve">ОСНОВНАЯ ЧАСТЬ</w:t>
      </w:r>
      <w:bookmarkEnd w:id="59"/>
      <w:r/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pStyle w:val="714"/>
        <w:pBdr/>
        <w:spacing w:after="0" w:before="0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/>
      <w:bookmarkStart w:id="60" w:name="_Toc5"/>
      <w:r/>
      <w:bookmarkStart w:id="6" w:name="__RefHeading___Toc896_430826545"/>
      <w:r/>
      <w:bookmarkStart w:id="7" w:name="h1"/>
      <w:r/>
      <w:bookmarkEnd w:id="6"/>
      <w:r/>
      <w:bookmarkEnd w:id="7"/>
      <w:r>
        <w:rPr>
          <w:rFonts w:ascii="Times New Roman" w:hAnsi="Times New Roman" w:eastAsia="Times New Roman" w:cs="Times New Roman"/>
          <w:b/>
          <w:sz w:val="28"/>
        </w:rPr>
        <w:t xml:space="preserve">1 Обзор существующих подходов</w:t>
      </w:r>
      <w:bookmarkEnd w:id="60"/>
      <w:r/>
      <w:r/>
    </w:p>
    <w:p>
      <w:pPr>
        <w:pStyle w:val="715"/>
        <w:pBdr/>
        <w:spacing/>
        <w:ind w:firstLine="709"/>
        <w:jc w:val="left"/>
        <w:rPr/>
      </w:pPr>
      <w:r/>
      <w:bookmarkStart w:id="61" w:name="_Toc6"/>
      <w:r/>
      <w:bookmarkStart w:id="8" w:name="__RefHeading___Toc898_430826545"/>
      <w:r/>
      <w:bookmarkStart w:id="9" w:name="h11"/>
      <w:r/>
      <w:bookmarkEnd w:id="8"/>
      <w:r/>
      <w:bookmarkEnd w:id="9"/>
      <w:r>
        <w:rPr>
          <w:rFonts w:ascii="Times New Roman" w:hAnsi="Times New Roman" w:eastAsia="Times New Roman" w:cs="Times New Roman"/>
          <w:b/>
          <w:sz w:val="28"/>
        </w:rPr>
        <w:t xml:space="preserve">1.1 Мультиагентные системы защиты информации</w:t>
      </w:r>
      <w:bookmarkEnd w:id="61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Вопрос взаимодействия интеллектуальных агентов в системах информационной безопасности изучается с начала 2000-х гг. Первые работы в этом направлении принадлежат В.И. Городецкому, И.В. Котенко и О.В. Карсаеву, которые заложи</w:t>
      </w:r>
      <w:r>
        <w:rPr>
          <w:rFonts w:eastAsia="Times New Roman" w:cs="Times New Roman"/>
          <w:b w:val="0"/>
          <w:i w:val="0"/>
          <w:sz w:val="28"/>
        </w:rPr>
        <w:t xml:space="preserve">ли основу распределённых систем обнаружения вторжений на базе стандарта FIPA ACL [1]. Предложенные ими механизмы обучения и формирования решений показали возможность согласованной классификации событий несколькими агентами, однако сам стандарт FIPA ACL ори</w:t>
      </w:r>
      <w:r>
        <w:rPr>
          <w:rFonts w:eastAsia="Times New Roman" w:cs="Times New Roman"/>
          <w:b w:val="0"/>
          <w:i w:val="0"/>
          <w:sz w:val="28"/>
        </w:rPr>
        <w:t xml:space="preserve">ентирован на передачу речевых актов и не предусматривает обязательной семантической разметки структурированных данных об угрозах. Это ограничение сделало FIPA-подобные транспортные слои малоприменимыми к задачам современного управления Threat Intelligence.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Дальнейшее развитие направления отражено в работе А.А. Браницкого и И.В. Котенко [2], где систематизированы свыше сор</w:t>
      </w:r>
      <w:r>
        <w:rPr>
          <w:rFonts w:eastAsia="Times New Roman" w:cs="Times New Roman"/>
          <w:b w:val="0"/>
          <w:i w:val="0"/>
          <w:sz w:val="28"/>
        </w:rPr>
        <w:t xml:space="preserve">ока методов обнаружения сетевых атак. Авторы показали, что централизованные подходы при росте сетевой нагрузки и числа источников телеметрии теряют масштабируемость, а распределённые мультиагентные решения требуют единого протокола обмена данными между узл</w:t>
      </w:r>
      <w:r>
        <w:rPr>
          <w:rFonts w:eastAsia="Times New Roman" w:cs="Times New Roman"/>
          <w:b w:val="0"/>
          <w:i w:val="0"/>
          <w:sz w:val="28"/>
        </w:rPr>
        <w:t xml:space="preserve">ами. Эти выводы остаются актуальными и сегодня, когда количество источников данных в типовой корпоративной сети возрастает на порядок за счёт включения телеметрии EDR (Endpoint Detection and Response), NDR (Network Detection and Response) и облачных трасс.</w:t>
      </w:r>
      <w:r/>
    </w:p>
    <w:p>
      <w:pPr>
        <w:pStyle w:val="715"/>
        <w:pBdr/>
        <w:spacing/>
        <w:ind w:firstLine="709"/>
        <w:jc w:val="left"/>
        <w:rPr/>
      </w:pPr>
      <w:r/>
      <w:bookmarkStart w:id="62" w:name="_Toc7"/>
      <w:r/>
      <w:bookmarkStart w:id="10" w:name="__RefHeading___Toc900_430826545"/>
      <w:r/>
      <w:bookmarkStart w:id="11" w:name="h12"/>
      <w:r/>
      <w:bookmarkEnd w:id="10"/>
      <w:r/>
      <w:bookmarkEnd w:id="11"/>
      <w:r>
        <w:rPr>
          <w:rFonts w:ascii="Times New Roman" w:hAnsi="Times New Roman" w:eastAsia="Times New Roman" w:cs="Times New Roman"/>
          <w:b/>
          <w:sz w:val="28"/>
        </w:rPr>
        <w:t xml:space="preserve">1.2 Стандартизация обмена разведывательным контекстом</w:t>
      </w:r>
      <w:bookmarkEnd w:id="62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Второе направление развития связано со стандартизацией обмена данными разведки угроз (Cyber Threat Intelligence, CTI). Спецификация STIX 2.1, принятая консорц</w:t>
      </w:r>
      <w:r>
        <w:rPr>
          <w:rFonts w:eastAsia="Times New Roman" w:cs="Times New Roman"/>
          <w:b w:val="0"/>
          <w:i w:val="0"/>
          <w:sz w:val="28"/>
        </w:rPr>
        <w:t xml:space="preserve">иумом OASIS 10 июня 2021 г. [3], определяет структурированный язык описания объектов угрозы: индикаторов компрометации (Indicator), шаблонов атак (Attack Pattern), злоумышленников (Threat Actor), кампаний (Campaign), а также связей между ними (STIX Relatio</w:t>
      </w:r>
      <w:r>
        <w:rPr>
          <w:rFonts w:eastAsia="Times New Roman" w:cs="Times New Roman"/>
          <w:b w:val="0"/>
          <w:i w:val="0"/>
          <w:sz w:val="28"/>
        </w:rPr>
        <w:t xml:space="preserve">nship Objects, SRO). Транспортная спецификация TAXII 2.1 [4] описывает HTTPS-протокол публикации и подписки на коллекции STIX-объектов. Совместно STIX и TAXII широко применяются в платформах OpenCTI, MISP, EclecticIQ и в коммерческих CTI-сервисах [11, 12].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Прикладная ценность STIX/TAXII подтверждается их интеграцией в SIEM- и SOAR-системы корпоративного уровня, однако следует учитывать ограничение, существенное для задач реального времени: семантика обмена в STIX 2.1 принципиально асинхронная и рассчитана </w:t>
      </w:r>
      <w:r>
        <w:rPr>
          <w:rFonts w:eastAsia="Times New Roman" w:cs="Times New Roman"/>
          <w:b w:val="0"/>
          <w:i w:val="0"/>
          <w:sz w:val="28"/>
        </w:rPr>
        <w:t xml:space="preserve">на циклы публикации в часы и сутки, а не миллисекунды и секунды. Кроме того, объекты STIX не предусматривают передачи внутреннего состояния агента – таких полей, как версия обученной модели, текущая нагрузка или степень уверенности в классификации события.</w:t>
      </w:r>
      <w:r/>
    </w:p>
    <w:p>
      <w:pPr>
        <w:pStyle w:val="715"/>
        <w:pBdr/>
        <w:spacing/>
        <w:ind w:firstLine="709"/>
        <w:jc w:val="left"/>
        <w:rPr/>
      </w:pPr>
      <w:r/>
      <w:bookmarkStart w:id="63" w:name="_Toc8"/>
      <w:r/>
      <w:bookmarkStart w:id="12" w:name="__RefHeading___Toc902_430826545"/>
      <w:r/>
      <w:bookmarkStart w:id="13" w:name="h13"/>
      <w:r/>
      <w:bookmarkEnd w:id="12"/>
      <w:r/>
      <w:bookmarkEnd w:id="13"/>
      <w:r>
        <w:rPr>
          <w:rFonts w:ascii="Times New Roman" w:hAnsi="Times New Roman" w:eastAsia="Times New Roman" w:cs="Times New Roman"/>
          <w:b/>
          <w:sz w:val="28"/>
        </w:rPr>
        <w:t xml:space="preserve">1.3 Стандартизация оркестрации ответных действий</w:t>
      </w:r>
      <w:bookmarkEnd w:id="63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Третье направление образует стандартизация автоматизированных ответных действий. Спецификация CACAO 2.0, одобренная Техническим комитетом OASIS 27 ноября 2023 г. в качестве Committee Specification 01 [7], формализует структуру пле</w:t>
      </w:r>
      <w:r>
        <w:rPr>
          <w:rFonts w:eastAsia="Times New Roman" w:cs="Times New Roman"/>
          <w:b w:val="0"/>
          <w:i w:val="0"/>
          <w:sz w:val="28"/>
        </w:rPr>
        <w:t xml:space="preserve">йбуков реагирования в виде направленного графа шагов с условиями переходов, переменными, обработкой ошибок и интеграционными командами. Плейбуки CACAO 2.0 поддерживают встраивание объектов STIX в шаги и вызов команд OpenC2 в качестве примитивов исполнения.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Протокол OpenC2 [8] определяет независимый от транспорта язык команд защиты в ви</w:t>
      </w:r>
      <w:r>
        <w:rPr>
          <w:rFonts w:eastAsia="Times New Roman" w:cs="Times New Roman"/>
          <w:b w:val="0"/>
          <w:i w:val="0"/>
          <w:sz w:val="28"/>
        </w:rPr>
        <w:t xml:space="preserve">де тройки «action – target – actuator». Например, команда блокировки IP-адреса описывается тройкой (deny, ipv4_net, network_firewall). OpenC2 хорошо вписывается в архитектуру декомпозированной защиты, где разнотипные исполнительные средства – межсетевые эк</w:t>
      </w:r>
      <w:r>
        <w:rPr>
          <w:rFonts w:eastAsia="Times New Roman" w:cs="Times New Roman"/>
          <w:b w:val="0"/>
          <w:i w:val="0"/>
          <w:sz w:val="28"/>
        </w:rPr>
        <w:t xml:space="preserve">раны, EDR-агенты, IDS/IPS – принимают команды от единой шины. Тем не менее ни CACAO 2.0, ни OpenC2 не предусматривают передачи семантики первичного события: они работают с уже принятым решением, оставляя задачу выработки этого решения за рамками стандарта.</w:t>
      </w:r>
      <w:r/>
    </w:p>
    <w:p>
      <w:pPr>
        <w:pStyle w:val="715"/>
        <w:pBdr/>
        <w:spacing/>
        <w:ind w:firstLine="709"/>
        <w:jc w:val="left"/>
        <w:rPr/>
      </w:pPr>
      <w:r/>
      <w:bookmarkStart w:id="64" w:name="_Toc9"/>
      <w:r/>
      <w:bookmarkStart w:id="14" w:name="__RefHeading___Toc904_430826545"/>
      <w:r/>
      <w:bookmarkStart w:id="15" w:name="h14"/>
      <w:r/>
      <w:bookmarkEnd w:id="14"/>
      <w:r/>
      <w:bookmarkEnd w:id="15"/>
      <w:r>
        <w:rPr>
          <w:rFonts w:ascii="Times New Roman" w:hAnsi="Times New Roman" w:eastAsia="Times New Roman" w:cs="Times New Roman"/>
          <w:b/>
          <w:sz w:val="28"/>
        </w:rPr>
        <w:t xml:space="preserve">1.4 Нормализация схемы событий безопасности</w:t>
      </w:r>
      <w:bookmarkEnd w:id="64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Четвёртое направление – нормализация схемы первичных событий. Открытая схема Open Cybersecurity Schema Framework (OCSF)</w:t>
      </w:r>
      <w:r>
        <w:rPr>
          <w:rFonts w:eastAsia="Times New Roman" w:cs="Times New Roman"/>
          <w:b w:val="0"/>
          <w:i w:val="0"/>
          <w:sz w:val="28"/>
        </w:rPr>
        <w:t xml:space="preserve">, инициированная компаниями AWS и Splunk в 2022 г. и переданная под управление Linux Foundation 19 ноября 2024 г. [5], предоставляет расширяемую таксономию событий, разделённую на четырнадцать категорий: сетевая активность, файловые операции, действия с пр</w:t>
      </w:r>
      <w:r>
        <w:rPr>
          <w:rFonts w:eastAsia="Times New Roman" w:cs="Times New Roman"/>
          <w:b w:val="0"/>
          <w:i w:val="0"/>
          <w:sz w:val="28"/>
        </w:rPr>
        <w:t xml:space="preserve">оцессами, аудит и др. Каждое событие OCSF имеет фиксированный набор атрибутов и связи с расширениями, что позволяет приводить к единому виду телеметрию EDR, NDR, SIEM и облачных платформ. Текущая версия схемы – OCSF 1.3, опубликована 1 августа 2024 г. [6].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Принципиальное ограничение OCSF состоит в том, что схема описывает только структуру данных и не определяет </w:t>
      </w:r>
      <w:r>
        <w:rPr>
          <w:rFonts w:eastAsia="Times New Roman" w:cs="Times New Roman"/>
          <w:b w:val="0"/>
          <w:i w:val="0"/>
          <w:sz w:val="28"/>
        </w:rPr>
        <w:t xml:space="preserve">ни транспортного уровня, ни модели агентного взаимодействия. Для практического применения OCSF в мультиагентных системах требуется внешний транспорт (например, Apache Kafka, gRPC) и собственная логика маршрутизации, что не унифицировано между поставщиками.</w:t>
      </w:r>
      <w:r/>
    </w:p>
    <w:p>
      <w:pPr>
        <w:pStyle w:val="715"/>
        <w:pBdr/>
        <w:spacing/>
        <w:ind w:firstLine="709"/>
        <w:jc w:val="left"/>
        <w:rPr/>
      </w:pPr>
      <w:r/>
      <w:bookmarkStart w:id="65" w:name="_Toc10"/>
      <w:r/>
      <w:bookmarkStart w:id="16" w:name="__RefHeading___Toc906_430826545"/>
      <w:r/>
      <w:bookmarkStart w:id="17" w:name="h15"/>
      <w:r/>
      <w:bookmarkEnd w:id="16"/>
      <w:r/>
      <w:bookmarkEnd w:id="17"/>
      <w:r>
        <w:rPr>
          <w:rFonts w:ascii="Times New Roman" w:hAnsi="Times New Roman" w:eastAsia="Times New Roman" w:cs="Times New Roman"/>
          <w:b/>
          <w:sz w:val="28"/>
        </w:rPr>
        <w:t xml:space="preserve">1.5 Протоколы взаимодействия LLM-агентов</w:t>
      </w:r>
      <w:bookmarkEnd w:id="65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Пятое – наиболее актуальное – направление связано с протоколами для агентов на базе больших языковых моделей. 25 ноября 2024 г. компания Anthropic опубликовала спецификацию Model Context Protocol (MCP) [9], стандартизи</w:t>
      </w:r>
      <w:r>
        <w:rPr>
          <w:rFonts w:eastAsia="Times New Roman" w:cs="Times New Roman"/>
          <w:b w:val="0"/>
          <w:i w:val="0"/>
          <w:sz w:val="28"/>
        </w:rPr>
        <w:t xml:space="preserve">рующего взаимодействие языковой модели с внешними системами через три примитива: инструменты (tools), ресурсы (resources) и подсказки (prompts). MCP базируется на JSON-RPC 2.0 и реализует двусторонний канал между клиентом-LLM и сервером-приложением. В тече</w:t>
      </w:r>
      <w:r>
        <w:rPr>
          <w:rFonts w:eastAsia="Times New Roman" w:cs="Times New Roman"/>
          <w:b w:val="0"/>
          <w:i w:val="0"/>
          <w:sz w:val="28"/>
        </w:rPr>
        <w:t xml:space="preserve">ние первой половины 2025 г. спецификация была официально поддержана компаниями OpenAI (март 2025 г.), Google DeepMind (апрель 2025 г.) и Microsoft (Build 2025), что закрепило её положение де-факто стандарта подключения инструментов к языковым моделям [13].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9 апреля 2025 г. компанией Google представлен протокол Agent-to-Agent (A2A) [10], ориентированный на прямую координацию автономных агентов через HTTP с поддержкой потоковой передачи Server-Sent Events (SS</w:t>
      </w:r>
      <w:r>
        <w:rPr>
          <w:rFonts w:eastAsia="Times New Roman" w:cs="Times New Roman"/>
          <w:b w:val="0"/>
          <w:i w:val="0"/>
          <w:sz w:val="28"/>
        </w:rPr>
        <w:t xml:space="preserve">E) и сообщений JSON-RPC 2.0. Базовыми сущностями A2A являются карточка агента (Agent Card), задача (Task) и артефакт (Artifact). Карточка описывает возможности агента и согласуется при установке соединения; задача переносит запрос между агентами; артефакт </w:t>
      </w:r>
      <w:r>
        <w:rPr>
          <w:rFonts w:eastAsia="Times New Roman" w:cs="Times New Roman"/>
          <w:b w:val="0"/>
          <w:i w:val="0"/>
          <w:sz w:val="28"/>
        </w:rPr>
        <w:t xml:space="preserve">– результат её исполнения. A2A решает проблему обнаружения и делегирования между гетерогенными LLM-агентами, однако в нём отсутствуют встроенные механизмы семантической верификации данных безопасности и интеграция с доменными онтологиями кибербезопасности.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Таким образом, проведённый обзор показывает, что предметная область характеризуется параллельным развити</w:t>
      </w:r>
      <w:r>
        <w:rPr>
          <w:rFonts w:eastAsia="Times New Roman" w:cs="Times New Roman"/>
          <w:b w:val="0"/>
          <w:i w:val="0"/>
          <w:sz w:val="28"/>
        </w:rPr>
        <w:t xml:space="preserve">ем нескольких стандартов с частичным пересечением функций. Ни один из них не покрывает полного цикла межагентной координации от приёма телеметрии до согласованного исполнения ответа, что обосновывает необходимость синтеза связующего архитектурного решения.</w:t>
      </w:r>
      <w:r/>
    </w:p>
    <w:p>
      <w:pPr>
        <w:pStyle w:val="714"/>
        <w:pBdr/>
        <w:spacing/>
        <w:ind w:firstLine="709"/>
        <w:jc w:val="left"/>
        <w:rPr/>
      </w:pPr>
      <w:r/>
      <w:bookmarkStart w:id="66" w:name="_Toc11"/>
      <w:r/>
      <w:bookmarkStart w:id="18" w:name="__RefHeading___Toc908_430826545"/>
      <w:r/>
      <w:bookmarkStart w:id="19" w:name="h2"/>
      <w:r/>
      <w:bookmarkEnd w:id="18"/>
      <w:r/>
      <w:bookmarkEnd w:id="19"/>
      <w:r>
        <w:rPr>
          <w:rFonts w:ascii="Times New Roman" w:hAnsi="Times New Roman" w:eastAsia="Times New Roman" w:cs="Times New Roman"/>
          <w:b/>
          <w:sz w:val="28"/>
        </w:rPr>
        <w:t xml:space="preserve">2 Сравнительный анализ протоколов обмена контекстом</w:t>
      </w:r>
      <w:bookmarkEnd w:id="66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Для систематизации рассмотренных протоколов и оценки их применимости к задаче коорди</w:t>
      </w:r>
      <w:r>
        <w:rPr>
          <w:rFonts w:eastAsia="Times New Roman" w:cs="Times New Roman"/>
          <w:b w:val="0"/>
          <w:i w:val="0"/>
          <w:sz w:val="28"/>
        </w:rPr>
        <w:t xml:space="preserve">нации автономных агентов выполнен сравнительный анализ по пяти признакам: модель взаимодействия, формат контекста, прикладной охват в задачах информационной безопасности, ключевые ограничения и поддержка реального времени. Результаты сведены в таблице 2.1.</w:t>
      </w:r>
      <w:r/>
    </w:p>
    <w:p>
      <w:pPr>
        <w:pStyle w:val="712"/>
        <w:pBdr/>
        <w:spacing/>
        <w:ind w:firstLine="0"/>
        <w:rPr/>
      </w:pPr>
      <w:r/>
      <w:r/>
    </w:p>
    <w:p>
      <w:pPr>
        <w:pStyle w:val="712"/>
        <w:keepNext w:val="true"/>
        <w:pBdr/>
        <w:spacing/>
        <w:ind w:firstLine="0"/>
        <w:jc w:val="left"/>
        <w:rPr/>
      </w:pPr>
      <w:r>
        <w:rPr>
          <w:rFonts w:eastAsia="Times New Roman" w:cs="Times New Roman"/>
          <w:b w:val="0"/>
          <w:i w:val="0"/>
          <w:sz w:val="28"/>
        </w:rPr>
        <w:t xml:space="preserve">Таблица 2.1 – Сравнительный анализ протоколов обмена контекстом для агентов кибербезопасности</w:t>
      </w:r>
      <w:r/>
    </w:p>
    <w:tbl>
      <w:tblPr>
        <w:tblStyle w:val="786"/>
        <w:jc w:val="center"/>
        <w:tblInd w:w="0" w:type="dxa"/>
        <w:tblW w:w="935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59"/>
        <w:gridCol w:w="1558"/>
        <w:gridCol w:w="1560"/>
        <w:gridCol w:w="1559"/>
        <w:gridCol w:w="1558"/>
        <w:gridCol w:w="1560"/>
      </w:tblGrid>
      <w:tr>
        <w:trPr>
          <w:cantSplit/>
          <w:tblHeader/>
        </w:trPr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center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0"/>
                <w:sz w:val="24"/>
                <w:szCs w:val="22"/>
                <w:lang w:val="en-US" w:eastAsia="en-US" w:bidi="ar-SA"/>
              </w:rPr>
              <w:t xml:space="preserve">Протокол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vAlign w:val="center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center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0"/>
                <w:sz w:val="24"/>
                <w:szCs w:val="22"/>
                <w:lang w:val="en-US" w:eastAsia="en-US" w:bidi="ar-SA"/>
              </w:rPr>
              <w:t xml:space="preserve">Год / орган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vAlign w:val="center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center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0"/>
                <w:sz w:val="24"/>
                <w:szCs w:val="22"/>
                <w:lang w:val="en-US" w:eastAsia="en-US" w:bidi="ar-SA"/>
              </w:rPr>
              <w:t xml:space="preserve">Модель взаимодействия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center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0"/>
                <w:sz w:val="24"/>
                <w:szCs w:val="22"/>
                <w:lang w:val="en-US" w:eastAsia="en-US" w:bidi="ar-SA"/>
              </w:rPr>
              <w:t xml:space="preserve">Формат контекста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vAlign w:val="center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center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0"/>
                <w:sz w:val="24"/>
                <w:szCs w:val="22"/>
                <w:lang w:val="en-US" w:eastAsia="en-US" w:bidi="ar-SA"/>
              </w:rPr>
              <w:t xml:space="preserve">Применение в ИБ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vAlign w:val="center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center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0"/>
                <w:sz w:val="24"/>
                <w:szCs w:val="22"/>
                <w:lang w:val="en-US" w:eastAsia="en-US" w:bidi="ar-SA"/>
              </w:rPr>
              <w:t xml:space="preserve">Ключевые ограничения</w:t>
            </w:r>
            <w:r>
              <w:rPr>
                <w:szCs w:val="22"/>
                <w:lang w:val="en-US" w:eastAsia="en-US" w:bidi="ar-SA"/>
              </w:rPr>
            </w:r>
          </w:p>
        </w:tc>
      </w:tr>
      <w:tr>
        <w:trPr>
          <w:cantSplit/>
        </w:trPr>
        <w:tc>
          <w:tcPr>
            <w:tcBorders/>
            <w:tcW w:w="1559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STIX 2.1 / TAXII 2.1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2021, OASIS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Асинхронный push/pull по HTTPS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JSON (SDO, SRO, SCO)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CTI: IOC, TTP, Campaign, Threat Actor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Нет API реального времени; отсутствует агентное состояние</w:t>
            </w:r>
            <w:r>
              <w:rPr>
                <w:szCs w:val="22"/>
                <w:lang w:val="en-US" w:eastAsia="en-US" w:bidi="ar-SA"/>
              </w:rPr>
            </w:r>
          </w:p>
        </w:tc>
      </w:tr>
      <w:tr>
        <w:trPr>
          <w:cantSplit/>
        </w:trPr>
        <w:tc>
          <w:tcPr>
            <w:tcBorders/>
            <w:tcW w:w="1559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OpenC2 v1.0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2019, OASIS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Команда – исполнитель, transport-agnostic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JSON: action + target + actuator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Автономное исполнение защитных действий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Нет разведывательного контекста; отсутствует семантика угроз</w:t>
            </w:r>
            <w:r>
              <w:rPr>
                <w:szCs w:val="22"/>
                <w:lang w:val="en-US" w:eastAsia="en-US" w:bidi="ar-SA"/>
              </w:rPr>
            </w:r>
          </w:p>
        </w:tc>
      </w:tr>
      <w:tr>
        <w:trPr>
          <w:cantSplit/>
        </w:trPr>
        <w:tc>
          <w:tcPr>
            <w:tcBorders/>
            <w:tcW w:w="1559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CACAO 2.0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2023, OASIS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Оркестрация плейбуков (workflow-граф)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JSON-плейбуки, интеграция со STIX и OpenC2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Автоматизированные курсы действий при инциденте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Статические шаги; нет динамического контекста LLM</w:t>
            </w:r>
            <w:r>
              <w:rPr>
                <w:szCs w:val="22"/>
                <w:lang w:val="en-US" w:eastAsia="en-US" w:bidi="ar-SA"/>
              </w:rPr>
            </w:r>
          </w:p>
        </w:tc>
      </w:tr>
      <w:tr>
        <w:trPr>
          <w:cantSplit/>
        </w:trPr>
        <w:tc>
          <w:tcPr>
            <w:tcBorders/>
            <w:tcW w:w="1559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OCSF v1.3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2022 / 2024, Linux Foundation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Схема нормализации (не транспорт)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JSON Schema, 14 категорий событий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Нормализация событий SIEM / EDR / NDR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Отсутствует транспортный и агентный уровень</w:t>
            </w:r>
            <w:r>
              <w:rPr>
                <w:szCs w:val="22"/>
                <w:lang w:val="en-US" w:eastAsia="en-US" w:bidi="ar-SA"/>
              </w:rPr>
            </w:r>
          </w:p>
        </w:tc>
      </w:tr>
      <w:tr>
        <w:trPr>
          <w:cantSplit/>
        </w:trPr>
        <w:tc>
          <w:tcPr>
            <w:tcBorders/>
            <w:tcW w:w="1559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MCP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Ноябрь 2024, Anthropic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Клиент – сервер, JSON-RPC 2.0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Tools, Resources, Prompts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Интеграция LLM-агентов с инструментами безопасности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Нет семантики ИБ; нет нативного A2A</w:t>
            </w:r>
            <w:r>
              <w:rPr>
                <w:szCs w:val="22"/>
                <w:lang w:val="en-US" w:eastAsia="en-US" w:bidi="ar-SA"/>
              </w:rPr>
            </w:r>
          </w:p>
        </w:tc>
      </w:tr>
      <w:tr>
        <w:trPr>
          <w:cantSplit/>
        </w:trPr>
        <w:tc>
          <w:tcPr>
            <w:tcBorders/>
            <w:tcW w:w="1559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A2A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Апрель 2025, Google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Агент – агент, HTTP/SSE, JSON-RPC 2.0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Agent Card, Task, Artifact (JSON)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58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Координация и делегирование между LLM-агентами</w:t>
            </w:r>
            <w:r>
              <w:rPr>
                <w:szCs w:val="22"/>
                <w:lang w:val="en-US" w:eastAsia="en-US" w:bidi="ar-SA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Style w:val="712"/>
              <w:widowControl w:val="true"/>
              <w:pBdr/>
              <w:spacing w:after="0" w:before="0" w:line="240" w:lineRule="auto"/>
              <w:ind w:firstLine="0"/>
              <w:jc w:val="left"/>
              <w:rPr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0"/>
                <w:i w:val="0"/>
                <w:sz w:val="24"/>
                <w:szCs w:val="22"/>
                <w:lang w:val="en-US" w:eastAsia="en-US" w:bidi="ar-SA"/>
              </w:rPr>
              <w:t xml:space="preserve">Нет доменной онтологии ИБ; нет встроенного CTI-формата</w:t>
            </w:r>
            <w:r>
              <w:rPr>
                <w:szCs w:val="22"/>
                <w:lang w:val="en-US" w:eastAsia="en-US" w:bidi="ar-SA"/>
              </w:rPr>
            </w:r>
          </w:p>
        </w:tc>
      </w:tr>
    </w:tbl>
    <w:p>
      <w:pPr>
        <w:pStyle w:val="712"/>
        <w:pBdr/>
        <w:spacing w:before="240"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Анализ таблицы 2.1 позволяет сделать ряд содержательных выводов. Во-первых, рассмотренные протоколы относятся к четырём непересекающимся функциональным уровням: урове</w:t>
      </w:r>
      <w:r>
        <w:rPr>
          <w:rFonts w:eastAsia="Times New Roman" w:cs="Times New Roman"/>
          <w:b w:val="0"/>
          <w:i w:val="0"/>
          <w:sz w:val="28"/>
        </w:rPr>
        <w:t xml:space="preserve">нь нормализации данных (OCSF), уровень разведывательного контекста (STIX/TAXII), уровень исполнения защитных действий (OpenC2 и CACAO 2.0) и уровень агентной координации (MCP, A2A). Во-вторых, наблюдается семантический разрыв между уровнями: атрибуты событ</w:t>
      </w:r>
      <w:r>
        <w:rPr>
          <w:rFonts w:eastAsia="Times New Roman" w:cs="Times New Roman"/>
          <w:b w:val="0"/>
          <w:i w:val="0"/>
          <w:sz w:val="28"/>
        </w:rPr>
        <w:t xml:space="preserve">ия OCSF не имеют прямого соответствия объектам STIX, а параметры команд OpenC2 не содержат ссылок на причину их выполнения. В-третьих, протоколы LLM-агентов (MCP, A2A) спроектированы доменно-нейтральными и не несут терминологии информационной безопасности.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Перечисленные особенности обосновывают принципиальную невозможность построения полноценной мультиагентной защиты на основе любого одного из рассмотренных</w:t>
      </w:r>
      <w:r>
        <w:rPr>
          <w:rFonts w:eastAsia="Times New Roman" w:cs="Times New Roman"/>
          <w:b w:val="0"/>
          <w:i w:val="0"/>
          <w:sz w:val="28"/>
        </w:rPr>
        <w:t xml:space="preserve"> стандартов. Требуется промежуточный архитектурный слой, который, во-первых, согласует семантику разнородных форматов и, во-вторых, обеспечит маршрутизацию контекста между функциональными уровнями. Такой слой далее обозначается термином «брокер контекста».</w:t>
      </w:r>
      <w:r/>
    </w:p>
    <w:p>
      <w:pPr>
        <w:pStyle w:val="714"/>
        <w:pBdr/>
        <w:spacing/>
        <w:ind w:firstLine="709"/>
        <w:jc w:val="left"/>
        <w:rPr/>
      </w:pPr>
      <w:r/>
      <w:bookmarkStart w:id="67" w:name="_Toc12"/>
      <w:r/>
      <w:bookmarkStart w:id="20" w:name="__RefHeading___Toc910_430826545"/>
      <w:r/>
      <w:bookmarkStart w:id="21" w:name="h3"/>
      <w:r/>
      <w:bookmarkEnd w:id="20"/>
      <w:r/>
      <w:bookmarkEnd w:id="21"/>
      <w:r>
        <w:rPr>
          <w:rFonts w:ascii="Times New Roman" w:hAnsi="Times New Roman" w:eastAsia="Times New Roman" w:cs="Times New Roman"/>
          <w:b/>
          <w:sz w:val="28"/>
        </w:rPr>
        <w:t xml:space="preserve">3 Метрики оценки эффективности обмена контекстом</w:t>
      </w:r>
      <w:bookmarkEnd w:id="67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Для количественной оценки качества контекстного взаимодействия предложен набор из трёх взаимно дополняющих показателей: коэффициент</w:t>
      </w:r>
      <w:r>
        <w:rPr>
          <w:rFonts w:eastAsia="Times New Roman" w:cs="Times New Roman"/>
          <w:b w:val="0"/>
          <w:i w:val="0"/>
          <w:sz w:val="28"/>
        </w:rPr>
        <w:t xml:space="preserve"> полноты контекста, задержка распространения контекста и коэффициент семантической согласованности агентов. Каждый показатель ориентирован на отдельный аспект межагентной коммуникации – информационную, временную и семантическую составляющую соответственно.</w:t>
      </w:r>
      <w:r/>
    </w:p>
    <w:p>
      <w:pPr>
        <w:pStyle w:val="715"/>
        <w:pBdr/>
        <w:spacing/>
        <w:ind w:firstLine="709"/>
        <w:jc w:val="left"/>
        <w:rPr/>
      </w:pPr>
      <w:r/>
      <w:bookmarkStart w:id="68" w:name="_Toc13"/>
      <w:r/>
      <w:bookmarkStart w:id="22" w:name="__RefHeading___Toc912_430826545"/>
      <w:r/>
      <w:bookmarkStart w:id="23" w:name="h31"/>
      <w:r/>
      <w:bookmarkEnd w:id="22"/>
      <w:r/>
      <w:bookmarkEnd w:id="23"/>
      <w:r>
        <w:rPr>
          <w:rFonts w:ascii="Times New Roman" w:hAnsi="Times New Roman" w:eastAsia="Times New Roman" w:cs="Times New Roman"/>
          <w:b/>
          <w:sz w:val="28"/>
        </w:rPr>
        <w:t xml:space="preserve">3.1 Коэффициент полноты контекста</w:t>
      </w:r>
      <w:bookmarkEnd w:id="68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Коэфф</w:t>
      </w:r>
      <w:r>
        <w:rPr>
          <w:rFonts w:eastAsia="Times New Roman" w:cs="Times New Roman"/>
          <w:b w:val="0"/>
          <w:i w:val="0"/>
          <w:sz w:val="28"/>
        </w:rPr>
        <w:t xml:space="preserve">ициент полноты контекста (КПК) определяется как отношение количества заполненных атрибутов объекта контекста к суммарному числу обязательных и рекомендуемых атрибутов схемы OCSF для данной категории события. Формально показатель вычисляется по формуле (1):</w:t>
      </w:r>
      <w:r/>
    </w:p>
    <w:tbl>
      <w:tblPr>
        <w:jc w:val="center"/>
        <w:tblInd w:w="0" w:type="dxa"/>
        <w:tblW w:w="935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3"/>
        <w:gridCol w:w="7937"/>
        <w:gridCol w:w="1134"/>
      </w:tblGrid>
      <w:tr>
        <w:trPr>
          <w:cantSplit/>
        </w:trPr>
        <w:tc>
          <w:tcPr>
            <w:tcBorders/>
            <w:tcW w:w="283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/>
            <w:r/>
          </w:p>
        </w:tc>
        <w:tc>
          <w:tcPr>
            <w:tcBorders/>
            <w:tcW w:w="7937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КПК = N‍заполн / N‍общ,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righ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(1)</w:t>
            </w:r>
            <w:r/>
          </w:p>
        </w:tc>
      </w:tr>
    </w:tbl>
    <w:p>
      <w:pPr>
        <w:pStyle w:val="712"/>
        <w:pBdr/>
        <w:spacing w:before="240"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где Nзаполн – количество непустых атрибутов объекта контекста; Nобщ – суммарное число обязательных и рекомендуемых атрибутов схемы OCSF v1.3 для соответствующей категории события.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Содержательно КПК измеряет долю переданной полезной информации относительно теоретически возм</w:t>
      </w:r>
      <w:r>
        <w:rPr>
          <w:rFonts w:eastAsia="Times New Roman" w:cs="Times New Roman"/>
          <w:b w:val="0"/>
          <w:i w:val="0"/>
          <w:sz w:val="28"/>
        </w:rPr>
        <w:t xml:space="preserve">ожного максимума, заданного схемой OCSF. Применение OCSF в качестве нормирующей базы обосновано тем, что схема покрывает большинство типов телеметрии безопасности и предусматривает явное разделение атрибутов на обязательные, рекомендуемые и необязательные.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Эмпирически установлен следующий порог: значение КПК ниже 0,7 </w:t>
      </w:r>
      <w:r>
        <w:rPr>
          <w:rFonts w:eastAsia="Times New Roman" w:cs="Times New Roman"/>
          <w:b w:val="0"/>
          <w:i w:val="0"/>
          <w:sz w:val="28"/>
        </w:rPr>
        <w:t xml:space="preserve">указывает на недостаточную информированность принимающего агента для принятия автономного решения. При значениях ниже порога рекомендуется либо запрашивать дополнительное обогащение через TAXII 2.1, либо передавать управление аналитику центра реагирования.</w:t>
      </w:r>
      <w:r/>
    </w:p>
    <w:p>
      <w:pPr>
        <w:pStyle w:val="715"/>
        <w:pBdr/>
        <w:spacing/>
        <w:ind w:firstLine="709"/>
        <w:jc w:val="left"/>
        <w:rPr/>
      </w:pPr>
      <w:r/>
      <w:bookmarkStart w:id="69" w:name="_Toc14"/>
      <w:r/>
      <w:bookmarkStart w:id="24" w:name="__RefHeading___Toc914_430826545"/>
      <w:r/>
      <w:bookmarkStart w:id="25" w:name="h32"/>
      <w:r/>
      <w:bookmarkEnd w:id="24"/>
      <w:r/>
      <w:bookmarkEnd w:id="25"/>
      <w:r>
        <w:rPr>
          <w:rFonts w:ascii="Times New Roman" w:hAnsi="Times New Roman" w:eastAsia="Times New Roman" w:cs="Times New Roman"/>
          <w:b/>
          <w:sz w:val="28"/>
        </w:rPr>
        <w:t xml:space="preserve">3.2 Задержка распространения контекста</w:t>
      </w:r>
      <w:bookmarkEnd w:id="69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Задержка распространени</w:t>
      </w:r>
      <w:r>
        <w:rPr>
          <w:rFonts w:eastAsia="Times New Roman" w:cs="Times New Roman"/>
          <w:b w:val="0"/>
          <w:i w:val="0"/>
          <w:sz w:val="28"/>
        </w:rPr>
        <w:t xml:space="preserve">я контекста (ЗРК) определяется как интервал времени между моментом фиксации события агентом-источником и моментом получения обработанного контекста агентом-получателем. Показатель характеризует временные свойства тракта обмена и вычисляется по формуле (2):</w:t>
      </w:r>
      <w:r/>
    </w:p>
    <w:tbl>
      <w:tblPr>
        <w:jc w:val="center"/>
        <w:tblInd w:w="0" w:type="dxa"/>
        <w:tblW w:w="935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3"/>
        <w:gridCol w:w="7937"/>
        <w:gridCol w:w="1134"/>
      </w:tblGrid>
      <w:tr>
        <w:trPr>
          <w:cantSplit/>
        </w:trPr>
        <w:tc>
          <w:tcPr>
            <w:tcBorders/>
            <w:tcW w:w="283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/>
            <w:r/>
          </w:p>
        </w:tc>
        <w:tc>
          <w:tcPr>
            <w:tcBorders/>
            <w:tcW w:w="7937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center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ЗРК = tполуч − tфикс,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righ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(2)</w:t>
            </w:r>
            <w:r/>
          </w:p>
        </w:tc>
      </w:tr>
    </w:tbl>
    <w:p>
      <w:pPr>
        <w:pStyle w:val="712"/>
        <w:pBdr/>
        <w:spacing w:before="240"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где tполуч – метка времени получения обработанного контекста агентом-получателем; tфикс – метка времени регистрации события агентом-источником.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Для задач реактивного реагирования в реальном времени допустимым целевым значением принят порог ЗРК ≤ 500 мс, что соответствует требованиям систем класса SOAR с а</w:t>
      </w:r>
      <w:r>
        <w:rPr>
          <w:rFonts w:eastAsia="Times New Roman" w:cs="Times New Roman"/>
          <w:b w:val="0"/>
          <w:i w:val="0"/>
          <w:sz w:val="28"/>
        </w:rPr>
        <w:t xml:space="preserve">втоматическим исполнением плейбуков. При превышении порога автоматизированное реагирование теряет смысл, поскольку атакующий процесс успевает завершить целевое действие до прибытия защитной команды; в этом случае допустима лишь ретроспективная нотификация.</w:t>
      </w:r>
      <w:r/>
    </w:p>
    <w:p>
      <w:pPr>
        <w:pStyle w:val="715"/>
        <w:pBdr/>
        <w:spacing/>
        <w:ind w:firstLine="709"/>
        <w:jc w:val="left"/>
        <w:rPr/>
      </w:pPr>
      <w:r/>
      <w:bookmarkStart w:id="70" w:name="_Toc15"/>
      <w:r/>
      <w:bookmarkStart w:id="26" w:name="__RefHeading___Toc916_430826545"/>
      <w:r/>
      <w:bookmarkStart w:id="27" w:name="h33"/>
      <w:r/>
      <w:bookmarkEnd w:id="26"/>
      <w:r/>
      <w:bookmarkEnd w:id="27"/>
      <w:r>
        <w:rPr>
          <w:rFonts w:ascii="Times New Roman" w:hAnsi="Times New Roman" w:eastAsia="Times New Roman" w:cs="Times New Roman"/>
          <w:b/>
          <w:sz w:val="28"/>
        </w:rPr>
        <w:t xml:space="preserve">3.3 Коэффициент семантической согласованности агентов</w:t>
      </w:r>
      <w:bookmarkEnd w:id="70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Коэффициент семантической согласов</w:t>
      </w:r>
      <w:r>
        <w:rPr>
          <w:rFonts w:eastAsia="Times New Roman" w:cs="Times New Roman"/>
          <w:b w:val="0"/>
          <w:i w:val="0"/>
          <w:sz w:val="28"/>
        </w:rPr>
        <w:t xml:space="preserve">анности агентов (КССА) измеряет долю сообщений, интерпретированных агентом-получателем без запроса дополнительного уточнения. Показатель отражает степень согласованности онтологических представлений у взаимодействующих агентов и вычисляется по формуле (3):</w:t>
      </w:r>
      <w:r/>
    </w:p>
    <w:tbl>
      <w:tblPr>
        <w:jc w:val="center"/>
        <w:tblInd w:w="0" w:type="dxa"/>
        <w:tblW w:w="935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3"/>
        <w:gridCol w:w="7937"/>
        <w:gridCol w:w="1134"/>
      </w:tblGrid>
      <w:tr>
        <w:trPr>
          <w:cantSplit/>
        </w:trPr>
        <w:tc>
          <w:tcPr>
            <w:tcBorders/>
            <w:tcW w:w="283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rPr/>
            </w:pPr>
            <w:r/>
            <w:r/>
          </w:p>
        </w:tc>
        <w:tc>
          <w:tcPr>
            <w:tcBorders/>
            <w:tcW w:w="7937" w:type="dxa"/>
            <w:textDirection w:val="lrTb"/>
            <w:noWrap w:val="false"/>
          </w:tcPr>
          <w:p>
            <w:pPr>
              <w:pStyle w:val="712"/>
              <w:pBdr/>
              <w:spacing/>
              <w:ind w:firstLine="0"/>
              <w:jc w:val="center"/>
              <w:rPr/>
            </w:pPr>
            <w:r>
              <w:rPr>
                <w:sz w:val="28"/>
              </w:rPr>
              <w:t xml:space="preserve">КССА = N без_уточн / N общ_сообщ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712"/>
              <w:pBdr/>
              <w:spacing w:after="0" w:before="0" w:line="240" w:lineRule="auto"/>
              <w:ind w:firstLine="0"/>
              <w:jc w:val="right"/>
              <w:rPr/>
            </w:pPr>
            <w:r>
              <w:rPr>
                <w:rFonts w:eastAsia="Times New Roman" w:cs="Times New Roman"/>
                <w:b w:val="0"/>
                <w:i w:val="0"/>
                <w:sz w:val="28"/>
              </w:rPr>
              <w:t xml:space="preserve">(3)</w:t>
            </w:r>
            <w:r/>
          </w:p>
        </w:tc>
      </w:tr>
    </w:tbl>
    <w:p>
      <w:pPr>
        <w:pStyle w:val="712"/>
        <w:pBdr/>
        <w:spacing w:before="240"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где Nбез_уточн – количество сообщений, обработанных без запроса пояснения; Nобщ_сообщ – общее число принятых сообщений за период наблюдения.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Низкое значение КССА (меньше 0,85) указывает на семантическое рассогласование онтологий агентов и необходимость введения промежуточного слоя транс</w:t>
      </w:r>
      <w:r>
        <w:rPr>
          <w:rFonts w:eastAsia="Times New Roman" w:cs="Times New Roman"/>
          <w:b w:val="0"/>
          <w:i w:val="0"/>
          <w:sz w:val="28"/>
        </w:rPr>
        <w:t xml:space="preserve">ляции контекста. Если КССА устойчиво ниже порога, наиболее вероятная причина – несовпадение версий схем (например, разные минорные версии OCSF) или различия в политиках обогащения атрибутов; в обоих случаях требуется ревизия конфигурации брокера контекста.</w:t>
      </w:r>
      <w:r/>
    </w:p>
    <w:p>
      <w:pPr>
        <w:pStyle w:val="715"/>
        <w:pBdr/>
        <w:spacing/>
        <w:ind w:firstLine="709"/>
        <w:jc w:val="left"/>
        <w:rPr/>
      </w:pPr>
      <w:r/>
      <w:bookmarkStart w:id="71" w:name="_Toc16"/>
      <w:r/>
      <w:bookmarkStart w:id="28" w:name="__RefHeading___Toc918_430826545"/>
      <w:r/>
      <w:bookmarkStart w:id="29" w:name="h34"/>
      <w:r/>
      <w:bookmarkEnd w:id="28"/>
      <w:r/>
      <w:bookmarkEnd w:id="29"/>
      <w:r>
        <w:rPr>
          <w:rFonts w:ascii="Times New Roman" w:hAnsi="Times New Roman" w:eastAsia="Times New Roman" w:cs="Times New Roman"/>
          <w:b/>
          <w:sz w:val="28"/>
        </w:rPr>
        <w:t xml:space="preserve">3.4 Условия совместного применения метрик</w:t>
      </w:r>
      <w:bookmarkEnd w:id="71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Введённые показатели применяются совместно: КПК характеризует достаточность переданной информации, ЗРК – её своевременность, КССА – её интерпретируемость. Только при одновременном выполнении пороговых условий</w:t>
      </w:r>
      <w:r>
        <w:rPr>
          <w:rFonts w:eastAsia="Times New Roman" w:cs="Times New Roman"/>
          <w:b w:val="0"/>
          <w:i w:val="0"/>
          <w:sz w:val="28"/>
        </w:rPr>
        <w:t xml:space="preserve"> (КПК ≥ 0,7, ЗРК ≤ 500 мс, КССА ≥ 0,85) обмен контекстом признаётся пригодным для автономного реагирования. Невыполнение хотя бы одного из условий рассматривается как сигнал к деградации режима до полу-автоматического с обязательным участием оператора SOC.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Сформулирован</w:t>
      </w:r>
      <w:r>
        <w:rPr>
          <w:rFonts w:eastAsia="Times New Roman" w:cs="Times New Roman"/>
          <w:b w:val="0"/>
          <w:i w:val="0"/>
          <w:sz w:val="28"/>
        </w:rPr>
        <w:t xml:space="preserve">ные пороги имеют рабочий характер и подлежат уточнению на этапе экспериментальной верификации; вместе с тем их введение задаёт операционный язык, на котором можно говорить об эффективности межагентного обмена не в качественных, а в количественных терминах.</w:t>
      </w:r>
      <w:r/>
    </w:p>
    <w:p>
      <w:pPr>
        <w:pStyle w:val="714"/>
        <w:pBdr/>
        <w:spacing/>
        <w:ind w:firstLine="709"/>
        <w:jc w:val="left"/>
        <w:rPr/>
      </w:pPr>
      <w:r/>
      <w:bookmarkStart w:id="72" w:name="_Toc17"/>
      <w:r/>
      <w:bookmarkStart w:id="30" w:name="__RefHeading___Toc920_430826545"/>
      <w:r/>
      <w:bookmarkStart w:id="31" w:name="h4"/>
      <w:r/>
      <w:bookmarkEnd w:id="30"/>
      <w:r/>
      <w:bookmarkEnd w:id="31"/>
      <w:r>
        <w:rPr>
          <w:rFonts w:ascii="Times New Roman" w:hAnsi="Times New Roman" w:eastAsia="Times New Roman" w:cs="Times New Roman"/>
          <w:b/>
          <w:sz w:val="28"/>
        </w:rPr>
        <w:t xml:space="preserve">4 Концептуальная архитектура брокера контекста</w:t>
      </w:r>
      <w:bookmarkEnd w:id="72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На основе проведённого анализа предложена трёхуровневая концептуальная архитектура взаимодействия автономных агентов кибербезопасности с централизованным брокером контекста. Архитектура реализует принцип </w:t>
      </w:r>
      <w:r>
        <w:rPr>
          <w:rFonts w:eastAsia="Times New Roman" w:cs="Times New Roman"/>
          <w:b w:val="0"/>
          <w:i w:val="0"/>
          <w:sz w:val="28"/>
        </w:rPr>
        <w:t xml:space="preserve">разделения ответственности: уровень агентов отвечает за частные функции защиты, уровень брокера – за согласование форматов и семантическое обогащение, уровень оркестрации – за принятие решений о режиме реагирования. Общая структура показана на рисунке 4.1.</w:t>
      </w:r>
      <w:r/>
    </w:p>
    <w:p>
      <w:pPr>
        <w:pStyle w:val="712"/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9995" cy="3881120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039995" cy="3881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305.6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712"/>
        <w:keepNext w:val="false"/>
        <w:pBdr/>
        <w:spacing/>
        <w:ind w:firstLine="0"/>
        <w:jc w:val="center"/>
        <w:rPr/>
      </w:pPr>
      <w:r>
        <w:rPr>
          <w:rFonts w:eastAsia="Times New Roman" w:cs="Times New Roman"/>
          <w:b w:val="0"/>
          <w:i w:val="0"/>
          <w:sz w:val="28"/>
        </w:rPr>
        <w:t xml:space="preserve">Рисунок 4.1 – Трёхуровневая концептуальная архитектура брокера контекста</w:t>
      </w:r>
      <w:r/>
    </w:p>
    <w:p>
      <w:pPr>
        <w:pStyle w:val="715"/>
        <w:pBdr/>
        <w:spacing/>
        <w:ind w:firstLine="709"/>
        <w:jc w:val="left"/>
        <w:rPr/>
      </w:pPr>
      <w:r/>
      <w:bookmarkStart w:id="73" w:name="_Toc18"/>
      <w:r/>
      <w:bookmarkStart w:id="32" w:name="__RefHeading___Toc922_430826545"/>
      <w:r/>
      <w:bookmarkStart w:id="33" w:name="h41"/>
      <w:r/>
      <w:bookmarkEnd w:id="32"/>
      <w:r/>
      <w:bookmarkEnd w:id="33"/>
      <w:r>
        <w:rPr>
          <w:rFonts w:ascii="Times New Roman" w:hAnsi="Times New Roman" w:eastAsia="Times New Roman" w:cs="Times New Roman"/>
          <w:b/>
          <w:sz w:val="28"/>
        </w:rPr>
        <w:t xml:space="preserve">4.1 Уровень автономных агентов</w:t>
      </w:r>
      <w:bookmarkEnd w:id="73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Уровень агентов включает три специализированных типа компонентов. Агент обнаружения (Detection Agent) потребляет телеметрию из источников EDR и NDR, нормализует события согласно схеме OCSF v1.3 и публи</w:t>
      </w:r>
      <w:r>
        <w:rPr>
          <w:rFonts w:eastAsia="Times New Roman" w:cs="Times New Roman"/>
          <w:b w:val="0"/>
          <w:i w:val="0"/>
          <w:sz w:val="28"/>
        </w:rPr>
        <w:t xml:space="preserve">кует их в брокер. Агент обогащения (Enrichment Agent) взаимодействует с платформами Threat Intelligence по протоколу TAXII 2.1, извлекая релевантные объекты STIX 2.1: Indicator, Attack Pattern, Threat Actor, Campaign. Агент реагирования (Response Agent) ин</w:t>
      </w:r>
      <w:r>
        <w:rPr>
          <w:rFonts w:eastAsia="Times New Roman" w:cs="Times New Roman"/>
          <w:b w:val="0"/>
          <w:i w:val="0"/>
          <w:sz w:val="28"/>
        </w:rPr>
        <w:t xml:space="preserve">ициирует защитные действия через инструменты MCP и команды OpenC2 – блокировку хоста, изоляцию процесса, обновление правил межсетевого экрана. Каждый агент реализован как автономная сущность с собственной онтологией состояний и явным контрактом интерфейса.</w:t>
      </w:r>
      <w:r/>
    </w:p>
    <w:p>
      <w:pPr>
        <w:pStyle w:val="715"/>
        <w:pBdr/>
        <w:spacing/>
        <w:ind w:firstLine="709"/>
        <w:jc w:val="left"/>
        <w:rPr/>
      </w:pPr>
      <w:r/>
      <w:bookmarkStart w:id="74" w:name="_Toc19"/>
      <w:r/>
      <w:bookmarkStart w:id="34" w:name="__RefHeading___Toc924_430826545"/>
      <w:r/>
      <w:bookmarkStart w:id="35" w:name="h42"/>
      <w:r/>
      <w:bookmarkEnd w:id="34"/>
      <w:r/>
      <w:bookmarkEnd w:id="35"/>
      <w:r>
        <w:rPr>
          <w:rFonts w:ascii="Times New Roman" w:hAnsi="Times New Roman" w:eastAsia="Times New Roman" w:cs="Times New Roman"/>
          <w:b/>
          <w:sz w:val="28"/>
        </w:rPr>
        <w:t xml:space="preserve">4.2 Уровень брокера контекста</w:t>
      </w:r>
      <w:bookmarkEnd w:id="74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Уровень брокера контекста реализует четыре функциональных модуля. Протокольный транслятор обеспечивает преобразование форматов «</w:t>
      </w:r>
      <w:r>
        <w:rPr>
          <w:rFonts w:eastAsia="Times New Roman" w:cs="Times New Roman"/>
          <w:b w:val="0"/>
          <w:i w:val="0"/>
          <w:sz w:val="28"/>
        </w:rPr>
        <w:t xml:space="preserve">STIX ↔ OCSF ↔ MCP/A2A» без потери семантики; преобразование выполняется через явные таблицы соответствий атрибутов, поддерживаемые в актуальном состоянии в репозитории брокера. Семантический обогатитель работает на базе таксономии MITRE ATT&amp;CK [14] и добав</w:t>
      </w:r>
      <w:r>
        <w:rPr>
          <w:rFonts w:eastAsia="Times New Roman" w:cs="Times New Roman"/>
          <w:b w:val="0"/>
          <w:i w:val="0"/>
          <w:sz w:val="28"/>
        </w:rPr>
        <w:t xml:space="preserve">ляет к каждому объекту контекста атрибуты Tactic, Technique и Sub-technique, что обеспечивает единый язык описания тактик противника. Маршрутизатор сообщений распределяет потоки по типу события и уровню критичности, реализуя сценарии приоритезации (наприме</w:t>
      </w:r>
      <w:r>
        <w:rPr>
          <w:rFonts w:eastAsia="Times New Roman" w:cs="Times New Roman"/>
          <w:b w:val="0"/>
          <w:i w:val="0"/>
          <w:sz w:val="28"/>
        </w:rPr>
        <w:t xml:space="preserve">р, события категории Authentication маршрутизируются на агент реагирования с минимальной задержкой). Менеджер версий контекста ведёт временную разметку и поддерживает иммутабельный журнал изменений, что критично для последующего аудита автономных действий.</w:t>
      </w:r>
      <w:r/>
    </w:p>
    <w:p>
      <w:pPr>
        <w:pStyle w:val="715"/>
        <w:pBdr/>
        <w:spacing/>
        <w:ind w:firstLine="709"/>
        <w:jc w:val="left"/>
        <w:rPr/>
      </w:pPr>
      <w:r/>
      <w:bookmarkStart w:id="75" w:name="_Toc20"/>
      <w:r/>
      <w:bookmarkStart w:id="36" w:name="__RefHeading___Toc926_430826545"/>
      <w:r/>
      <w:bookmarkStart w:id="37" w:name="h43"/>
      <w:r/>
      <w:bookmarkEnd w:id="36"/>
      <w:r/>
      <w:bookmarkEnd w:id="37"/>
      <w:r>
        <w:rPr>
          <w:rFonts w:ascii="Times New Roman" w:hAnsi="Times New Roman" w:eastAsia="Times New Roman" w:cs="Times New Roman"/>
          <w:b/>
          <w:sz w:val="28"/>
        </w:rPr>
        <w:t xml:space="preserve">4.3 Уровень оркестрации</w:t>
      </w:r>
      <w:bookmarkEnd w:id="75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Уровень оркестрации реализует логику принятия решения о режиме реагирования на основе значений введённых ме</w:t>
      </w:r>
      <w:r>
        <w:rPr>
          <w:rFonts w:eastAsia="Times New Roman" w:cs="Times New Roman"/>
          <w:b w:val="0"/>
          <w:i w:val="0"/>
          <w:sz w:val="28"/>
        </w:rPr>
        <w:t xml:space="preserve">трик. При выполнении условий КПК ≥ 0,7 и КССА ≥ 0,85 агент реагирования действует автономно, исполняя плейбук CACAO 2.0 с командами OpenC2. При нарушении хотя бы одного из условий управление передаётся аналитику SOC с автоматически сформированной сводкой к</w:t>
      </w:r>
      <w:r>
        <w:rPr>
          <w:rFonts w:eastAsia="Times New Roman" w:cs="Times New Roman"/>
          <w:b w:val="0"/>
          <w:i w:val="0"/>
          <w:sz w:val="28"/>
        </w:rPr>
        <w:t xml:space="preserve">онтекста, что снижает риск выполнения деструктивного действия на основе неполных или неверно интерпретированных данных. Взаимодействие между уровнем оркестрации и агентами осуществляется по протоколу A2A через механизм задач (Task) и артефактов (Artifact).</w:t>
      </w:r>
      <w:r/>
    </w:p>
    <w:p>
      <w:pPr>
        <w:pStyle w:val="715"/>
        <w:pBdr/>
        <w:spacing/>
        <w:ind w:firstLine="709"/>
        <w:jc w:val="left"/>
        <w:rPr/>
      </w:pPr>
      <w:r/>
      <w:bookmarkStart w:id="76" w:name="_Toc21"/>
      <w:r/>
      <w:bookmarkStart w:id="38" w:name="__RefHeading___Toc928_430826545"/>
      <w:r/>
      <w:bookmarkStart w:id="39" w:name="h44"/>
      <w:r/>
      <w:bookmarkEnd w:id="38"/>
      <w:r/>
      <w:bookmarkEnd w:id="39"/>
      <w:r>
        <w:rPr>
          <w:rFonts w:ascii="Times New Roman" w:hAnsi="Times New Roman" w:eastAsia="Times New Roman" w:cs="Times New Roman"/>
          <w:b/>
          <w:sz w:val="28"/>
        </w:rPr>
        <w:t xml:space="preserve">4.4 Сценарий межагентного взаимодействия</w:t>
      </w:r>
      <w:bookmarkEnd w:id="76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Динамику работы системы иллюстрирует обобщённый сценарий, представленный на рисунке 4.2. Источник телеметрии передаёт сырое </w:t>
      </w:r>
      <w:r>
        <w:rPr>
          <w:rFonts w:eastAsia="Times New Roman" w:cs="Times New Roman"/>
          <w:b w:val="0"/>
          <w:i w:val="0"/>
          <w:sz w:val="28"/>
        </w:rPr>
        <w:t xml:space="preserve">событие агенту обнаружения; тот нормализует его по схеме OCSF и направляет в брокер. Брокер, обнаружив недостаточность контекста для уверенной классификации, инициирует обогащение через агент обогащения, после чего рассчитывает КПК и привязывает событие к </w:t>
      </w:r>
      <w:r>
        <w:rPr>
          <w:rFonts w:eastAsia="Times New Roman" w:cs="Times New Roman"/>
          <w:b w:val="0"/>
          <w:i w:val="0"/>
          <w:sz w:val="28"/>
        </w:rPr>
        <w:t xml:space="preserve">таксономии MITRE ATT&amp;CK. Обогащённый контекст вместе с индексом уверенности (Confidence Score) направляется агенту реагирования, который проверяет пороги КПК и КССА: при их выполнении исполняется плейбук, при невыполнении формируется уведомление аналитику.</w:t>
      </w:r>
      <w:r/>
    </w:p>
    <w:p>
      <w:pPr>
        <w:pStyle w:val="712"/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9745" cy="3705225"/>
                <wp:effectExtent l="0" t="0" r="0" b="0"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579745" cy="3705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9.35pt;height:291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712"/>
        <w:keepNext w:val="false"/>
        <w:pBdr/>
        <w:spacing/>
        <w:ind w:firstLine="0"/>
        <w:jc w:val="center"/>
        <w:rPr/>
      </w:pPr>
      <w:r>
        <w:rPr>
          <w:rFonts w:eastAsia="Times New Roman" w:cs="Times New Roman"/>
          <w:b w:val="0"/>
          <w:i w:val="0"/>
          <w:sz w:val="28"/>
        </w:rPr>
        <w:t xml:space="preserve">Рисунок 4.2 – Сценарий взаимодействия автономных агентов через брокер контекста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Описанный сценарий демонстрирует, как брокер контекста обеспечивает целостный цикл к</w:t>
      </w:r>
      <w:r>
        <w:rPr>
          <w:rFonts w:eastAsia="Times New Roman" w:cs="Times New Roman"/>
          <w:b w:val="0"/>
          <w:i w:val="0"/>
          <w:sz w:val="28"/>
        </w:rPr>
        <w:t xml:space="preserve">оординации – от приёма телеметрии до согласованного исполнения ответного действия. При этом ни одна из стадий не выполняется в обход метрических контрольных точек, что снижает вероятность принятия решений на основе неполного или несогласованного контекста.</w:t>
      </w:r>
      <w:r/>
    </w:p>
    <w:p>
      <w:pPr>
        <w:pStyle w:val="714"/>
        <w:pBdr/>
        <w:spacing/>
        <w:ind w:firstLine="709"/>
        <w:jc w:val="left"/>
        <w:rPr/>
      </w:pPr>
      <w:r/>
      <w:bookmarkStart w:id="77" w:name="_Toc22"/>
      <w:r/>
      <w:bookmarkStart w:id="40" w:name="__RefHeading___Toc930_430826545"/>
      <w:r/>
      <w:bookmarkStart w:id="41" w:name="h5"/>
      <w:r/>
      <w:bookmarkEnd w:id="40"/>
      <w:r/>
      <w:bookmarkEnd w:id="41"/>
      <w:r>
        <w:rPr>
          <w:rFonts w:ascii="Times New Roman" w:hAnsi="Times New Roman" w:eastAsia="Times New Roman" w:cs="Times New Roman"/>
          <w:b/>
          <w:sz w:val="28"/>
        </w:rPr>
        <w:t xml:space="preserve">5 Обсуждение результатов</w:t>
      </w:r>
      <w:bookmarkEnd w:id="77"/>
      <w:r/>
      <w:r/>
    </w:p>
    <w:p>
      <w:pPr>
        <w:pStyle w:val="715"/>
        <w:pBdr/>
        <w:spacing/>
        <w:ind w:firstLine="709"/>
        <w:jc w:val="left"/>
        <w:rPr/>
      </w:pPr>
      <w:r/>
      <w:bookmarkStart w:id="78" w:name="_Toc23"/>
      <w:r/>
      <w:bookmarkStart w:id="42" w:name="__RefHeading___Toc932_430826545"/>
      <w:r/>
      <w:bookmarkStart w:id="43" w:name="h51"/>
      <w:r/>
      <w:bookmarkEnd w:id="42"/>
      <w:r/>
      <w:bookmarkEnd w:id="43"/>
      <w:r>
        <w:rPr>
          <w:rFonts w:ascii="Times New Roman" w:hAnsi="Times New Roman" w:eastAsia="Times New Roman" w:cs="Times New Roman"/>
          <w:b/>
          <w:sz w:val="28"/>
        </w:rPr>
        <w:t xml:space="preserve">5.1 Сопоставление с существующими решениями</w:t>
      </w:r>
      <w:bookmarkEnd w:id="78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Сопоставление предложенной архитектуры с типовыми коммерческими</w:t>
      </w:r>
      <w:r>
        <w:rPr>
          <w:rFonts w:eastAsia="Times New Roman" w:cs="Times New Roman"/>
          <w:b w:val="0"/>
          <w:i w:val="0"/>
          <w:sz w:val="28"/>
        </w:rPr>
        <w:t xml:space="preserve"> SOAR-платформами показывает три качественных отличия. Во-первых, существующие SOAR-системы оперируют статическими плейбуками реагирования, привязанными к классам инцидентов; предложенный брокер контекста допускает динамическое формирование сценария реагир</w:t>
      </w:r>
      <w:r>
        <w:rPr>
          <w:rFonts w:eastAsia="Times New Roman" w:cs="Times New Roman"/>
          <w:b w:val="0"/>
          <w:i w:val="0"/>
          <w:sz w:val="28"/>
        </w:rPr>
        <w:t xml:space="preserve">ования на основе текущего значения КПК и оценки уверенности агента обогащения. Во-вторых, в типовых системах семантическое согласование выполняется неявно и фиксируется только в конфигурации коннекторов; в предлагаемом решении согласование формализовано че</w:t>
      </w:r>
      <w:r>
        <w:rPr>
          <w:rFonts w:eastAsia="Times New Roman" w:cs="Times New Roman"/>
          <w:b w:val="0"/>
          <w:i w:val="0"/>
          <w:sz w:val="28"/>
        </w:rPr>
        <w:t xml:space="preserve">рез явные таблицы трансляции и измеряется метрикой КССА. В-третьих, протоколы взаимодействия LLM-агентов (MCP, A2A) в коммерческих платформах не интегрированы с CTI-форматами; брокер контекста выполняет такую интеграцию через единую онтологию MITRE ATT&amp;CK.</w:t>
      </w:r>
      <w:r/>
    </w:p>
    <w:p>
      <w:pPr>
        <w:pStyle w:val="715"/>
        <w:pBdr/>
        <w:spacing/>
        <w:ind w:firstLine="709"/>
        <w:jc w:val="left"/>
        <w:rPr/>
      </w:pPr>
      <w:r/>
      <w:bookmarkStart w:id="79" w:name="_Toc24"/>
      <w:r/>
      <w:bookmarkStart w:id="44" w:name="__RefHeading___Toc934_430826545"/>
      <w:r/>
      <w:bookmarkStart w:id="45" w:name="h52"/>
      <w:r/>
      <w:bookmarkEnd w:id="44"/>
      <w:r/>
      <w:bookmarkEnd w:id="45"/>
      <w:r>
        <w:rPr>
          <w:rFonts w:ascii="Times New Roman" w:hAnsi="Times New Roman" w:eastAsia="Times New Roman" w:cs="Times New Roman"/>
          <w:b/>
          <w:sz w:val="28"/>
        </w:rPr>
        <w:t xml:space="preserve">5.2 Научная новизна</w:t>
      </w:r>
      <w:bookmarkEnd w:id="79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Научная новизна работы заключается в трёх аспектах. Первый – синтез единой архитектурной модели, объединяющей четыре функциональных уровня (нормализация, разведка, исполнение,</w:t>
      </w:r>
      <w:r>
        <w:rPr>
          <w:rFonts w:eastAsia="Times New Roman" w:cs="Times New Roman"/>
          <w:b w:val="0"/>
          <w:i w:val="0"/>
          <w:sz w:val="28"/>
        </w:rPr>
        <w:t xml:space="preserve"> агентная координация), которые в существующей литературе рассматриваются изолированно. Второй – введение количественных метрик межагентного взаимодействия (КПК, ЗРК, КССА), формализующих качество обмена контекстом и допускающих экспериментальную верификац</w:t>
      </w:r>
      <w:r>
        <w:rPr>
          <w:rFonts w:eastAsia="Times New Roman" w:cs="Times New Roman"/>
          <w:b w:val="0"/>
          <w:i w:val="0"/>
          <w:sz w:val="28"/>
        </w:rPr>
        <w:t xml:space="preserve">ию. Третий – обоснование пороговых значений метрик, при выполнении которых режим автономного реагирования становится операционно допустимым; такое разделение режимов снижает риск автоматического выполнения деструктивного действия на основе неполных данных.</w:t>
      </w:r>
      <w:r/>
    </w:p>
    <w:p>
      <w:pPr>
        <w:pStyle w:val="715"/>
        <w:pBdr/>
        <w:spacing/>
        <w:ind w:firstLine="709"/>
        <w:jc w:val="left"/>
        <w:rPr/>
      </w:pPr>
      <w:r/>
      <w:bookmarkStart w:id="80" w:name="_Toc25"/>
      <w:r/>
      <w:bookmarkStart w:id="46" w:name="__RefHeading___Toc936_430826545"/>
      <w:r/>
      <w:bookmarkStart w:id="47" w:name="h53"/>
      <w:r/>
      <w:bookmarkEnd w:id="46"/>
      <w:r/>
      <w:bookmarkEnd w:id="47"/>
      <w:r>
        <w:rPr>
          <w:rFonts w:ascii="Times New Roman" w:hAnsi="Times New Roman" w:eastAsia="Times New Roman" w:cs="Times New Roman"/>
          <w:b/>
          <w:sz w:val="28"/>
        </w:rPr>
        <w:t xml:space="preserve">5.3 Ограничения предложенного подхода</w:t>
      </w:r>
      <w:bookmarkEnd w:id="80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Пр</w:t>
      </w:r>
      <w:r>
        <w:rPr>
          <w:rFonts w:eastAsia="Times New Roman" w:cs="Times New Roman"/>
          <w:b w:val="0"/>
          <w:i w:val="0"/>
          <w:sz w:val="28"/>
        </w:rPr>
        <w:t xml:space="preserve">едложенное решение имеет ряд ограничений, существенных при практическом применении. Первое ограничение связано с зависимостью качества семантического обогащения от полноты сопоставления событий с таксономией MITRE ATT&amp;CK; для нетиповых атак, не охваченных </w:t>
      </w:r>
      <w:r>
        <w:rPr>
          <w:rFonts w:eastAsia="Times New Roman" w:cs="Times New Roman"/>
          <w:b w:val="0"/>
          <w:i w:val="0"/>
          <w:sz w:val="28"/>
        </w:rPr>
        <w:t xml:space="preserve">таксономией, КССА может оказаться систематически заниженным. Второе ограничение касается централизованной модели брокера: его компрометация делает уязвимой всю систему, что требует встраивания механизмов изолированного аудита и многоуровневой репликации со</w:t>
      </w:r>
      <w:r>
        <w:rPr>
          <w:rFonts w:eastAsia="Times New Roman" w:cs="Times New Roman"/>
          <w:b w:val="0"/>
          <w:i w:val="0"/>
          <w:sz w:val="28"/>
        </w:rPr>
        <w:t xml:space="preserve">стояний. Третье ограничение определяется спецификой LLM-агентов – их недетерминированным поведением при выработке решений; для критических сценариев требуется ограничение пространства допустимых действий через жёстко зафиксированный набор инструментов MCP.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Кроме того, важно учитывать сценарии состязательного воздействия на сам брокер контекста: целенаправленн</w:t>
      </w:r>
      <w:r>
        <w:rPr>
          <w:rFonts w:eastAsia="Times New Roman" w:cs="Times New Roman"/>
          <w:b w:val="0"/>
          <w:i w:val="0"/>
          <w:sz w:val="28"/>
        </w:rPr>
        <w:t xml:space="preserve">ая отправка искажённых, но синтаксически корректных событий способна сместить семантический обогатитель в сторону ложной классификации. Защита от подобных воздействий выходит за рамки настоящей работы, однако должна стать предметом отдельного исследования.</w:t>
      </w:r>
      <w:r/>
    </w:p>
    <w:p>
      <w:pPr>
        <w:pStyle w:val="715"/>
        <w:pBdr/>
        <w:spacing/>
        <w:ind w:firstLine="709"/>
        <w:jc w:val="left"/>
        <w:rPr/>
      </w:pPr>
      <w:r/>
      <w:bookmarkStart w:id="81" w:name="_Toc26"/>
      <w:r/>
      <w:bookmarkStart w:id="48" w:name="__RefHeading___Toc938_430826545"/>
      <w:r/>
      <w:bookmarkStart w:id="49" w:name="h54"/>
      <w:r/>
      <w:bookmarkEnd w:id="48"/>
      <w:r/>
      <w:bookmarkEnd w:id="49"/>
      <w:r>
        <w:rPr>
          <w:rFonts w:ascii="Times New Roman" w:hAnsi="Times New Roman" w:eastAsia="Times New Roman" w:cs="Times New Roman"/>
          <w:b/>
          <w:sz w:val="28"/>
        </w:rPr>
        <w:t xml:space="preserve">5.4 Направления дальнейших исследований</w:t>
      </w:r>
      <w:bookmarkEnd w:id="81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Дальнейшее развитие работы предполагает четыре основных направления. Первое – формализация онтологии контекста безопасности на базе OCSF, STIX 2.1 и MITRE ATT&amp;CK с проработкой формальных правил трансляции атрибутов</w:t>
      </w:r>
      <w:r>
        <w:rPr>
          <w:rFonts w:eastAsia="Times New Roman" w:cs="Times New Roman"/>
          <w:b w:val="0"/>
          <w:i w:val="0"/>
          <w:sz w:val="28"/>
        </w:rPr>
        <w:t xml:space="preserve"> между схемами. Второе – реализация прототипа брокера контекста и его нагрузочное тестирование по показателю ЗРК на синтетических потоках событий объёмом не менее 10 тыс. событий в секунду. Третье – верификация пороговых значений КПК и КССА на реальных дан</w:t>
      </w:r>
      <w:r>
        <w:rPr>
          <w:rFonts w:eastAsia="Times New Roman" w:cs="Times New Roman"/>
          <w:b w:val="0"/>
          <w:i w:val="0"/>
          <w:sz w:val="28"/>
        </w:rPr>
        <w:t xml:space="preserve">ных центров реагирования с привлечением экспертной оценки качества автономных решений. Четвёртое – исследование механизмов защиты брокера от состязательных воздействий, включая методы аномальной классификации входящих сообщений по агрегированным признакам.</w:t>
      </w:r>
      <w:r/>
    </w:p>
    <w:p>
      <w:pPr>
        <w:pStyle w:val="712"/>
        <w:pBdr/>
        <w:spacing/>
        <w:ind w:firstLine="0"/>
        <w:rPr/>
      </w:pPr>
      <w:r/>
      <w:r>
        <w:br w:type="page" w:clear="all"/>
      </w:r>
      <w:r/>
    </w:p>
    <w:p>
      <w:pPr>
        <w:pStyle w:val="713"/>
        <w:pBdr/>
        <w:spacing w:after="0" w:before="0"/>
        <w:ind w:firstLine="0"/>
        <w:jc w:val="center"/>
        <w:rPr/>
      </w:pPr>
      <w:r/>
      <w:bookmarkStart w:id="82" w:name="_Toc27"/>
      <w:r/>
      <w:bookmarkStart w:id="50" w:name="__RefHeading___Toc940_430826545"/>
      <w:r/>
      <w:bookmarkStart w:id="51" w:name="zakl"/>
      <w:r/>
      <w:bookmarkEnd w:id="50"/>
      <w:r/>
      <w:bookmarkEnd w:id="51"/>
      <w:r>
        <w:rPr>
          <w:rFonts w:ascii="Times New Roman" w:hAnsi="Times New Roman" w:eastAsia="Times New Roman" w:cs="Times New Roman"/>
          <w:b/>
          <w:sz w:val="28"/>
        </w:rPr>
        <w:t xml:space="preserve">ЗАКЛЮЧЕНИЕ</w:t>
      </w:r>
      <w:bookmarkEnd w:id="82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В работе рассмотрена проблема согласованного обмена контекстом между автономными агентами кибербезопасности, построенными на базе больших язык</w:t>
      </w:r>
      <w:r>
        <w:rPr>
          <w:rFonts w:eastAsia="Times New Roman" w:cs="Times New Roman"/>
          <w:b w:val="0"/>
          <w:i w:val="0"/>
          <w:sz w:val="28"/>
        </w:rPr>
        <w:t xml:space="preserve">овых моделей. Систематизированы шесть протоколов обмена данными – STIX 2.1/TAXII 2.1, OCSF, CACAO 2.0, OpenC2, Model Context Protocol и Agent-to-Agent – и выполнен их сравнительный анализ по пяти признакам. Установлено, что рассмотренные стандарты охватыва</w:t>
      </w:r>
      <w:r>
        <w:rPr>
          <w:rFonts w:eastAsia="Times New Roman" w:cs="Times New Roman"/>
          <w:b w:val="0"/>
          <w:i w:val="0"/>
          <w:sz w:val="28"/>
        </w:rPr>
        <w:t xml:space="preserve">ют различные, частично пересекающиеся функциональные уровни (нормализация телеметрии, разведывательный контекст, исполнение защитных действий, агентная координация), однако ни один из них в отдельности не обеспечивает полного цикла межагентной координации.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Для количественной оценки качества межагентного взаимодействия введены тр</w:t>
      </w:r>
      <w:r>
        <w:rPr>
          <w:rFonts w:eastAsia="Times New Roman" w:cs="Times New Roman"/>
          <w:b w:val="0"/>
          <w:i w:val="0"/>
          <w:sz w:val="28"/>
        </w:rPr>
        <w:t xml:space="preserve">и показателя: коэффициент полноты контекста, задержка распространения контекста и коэффициент семантической согласованности агентов. Сформулированы пороговые значения метрик (КПК ≥ 0,7; ЗРК ≤ 500 мс; КССА ≥ 0,85), при выполнении которых режим автономного р</w:t>
      </w:r>
      <w:r>
        <w:rPr>
          <w:rFonts w:eastAsia="Times New Roman" w:cs="Times New Roman"/>
          <w:b w:val="0"/>
          <w:i w:val="0"/>
          <w:sz w:val="28"/>
        </w:rPr>
        <w:t xml:space="preserve">еагирования признан операционно допустимым. Введение количественных показателей переводит обсуждение качества обмена контекстом из качественной плоскости в плоскость измеримых характеристик, что создаёт основу для последующей экспериментальной верификации.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Предложена трёхуровневая концептуальная архитектура брокера контекста, выполняющего трансляцию форматов между STIX, OCSF и MCP/A2A, семантическое обогащение по таксономии </w:t>
      </w:r>
      <w:r>
        <w:rPr>
          <w:rFonts w:eastAsia="Times New Roman" w:cs="Times New Roman"/>
          <w:b w:val="0"/>
          <w:i w:val="0"/>
          <w:sz w:val="28"/>
        </w:rPr>
        <w:t xml:space="preserve">MITRE ATT&amp;CK, маршрутизацию сообщений и версионирование контекста. Архитектура обеспечивает целостный цикл координации агентов от приёма телеметрии до согласованного исполнения ответного действия с явными метрическими контрольными точками на каждой стадии.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Практическая значимость работы определяется тем, что предложенный подход допускает поэтапную интеграцию в действующие центры реагирования: брокер контекста может быть развёрнут парал</w:t>
      </w:r>
      <w:r>
        <w:rPr>
          <w:rFonts w:eastAsia="Times New Roman" w:cs="Times New Roman"/>
          <w:b w:val="0"/>
          <w:i w:val="0"/>
          <w:sz w:val="28"/>
        </w:rPr>
        <w:t xml:space="preserve">лельно существующей SOAR-инфраструктуре с постепенным переводом сценариев реагирования на агентную модель. Это снижает технологические риски внедрения и позволяет использовать ранее накопленные плейбуки CACAO 2.0 в качестве базовых исполнительных шаблонов.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Направления дальнейших ис</w:t>
      </w:r>
      <w:r>
        <w:rPr>
          <w:rFonts w:eastAsia="Times New Roman" w:cs="Times New Roman"/>
          <w:b w:val="0"/>
          <w:i w:val="0"/>
          <w:sz w:val="28"/>
        </w:rPr>
        <w:t xml:space="preserve">следований включают формализацию онтологии контекста безопасности, реализацию и нагрузочное тестирование прототипа брокера, верификацию пороговых значений метрик на реальных данных SOC и исследование механизмов защиты брокера от состязательных воздействий.</w:t>
      </w:r>
      <w:r/>
    </w:p>
    <w:p>
      <w:pPr>
        <w:pStyle w:val="712"/>
        <w:pBdr/>
        <w:spacing/>
        <w:ind w:firstLine="0"/>
        <w:rPr/>
      </w:pPr>
      <w:r/>
      <w:r>
        <w:br w:type="page" w:clear="all"/>
      </w:r>
      <w:r/>
    </w:p>
    <w:p>
      <w:pPr>
        <w:pStyle w:val="713"/>
        <w:pBdr/>
        <w:spacing w:after="0" w:before="0"/>
        <w:ind w:firstLine="0"/>
        <w:jc w:val="center"/>
        <w:rPr/>
      </w:pPr>
      <w:r/>
      <w:bookmarkStart w:id="83" w:name="_Toc28"/>
      <w:r/>
      <w:bookmarkStart w:id="52" w:name="__RefHeading___Toc942_430826545"/>
      <w:r/>
      <w:bookmarkStart w:id="53" w:name="list"/>
      <w:r/>
      <w:bookmarkEnd w:id="52"/>
      <w:r/>
      <w:bookmarkEnd w:id="53"/>
      <w:r>
        <w:rPr>
          <w:rFonts w:ascii="Times New Roman" w:hAnsi="Times New Roman" w:eastAsia="Times New Roman" w:cs="Times New Roman"/>
          <w:b/>
          <w:sz w:val="28"/>
        </w:rPr>
        <w:t xml:space="preserve">СПИСОК ИСПОЛЬЗОВАННЫХ ИСТОЧНИКОВ</w:t>
      </w:r>
      <w:bookmarkEnd w:id="83"/>
      <w:r/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1. Городецкий В.И., Котенко И.В., Карсаев О.В. Многоагентная система защиты информации в компьютерных сетях: механизмы обучения и формирования решений для обнаружения вторжений // Проблемы информатизации. – 2000. – № 2. – С. 67–73.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2. Браницкий А.А., Котенко И.В. Анализ и классификация методов обнаружения сетевых атак // Труды СПИИРАН. – 2016. – Вып. 45. – С. 207–244. DOI: 10.15622/sp.45.9.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3. STIX™ Version 2.1 : OASIS Standard, 10 June 2021 [Электронный ресурс]. – URL: https://docs.oasis-open.org/cti/stix/v2.1/os/stix-v2.1-os.html (дата обращения: 19.04.2026).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4. TAXII™ Version 2.1 : OASIS Standard, 10 June 2021 [Электронный ресурс]. – URL: https://docs.oasis-open.org/cti/taxii/v2.1/os/taxii-v2.1-os.html (дата обращения: 19.04.2026).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5. Open Cybersecurity Schema Framework (OCSF) Joins</w:t>
      </w:r>
      <w:r>
        <w:rPr>
          <w:rFonts w:eastAsia="Times New Roman" w:cs="Times New Roman"/>
          <w:b w:val="0"/>
          <w:i w:val="0"/>
          <w:sz w:val="28"/>
        </w:rPr>
        <w:t xml:space="preserve"> the Linux Foundation : Press Release, November 19, 2024 [Электронный ресурс]. – URL: https://www.linuxfoundation.org/press/open-cybersecurity-schema-framework-ocsf-joins-the-linux-foundation-to-optimize-critical-security-data (дата обращения: 19.04.2026).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6. Open Cybersecurity Schema Framework – OCSF Schema Browser, v1.3.0 [Электронный ресурс]. – URL: https://schema.ocsf.io/ (дата обращения: 19.04.2026).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7. CACAO Security Playbooks Version 2.0 : OASIS Committee Specification 01, 27 November 2023 [Электронный ресурс]. – URL: https://docs.oasis-open.org/cacao/security-playbooks/v2.0/cs01/security-playbooks-v2.0-cs01.html (дата обращения: 19.04.2026).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8. Open Command and Control (OpenC2) Language Specification Version 1.0 : OASIS Committee Specification 02, 24 November 2019 [Электронный ресурс]. – URL: https://docs.oasis-open.org/openc2/oc2ls/v1.0/cs02/oc2ls-v1.0-cs02.html (дата обращения: 19.04.2026).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9. Introducing the Model Context Protocol : Anthropic, November 25, 2024 [Электронный ресурс]. – URL: https://www.anthropic.com/news/model-context-protocol (дата обращения: 19.04.2026).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10. Announcing the Agent2Agent Protocol (A2A) : Google Developers Blog, April 9, 2025 [Электронный ресурс]. – URL: https://developers.googleblog.com/en/a2a-a-new-era-of-agent-interoperability/ (дата обращения: 19.04.2026).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11. OpenCTI – Open Cyber Threat Intelligence Platform [Электронный ресурс]. – URL: https://www.opencti.io/ (дата обращения: 19.04.2026).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12. MISP – Open Source Threat Intelligence Platform [Электронный ресурс]. – URL: https://www.misp-project.org/ (дата обращения: 19.04.2026).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13. One Year of Model Context Protocol: From Experiment to Industry Standard [Электронный ресурс]. – URL: https://zuplo.com/blog/one-year-of-mcp (дата обращения: 19.04.2026).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14. MITRE ATT&amp;CK® : Knowledge Base of Adversary Tactics and Techniques [Электронный ресурс]. – URL: https://attack.mitre.org/ (дата обращения: 19.04.2026).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15.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– М.: Стандартинформ, 2018. – 27 с.</w:t>
      </w:r>
      <w:r/>
    </w:p>
    <w:p>
      <w:pPr>
        <w:pStyle w:val="712"/>
        <w:pBdr/>
        <w:spacing/>
        <w:ind w:firstLine="709"/>
        <w:jc w:val="both"/>
        <w:rPr/>
      </w:pPr>
      <w:r>
        <w:rPr>
          <w:rFonts w:eastAsia="Times New Roman" w:cs="Times New Roman"/>
          <w:b w:val="0"/>
          <w:i w:val="0"/>
          <w:sz w:val="28"/>
        </w:rPr>
        <w:t xml:space="preserve">16. ГОСТ Р ИСО/МЭК 27001–2021. Информационные технологии. Методы и средства обеспечения безопасности. Системы менеджмента информационной безопасности. Требования. – М.: Российский институт стандартизации, 2021. – 26 с.</w:t>
      </w:r>
      <w:r/>
    </w:p>
    <w:p>
      <w:pPr>
        <w:pStyle w:val="712"/>
        <w:pBdr/>
        <w:spacing/>
        <w:ind w:firstLine="0"/>
        <w:rPr/>
      </w:pPr>
      <w:r/>
      <w:r>
        <w:br w:type="page" w:clear="all"/>
      </w:r>
      <w:r/>
    </w:p>
    <w:p>
      <w:pPr>
        <w:pStyle w:val="713"/>
        <w:pBdr/>
        <w:spacing w:after="0" w:before="0"/>
        <w:ind w:firstLine="0"/>
        <w:jc w:val="center"/>
        <w:rPr/>
      </w:pPr>
      <w:r/>
      <w:bookmarkStart w:id="84" w:name="_Toc29"/>
      <w:r/>
      <w:bookmarkStart w:id="54" w:name="__RefHeading___Toc1032_420581427"/>
      <w:r/>
      <w:bookmarkStart w:id="55" w:name="app_a"/>
      <w:r/>
      <w:bookmarkEnd w:id="54"/>
      <w:r/>
      <w:bookmarkEnd w:id="55"/>
      <w:r>
        <w:rPr>
          <w:rFonts w:ascii="Times New Roman" w:hAnsi="Times New Roman" w:eastAsia="Times New Roman" w:cs="Times New Roman"/>
          <w:b/>
          <w:sz w:val="28"/>
        </w:rPr>
        <w:t xml:space="preserve">ПРИЛОЖЕНИЕ А</w:t>
      </w:r>
      <w:bookmarkEnd w:id="84"/>
      <w:r/>
      <w:r/>
    </w:p>
    <w:p>
      <w:pPr>
        <w:pStyle w:val="712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91430" cy="7200265"/>
                <wp:effectExtent l="0" t="0" r="0" b="0"/>
                <wp:docPr id="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091430" cy="7200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0.90pt;height:566.9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Style w:val="712"/>
        <w:pBdr/>
        <w:spacing/>
        <w:ind w:firstLine="0"/>
        <w:jc w:val="center"/>
        <w:rPr/>
      </w:pPr>
      <w:r>
        <w:rPr>
          <w:rFonts w:eastAsia="Times New Roman" w:cs="Times New Roman"/>
          <w:b w:val="0"/>
          <w:sz w:val="28"/>
        </w:rPr>
        <w:t xml:space="preserve">Рисунок А.1 – Сертификат участия в V Ежегодной национальной научно-практической конференции «Кибербезопасность: технические и правовые аспекты защиты информации»</w:t>
      </w:r>
      <w:r/>
    </w:p>
    <w:sectPr>
      <w:footerReference w:type="default" r:id="rId13"/>
      <w:footerReference w:type="even" r:id="rId14"/>
      <w:footerReference w:type="first" r:id="rId15"/>
      <w:footnotePr/>
      <w:endnotePr/>
      <w:type w:val="continuous"/>
      <w:pgSz w:h="16838" w:orient="portrait" w:w="11906"/>
      <w:pgMar w:top="1134" w:right="850" w:bottom="1134" w:left="1701" w:header="0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ambria">
    <w:panose1 w:val="02040503050406030204"/>
  </w:font>
  <w:font w:name="Liberation Sans">
    <w:panose1 w:val="020B0604020202020204"/>
  </w:font>
  <w:font w:name="DejaVu Sans">
    <w:panose1 w:val="020B0602030504020204"/>
  </w:font>
  <w:font w:name="Courier">
    <w:panose1 w:val="020703090202050204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pBdr/>
      <w:spacing/>
      <w:ind w:firstLine="0"/>
      <w:jc w:val="center"/>
      <w:rPr/>
    </w:pPr>
    <w:r>
      <w:rPr>
        <w:rFonts w:eastAsia="Times New Roman" w:cs="Times New Roman"/>
        <w:b w:val="0"/>
        <w:i w:val="0"/>
        <w:sz w:val="28"/>
      </w:rPr>
      <w:fldChar w:fldCharType="begin"/>
    </w:r>
    <w:r>
      <w:rPr>
        <w:rFonts w:eastAsia="Times New Roman" w:cs="Times New Roman"/>
        <w:b w:val="0"/>
        <w:i w:val="0"/>
        <w:sz w:val="28"/>
      </w:rPr>
      <w:instrText xml:space="preserve"> PAGE </w:instrText>
    </w:r>
    <w:r>
      <w:rPr>
        <w:rFonts w:eastAsia="Times New Roman" w:cs="Times New Roman"/>
        <w:b w:val="0"/>
        <w:i w:val="0"/>
        <w:sz w:val="28"/>
      </w:rPr>
      <w:fldChar w:fldCharType="separate"/>
    </w:r>
    <w:r>
      <w:rPr>
        <w:rFonts w:eastAsia="Times New Roman" w:cs="Times New Roman"/>
        <w:b w:val="0"/>
        <w:i w:val="0"/>
        <w:sz w:val="28"/>
      </w:rPr>
      <w:t xml:space="preserve">30</w:t>
    </w:r>
    <w:r>
      <w:rPr>
        <w:rFonts w:eastAsia="Times New Roman" w:cs="Times New Roman"/>
        <w:b w:val="0"/>
        <w:i w:val="0"/>
        <w:sz w:val="28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pBdr/>
      <w:spacing/>
      <w:ind w:firstLine="0"/>
      <w:jc w:val="center"/>
      <w:rPr/>
    </w:pPr>
    <w:r>
      <w:rPr>
        <w:rFonts w:eastAsia="Times New Roman" w:cs="Times New Roman"/>
        <w:b w:val="0"/>
        <w:i w:val="0"/>
        <w:sz w:val="28"/>
      </w:rPr>
      <w:fldChar w:fldCharType="begin"/>
    </w:r>
    <w:r>
      <w:rPr>
        <w:rFonts w:eastAsia="Times New Roman" w:cs="Times New Roman"/>
        <w:b w:val="0"/>
        <w:i w:val="0"/>
        <w:sz w:val="28"/>
      </w:rPr>
      <w:instrText xml:space="preserve"> PAGE </w:instrText>
    </w:r>
    <w:r>
      <w:rPr>
        <w:rFonts w:eastAsia="Times New Roman" w:cs="Times New Roman"/>
        <w:b w:val="0"/>
        <w:i w:val="0"/>
        <w:sz w:val="28"/>
      </w:rPr>
      <w:fldChar w:fldCharType="separate"/>
    </w:r>
    <w:r>
      <w:rPr>
        <w:rFonts w:eastAsia="Times New Roman" w:cs="Times New Roman"/>
        <w:b w:val="0"/>
        <w:i w:val="0"/>
        <w:sz w:val="28"/>
      </w:rPr>
      <w:t xml:space="preserve">30</w:t>
    </w:r>
    <w:r>
      <w:rPr>
        <w:rFonts w:eastAsia="Times New Roman" w:cs="Times New Roman"/>
        <w:b w:val="0"/>
        <w:i w:val="0"/>
        <w:sz w:val="28"/>
      </w:rPr>
      <w:fldChar w:fldCharType="end"/>
    </w:r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pBdr/>
      <w:spacing/>
      <w:ind/>
      <w:rPr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F56B1A">
    <w:pPr>
      <w:pStyle w:val="75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67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68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69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70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71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72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6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1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12"/>
    <w:next w:val="712"/>
    <w:uiPriority w:val="39"/>
    <w:unhideWhenUsed/>
    <w:pPr>
      <w:pBdr/>
      <w:spacing w:after="100"/>
      <w:ind w:left="660"/>
    </w:pPr>
  </w:style>
  <w:style w:type="paragraph" w:styleId="193">
    <w:name w:val="toc 5"/>
    <w:basedOn w:val="712"/>
    <w:next w:val="712"/>
    <w:uiPriority w:val="39"/>
    <w:unhideWhenUsed/>
    <w:pPr>
      <w:pBdr/>
      <w:spacing w:after="100"/>
      <w:ind w:left="880"/>
    </w:pPr>
  </w:style>
  <w:style w:type="paragraph" w:styleId="194">
    <w:name w:val="toc 6"/>
    <w:basedOn w:val="712"/>
    <w:next w:val="712"/>
    <w:uiPriority w:val="39"/>
    <w:unhideWhenUsed/>
    <w:pPr>
      <w:pBdr/>
      <w:spacing w:after="100"/>
      <w:ind w:left="1100"/>
    </w:pPr>
  </w:style>
  <w:style w:type="paragraph" w:styleId="195">
    <w:name w:val="toc 7"/>
    <w:basedOn w:val="712"/>
    <w:next w:val="712"/>
    <w:uiPriority w:val="39"/>
    <w:unhideWhenUsed/>
    <w:pPr>
      <w:pBdr/>
      <w:spacing w:after="100"/>
      <w:ind w:left="1320"/>
    </w:pPr>
  </w:style>
  <w:style w:type="paragraph" w:styleId="196">
    <w:name w:val="toc 8"/>
    <w:basedOn w:val="712"/>
    <w:next w:val="712"/>
    <w:uiPriority w:val="39"/>
    <w:unhideWhenUsed/>
    <w:pPr>
      <w:pBdr/>
      <w:spacing w:after="100"/>
      <w:ind w:left="1540"/>
    </w:pPr>
  </w:style>
  <w:style w:type="paragraph" w:styleId="197">
    <w:name w:val="toc 9"/>
    <w:basedOn w:val="712"/>
    <w:next w:val="71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2"/>
    <w:next w:val="712"/>
    <w:uiPriority w:val="99"/>
    <w:unhideWhenUsed/>
    <w:pPr>
      <w:pBdr/>
      <w:spacing w:after="0" w:afterAutospacing="0"/>
      <w:ind/>
    </w:pPr>
  </w:style>
  <w:style w:type="paragraph" w:styleId="712" w:default="1">
    <w:name w:val="Normal"/>
    <w:qFormat/>
    <w:pPr>
      <w:widowControl w:val="true"/>
      <w:pBdr/>
      <w:bidi w:val="false"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color w:val="auto"/>
      <w:sz w:val="28"/>
      <w:szCs w:val="22"/>
      <w:lang w:val="en-US" w:eastAsia="en-US" w:bidi="ar-SA"/>
    </w:rPr>
  </w:style>
  <w:style w:type="paragraph" w:styleId="713">
    <w:name w:val="Heading 1"/>
    <w:basedOn w:val="712"/>
    <w:next w:val="712"/>
    <w:link w:val="725"/>
    <w:uiPriority w:val="9"/>
    <w:qFormat/>
    <w:pPr>
      <w:keepNext w:val="true"/>
      <w:keepLines w:val="true"/>
      <w:pBdr/>
      <w:spacing w:after="0" w:before="0" w:line="360" w:lineRule="auto"/>
      <w:ind w:firstLine="0"/>
      <w:jc w:val="center"/>
      <w:outlineLvl w:val="0"/>
    </w:pPr>
    <w:rPr>
      <w:rFonts w:ascii="Calibri" w:hAnsi="Calibri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714">
    <w:name w:val="Heading 2"/>
    <w:basedOn w:val="712"/>
    <w:next w:val="712"/>
    <w:link w:val="726"/>
    <w:uiPriority w:val="9"/>
    <w:unhideWhenUsed/>
    <w:qFormat/>
    <w:pPr>
      <w:keepNext w:val="true"/>
      <w:keepLines w:val="true"/>
      <w:pBdr/>
      <w:spacing w:after="0" w:before="0" w:line="360" w:lineRule="auto"/>
      <w:ind w:firstLine="709"/>
      <w:jc w:val="left"/>
      <w:outlineLvl w:val="1"/>
    </w:pPr>
    <w:rPr>
      <w:rFonts w:ascii="Calibri" w:hAnsi="Calibri" w:asciiTheme="majorHAnsi" w:hAnsiTheme="majorHAnsi" w:eastAsiaTheme="majorEastAsia" w:cstheme="majorBidi"/>
      <w:b/>
      <w:bCs/>
      <w:i w:val="0"/>
      <w:color w:val="000000"/>
      <w:sz w:val="28"/>
      <w:szCs w:val="26"/>
    </w:rPr>
  </w:style>
  <w:style w:type="paragraph" w:styleId="715">
    <w:name w:val="Heading 3"/>
    <w:basedOn w:val="712"/>
    <w:next w:val="712"/>
    <w:link w:val="727"/>
    <w:uiPriority w:val="9"/>
    <w:unhideWhenUsed/>
    <w:qFormat/>
    <w:pPr>
      <w:keepNext w:val="true"/>
      <w:keepLines w:val="true"/>
      <w:pBdr/>
      <w:spacing w:after="0" w:before="0" w:line="360" w:lineRule="auto"/>
      <w:ind w:firstLine="709"/>
      <w:jc w:val="left"/>
      <w:outlineLvl w:val="2"/>
    </w:pPr>
    <w:rPr>
      <w:rFonts w:ascii="Calibri" w:hAnsi="Calibri" w:asciiTheme="majorHAnsi" w:hAnsiTheme="majorHAnsi" w:eastAsiaTheme="majorEastAsia" w:cstheme="majorBidi"/>
      <w:b/>
      <w:bCs/>
      <w:i w:val="0"/>
      <w:color w:val="000000"/>
      <w:sz w:val="28"/>
    </w:rPr>
  </w:style>
  <w:style w:type="paragraph" w:styleId="716">
    <w:name w:val="Heading 4"/>
    <w:basedOn w:val="712"/>
    <w:next w:val="712"/>
    <w:link w:val="7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Calibri" w:hAnsi="Calibri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12"/>
    <w:next w:val="712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="Calibri" w:hAnsi="Calibri"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12"/>
    <w:next w:val="712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12"/>
    <w:next w:val="712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12"/>
    <w:next w:val="712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="Calibri" w:hAnsi="Calibri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12"/>
    <w:next w:val="712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customStyle="1">
    <w:name w:val="Header Char"/>
    <w:basedOn w:val="724"/>
    <w:link w:val="757"/>
    <w:uiPriority w:val="99"/>
    <w:qFormat/>
    <w:pPr>
      <w:pBdr/>
      <w:spacing/>
      <w:ind/>
    </w:pPr>
  </w:style>
  <w:style w:type="character" w:styleId="723" w:customStyle="1">
    <w:name w:val="Footer Char"/>
    <w:basedOn w:val="724"/>
    <w:link w:val="758"/>
    <w:uiPriority w:val="99"/>
    <w:qFormat/>
    <w:pPr>
      <w:pBdr/>
      <w:spacing/>
      <w:ind/>
    </w:pPr>
  </w:style>
  <w:style w:type="character" w:styleId="724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25" w:customStyle="1">
    <w:name w:val="Heading 1 Char"/>
    <w:basedOn w:val="724"/>
    <w:link w:val="713"/>
    <w:uiPriority w:val="9"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6" w:customStyle="1">
    <w:name w:val="Heading 2 Char"/>
    <w:basedOn w:val="724"/>
    <w:link w:val="714"/>
    <w:uiPriority w:val="9"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7" w:customStyle="1">
    <w:name w:val="Heading 3 Char"/>
    <w:basedOn w:val="724"/>
    <w:link w:val="715"/>
    <w:uiPriority w:val="9"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color w:val="4f81bd" w:themeColor="accent1"/>
    </w:rPr>
  </w:style>
  <w:style w:type="character" w:styleId="728" w:customStyle="1">
    <w:name w:val="Title Char"/>
    <w:basedOn w:val="724"/>
    <w:link w:val="760"/>
    <w:uiPriority w:val="10"/>
    <w:qFormat/>
    <w:pPr>
      <w:pBdr/>
      <w:spacing/>
      <w:ind/>
    </w:pPr>
    <w:rPr>
      <w:rFonts w:ascii="Calibri" w:hAnsi="Calibri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9" w:customStyle="1">
    <w:name w:val="Subtitle Char"/>
    <w:basedOn w:val="724"/>
    <w:link w:val="761"/>
    <w:uiPriority w:val="11"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0" w:customStyle="1">
    <w:name w:val="Body Text Char"/>
    <w:basedOn w:val="724"/>
    <w:uiPriority w:val="99"/>
    <w:qFormat/>
    <w:pPr>
      <w:pBdr/>
      <w:spacing/>
      <w:ind/>
    </w:pPr>
  </w:style>
  <w:style w:type="character" w:styleId="731" w:customStyle="1">
    <w:name w:val="Body Text 2 Char"/>
    <w:basedOn w:val="724"/>
    <w:link w:val="763"/>
    <w:uiPriority w:val="99"/>
    <w:qFormat/>
    <w:pPr>
      <w:pBdr/>
      <w:spacing/>
      <w:ind/>
    </w:pPr>
  </w:style>
  <w:style w:type="character" w:styleId="732" w:customStyle="1">
    <w:name w:val="Body Text 3 Char"/>
    <w:basedOn w:val="724"/>
    <w:link w:val="764"/>
    <w:uiPriority w:val="99"/>
    <w:qFormat/>
    <w:pPr>
      <w:pBdr/>
      <w:spacing/>
      <w:ind/>
    </w:pPr>
    <w:rPr>
      <w:sz w:val="16"/>
      <w:szCs w:val="16"/>
    </w:rPr>
  </w:style>
  <w:style w:type="character" w:styleId="733" w:customStyle="1">
    <w:name w:val="Macro Text Char"/>
    <w:basedOn w:val="724"/>
    <w:link w:val="776"/>
    <w:uiPriority w:val="99"/>
    <w:qFormat/>
    <w:pPr>
      <w:pBdr/>
      <w:spacing/>
      <w:ind/>
    </w:pPr>
    <w:rPr>
      <w:rFonts w:ascii="Courier" w:hAnsi="Courier"/>
      <w:sz w:val="20"/>
      <w:szCs w:val="20"/>
    </w:rPr>
  </w:style>
  <w:style w:type="character" w:styleId="734" w:customStyle="1">
    <w:name w:val="Quote Char"/>
    <w:basedOn w:val="724"/>
    <w:link w:val="77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Heading 4 Char"/>
    <w:basedOn w:val="724"/>
    <w:link w:val="716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6" w:customStyle="1">
    <w:name w:val="Heading 5 Char"/>
    <w:basedOn w:val="724"/>
    <w:link w:val="717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color w:val="243f60" w:themeColor="accent1" w:themeShade="7F"/>
    </w:rPr>
  </w:style>
  <w:style w:type="character" w:styleId="737" w:customStyle="1">
    <w:name w:val="Heading 6 Char"/>
    <w:basedOn w:val="724"/>
    <w:link w:val="718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243f60" w:themeColor="accent1" w:themeShade="7F"/>
    </w:rPr>
  </w:style>
  <w:style w:type="character" w:styleId="738" w:customStyle="1">
    <w:name w:val="Heading 7 Char"/>
    <w:basedOn w:val="724"/>
    <w:link w:val="719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</w:rPr>
  </w:style>
  <w:style w:type="character" w:styleId="739" w:customStyle="1">
    <w:name w:val="Heading 8 Char"/>
    <w:basedOn w:val="724"/>
    <w:link w:val="720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0" w:customStyle="1">
    <w:name w:val="Heading 9 Char"/>
    <w:basedOn w:val="724"/>
    <w:link w:val="721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41">
    <w:name w:val="Strong"/>
    <w:basedOn w:val="724"/>
    <w:uiPriority w:val="22"/>
    <w:qFormat/>
    <w:pPr>
      <w:pBdr/>
      <w:spacing/>
      <w:ind/>
    </w:pPr>
    <w:rPr>
      <w:b/>
      <w:bCs/>
    </w:rPr>
  </w:style>
  <w:style w:type="character" w:styleId="742">
    <w:name w:val="Emphasis"/>
    <w:basedOn w:val="724"/>
    <w:uiPriority w:val="20"/>
    <w:qFormat/>
    <w:pPr>
      <w:pBdr/>
      <w:spacing/>
      <w:ind/>
    </w:pPr>
    <w:rPr>
      <w:i/>
      <w:iCs/>
    </w:rPr>
  </w:style>
  <w:style w:type="character" w:styleId="743" w:customStyle="1">
    <w:name w:val="Intense Quote Char"/>
    <w:basedOn w:val="724"/>
    <w:link w:val="778"/>
    <w:uiPriority w:val="30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4">
    <w:name w:val="Subtle Emphasis"/>
    <w:basedOn w:val="72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5">
    <w:name w:val="Intense Emphasis"/>
    <w:basedOn w:val="72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6">
    <w:name w:val="Subtle Reference"/>
    <w:basedOn w:val="72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47">
    <w:name w:val="Intense Reference"/>
    <w:basedOn w:val="72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48">
    <w:name w:val="Book Title"/>
    <w:basedOn w:val="724"/>
    <w:uiPriority w:val="33"/>
    <w:qFormat/>
    <w:pPr>
      <w:pBdr/>
      <w:spacing/>
      <w:ind/>
    </w:pPr>
    <w:rPr>
      <w:b/>
      <w:bCs/>
      <w:smallCaps/>
      <w:spacing w:val="5"/>
    </w:rPr>
  </w:style>
  <w:style w:type="character" w:styleId="749">
    <w:name w:val="Hyperlink"/>
    <w:pPr>
      <w:pBdr/>
      <w:spacing/>
      <w:ind/>
    </w:pPr>
    <w:rPr>
      <w:color w:val="000080"/>
      <w:u w:val="single"/>
    </w:rPr>
  </w:style>
  <w:style w:type="character" w:styleId="750">
    <w:name w:val="Index Link"/>
    <w:qFormat/>
    <w:pPr>
      <w:pBdr/>
      <w:spacing/>
      <w:ind/>
    </w:pPr>
  </w:style>
  <w:style w:type="paragraph" w:styleId="751">
    <w:name w:val="Heading"/>
    <w:basedOn w:val="712"/>
    <w:next w:val="752"/>
    <w:qFormat/>
    <w:pPr>
      <w:keepNext w:val="true"/>
      <w:pBdr/>
      <w:spacing w:after="120" w:before="240"/>
      <w:ind/>
    </w:pPr>
    <w:rPr>
      <w:rFonts w:ascii="Liberation Sans" w:hAnsi="Liberation Sans" w:eastAsia="DejaVu Sans" w:cs="DejaVu Sans"/>
      <w:sz w:val="28"/>
      <w:szCs w:val="28"/>
    </w:rPr>
  </w:style>
  <w:style w:type="paragraph" w:styleId="752">
    <w:name w:val="Body Text"/>
    <w:basedOn w:val="712"/>
    <w:link w:val="730"/>
    <w:uiPriority w:val="99"/>
    <w:unhideWhenUsed/>
    <w:pPr>
      <w:pBdr/>
      <w:spacing w:after="120" w:before="0"/>
      <w:ind/>
    </w:pPr>
  </w:style>
  <w:style w:type="paragraph" w:styleId="753">
    <w:name w:val="List"/>
    <w:basedOn w:val="712"/>
    <w:uiPriority w:val="99"/>
    <w:unhideWhenUsed/>
    <w:pPr>
      <w:pBdr/>
      <w:spacing w:after="0" w:before="0"/>
      <w:ind w:hanging="360" w:left="360"/>
      <w:contextualSpacing w:val="true"/>
    </w:pPr>
  </w:style>
  <w:style w:type="paragraph" w:styleId="754">
    <w:name w:val="Caption"/>
    <w:basedOn w:val="712"/>
    <w:next w:val="712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755">
    <w:name w:val="Index"/>
    <w:basedOn w:val="712"/>
    <w:qFormat/>
    <w:pPr>
      <w:suppressLineNumbers w:val="true"/>
      <w:pBdr/>
      <w:spacing/>
      <w:ind/>
    </w:pPr>
  </w:style>
  <w:style w:type="paragraph" w:styleId="756">
    <w:name w:val="Header and Footer"/>
    <w:basedOn w:val="712"/>
    <w:qFormat/>
    <w:pPr>
      <w:pBdr/>
      <w:spacing/>
      <w:ind/>
    </w:pPr>
  </w:style>
  <w:style w:type="paragraph" w:styleId="757">
    <w:name w:val="Header"/>
    <w:basedOn w:val="712"/>
    <w:link w:val="722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758">
    <w:name w:val="Footer"/>
    <w:basedOn w:val="712"/>
    <w:link w:val="723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759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mbria" w:hAnsi="Cambria" w:asciiTheme="minorHAnsi" w:hAnsiTheme="minorHAnsi" w:eastAsiaTheme="minorEastAsia" w:cstheme="minorBidi"/>
      <w:color w:val="auto"/>
      <w:sz w:val="22"/>
      <w:szCs w:val="22"/>
      <w:lang w:val="en-US" w:eastAsia="en-US" w:bidi="ar-SA"/>
    </w:rPr>
  </w:style>
  <w:style w:type="paragraph" w:styleId="760">
    <w:name w:val="Title"/>
    <w:basedOn w:val="712"/>
    <w:next w:val="712"/>
    <w:link w:val="728"/>
    <w:uiPriority w:val="10"/>
    <w:qFormat/>
    <w:pPr>
      <w:pBdr>
        <w:bottom w:val="single" w:color="4f81bd" w:themeColor="accent1" w:sz="8" w:space="4"/>
      </w:pBdr>
      <w:spacing w:after="300" w:before="0" w:line="240" w:lineRule="auto"/>
      <w:ind/>
      <w:contextualSpacing w:val="true"/>
    </w:pPr>
    <w:rPr>
      <w:rFonts w:ascii="Calibri" w:hAnsi="Calibri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61">
    <w:name w:val="Subtitle"/>
    <w:basedOn w:val="712"/>
    <w:next w:val="712"/>
    <w:link w:val="729"/>
    <w:uiPriority w:val="11"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62">
    <w:name w:val="List Paragraph"/>
    <w:basedOn w:val="712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Body Text 2"/>
    <w:basedOn w:val="712"/>
    <w:link w:val="731"/>
    <w:uiPriority w:val="99"/>
    <w:unhideWhenUsed/>
    <w:qFormat/>
    <w:pPr>
      <w:pBdr/>
      <w:spacing w:after="120" w:before="0" w:line="480" w:lineRule="auto"/>
      <w:ind/>
    </w:pPr>
  </w:style>
  <w:style w:type="paragraph" w:styleId="764">
    <w:name w:val="Body Text 3"/>
    <w:basedOn w:val="712"/>
    <w:link w:val="732"/>
    <w:uiPriority w:val="99"/>
    <w:unhideWhenUsed/>
    <w:qFormat/>
    <w:pPr>
      <w:pBdr/>
      <w:spacing w:after="120" w:before="0"/>
      <w:ind/>
    </w:pPr>
    <w:rPr>
      <w:sz w:val="16"/>
      <w:szCs w:val="16"/>
    </w:rPr>
  </w:style>
  <w:style w:type="paragraph" w:styleId="765">
    <w:name w:val="List 2"/>
    <w:basedOn w:val="712"/>
    <w:uiPriority w:val="99"/>
    <w:unhideWhenUsed/>
    <w:qFormat/>
    <w:pPr>
      <w:pBdr/>
      <w:spacing w:after="0" w:before="0"/>
      <w:ind w:hanging="360" w:left="720"/>
      <w:contextualSpacing w:val="true"/>
    </w:pPr>
  </w:style>
  <w:style w:type="paragraph" w:styleId="766">
    <w:name w:val="List 3"/>
    <w:basedOn w:val="712"/>
    <w:uiPriority w:val="99"/>
    <w:unhideWhenUsed/>
    <w:qFormat/>
    <w:pPr>
      <w:pBdr/>
      <w:spacing w:after="0" w:before="0"/>
      <w:ind w:hanging="360" w:left="1080"/>
      <w:contextualSpacing w:val="true"/>
    </w:pPr>
  </w:style>
  <w:style w:type="paragraph" w:styleId="767">
    <w:name w:val="List Bullet"/>
    <w:basedOn w:val="712"/>
    <w:uiPriority w:val="99"/>
    <w:unhideWhenUsed/>
    <w:pPr>
      <w:numPr>
        <w:ilvl w:val="0"/>
        <w:numId w:val="1"/>
      </w:numPr>
      <w:pBdr/>
      <w:spacing w:after="0" w:before="0"/>
      <w:ind/>
      <w:contextualSpacing w:val="true"/>
    </w:pPr>
  </w:style>
  <w:style w:type="paragraph" w:styleId="768">
    <w:name w:val="List Bullet 2"/>
    <w:basedOn w:val="712"/>
    <w:uiPriority w:val="99"/>
    <w:unhideWhenUsed/>
    <w:pPr>
      <w:numPr>
        <w:ilvl w:val="0"/>
        <w:numId w:val="2"/>
      </w:numPr>
      <w:pBdr/>
      <w:spacing w:after="0" w:before="0"/>
      <w:ind/>
      <w:contextualSpacing w:val="true"/>
    </w:pPr>
  </w:style>
  <w:style w:type="paragraph" w:styleId="769">
    <w:name w:val="List Bullet 3"/>
    <w:basedOn w:val="712"/>
    <w:uiPriority w:val="99"/>
    <w:unhideWhenUsed/>
    <w:pPr>
      <w:numPr>
        <w:ilvl w:val="0"/>
        <w:numId w:val="3"/>
      </w:numPr>
      <w:pBdr/>
      <w:spacing w:after="0" w:before="0"/>
      <w:ind/>
      <w:contextualSpacing w:val="true"/>
    </w:pPr>
  </w:style>
  <w:style w:type="paragraph" w:styleId="770">
    <w:name w:val="List Number"/>
    <w:basedOn w:val="712"/>
    <w:uiPriority w:val="99"/>
    <w:unhideWhenUsed/>
    <w:pPr>
      <w:numPr>
        <w:ilvl w:val="0"/>
        <w:numId w:val="4"/>
      </w:numPr>
      <w:pBdr/>
      <w:spacing w:after="0" w:before="0"/>
      <w:ind/>
      <w:contextualSpacing w:val="true"/>
    </w:pPr>
  </w:style>
  <w:style w:type="paragraph" w:styleId="771">
    <w:name w:val="List Number 2"/>
    <w:basedOn w:val="712"/>
    <w:uiPriority w:val="99"/>
    <w:unhideWhenUsed/>
    <w:pPr>
      <w:numPr>
        <w:ilvl w:val="0"/>
        <w:numId w:val="5"/>
      </w:numPr>
      <w:pBdr/>
      <w:spacing w:after="0" w:before="0"/>
      <w:ind/>
      <w:contextualSpacing w:val="true"/>
    </w:pPr>
  </w:style>
  <w:style w:type="paragraph" w:styleId="772">
    <w:name w:val="List Number 3"/>
    <w:basedOn w:val="712"/>
    <w:uiPriority w:val="99"/>
    <w:unhideWhenUsed/>
    <w:pPr>
      <w:numPr>
        <w:ilvl w:val="0"/>
        <w:numId w:val="6"/>
      </w:numPr>
      <w:pBdr/>
      <w:spacing w:after="0" w:before="0"/>
      <w:ind/>
      <w:contextualSpacing w:val="true"/>
    </w:pPr>
  </w:style>
  <w:style w:type="paragraph" w:styleId="773">
    <w:name w:val="List Continue"/>
    <w:basedOn w:val="712"/>
    <w:uiPriority w:val="99"/>
    <w:unhideWhenUsed/>
    <w:pPr>
      <w:pBdr/>
      <w:spacing w:after="120" w:before="0"/>
      <w:ind w:left="360"/>
      <w:contextualSpacing w:val="true"/>
    </w:pPr>
  </w:style>
  <w:style w:type="paragraph" w:styleId="774">
    <w:name w:val="List Continue 2"/>
    <w:basedOn w:val="712"/>
    <w:uiPriority w:val="99"/>
    <w:unhideWhenUsed/>
    <w:pPr>
      <w:pBdr/>
      <w:spacing w:after="120" w:before="0"/>
      <w:ind w:left="720"/>
      <w:contextualSpacing w:val="true"/>
    </w:pPr>
  </w:style>
  <w:style w:type="paragraph" w:styleId="775">
    <w:name w:val="List Continue 3"/>
    <w:basedOn w:val="712"/>
    <w:uiPriority w:val="99"/>
    <w:unhideWhenUsed/>
    <w:pPr>
      <w:pBdr/>
      <w:spacing w:after="120" w:before="0"/>
      <w:ind w:left="1080"/>
      <w:contextualSpacing w:val="true"/>
    </w:pPr>
  </w:style>
  <w:style w:type="paragraph" w:styleId="776">
    <w:name w:val="macro"/>
    <w:link w:val="733"/>
    <w:uiPriority w:val="99"/>
    <w:unhideWhenUsed/>
    <w:qFormat/>
    <w:pPr>
      <w:widowControl w:val="true"/>
      <w:pBdr/>
      <w:tabs>
        <w:tab w:val="left" w:leader="none" w:pos="576"/>
        <w:tab w:val="clear" w:leader="none" w:pos="720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false"/>
      <w:spacing w:after="200" w:before="0" w:line="276" w:lineRule="auto"/>
      <w:ind/>
      <w:jc w:val="left"/>
    </w:pPr>
    <w:rPr>
      <w:rFonts w:ascii="Courier" w:hAnsi="Courier" w:eastAsiaTheme="minorEastAsia" w:cstheme="minorBidi"/>
      <w:color w:val="auto"/>
      <w:sz w:val="20"/>
      <w:szCs w:val="20"/>
      <w:lang w:val="en-US" w:eastAsia="en-US" w:bidi="ar-SA"/>
    </w:rPr>
  </w:style>
  <w:style w:type="paragraph" w:styleId="777">
    <w:name w:val="Quote"/>
    <w:basedOn w:val="712"/>
    <w:next w:val="712"/>
    <w:link w:val="734"/>
    <w:uiPriority w:val="29"/>
    <w:qFormat/>
    <w:pPr>
      <w:pBdr/>
      <w:spacing/>
      <w:ind/>
    </w:pPr>
    <w:rPr>
      <w:i/>
      <w:iCs/>
      <w:color w:val="000000" w:themeColor="text1"/>
    </w:rPr>
  </w:style>
  <w:style w:type="paragraph" w:styleId="778">
    <w:name w:val="Intense Quote"/>
    <w:basedOn w:val="712"/>
    <w:next w:val="712"/>
    <w:link w:val="74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paragraph" w:styleId="779">
    <w:name w:val="index heading"/>
    <w:basedOn w:val="751"/>
    <w:pPr>
      <w:pBdr/>
      <w:spacing/>
      <w:ind/>
    </w:pPr>
  </w:style>
  <w:style w:type="paragraph" w:styleId="780">
    <w:name w:val="TOC Heading"/>
    <w:basedOn w:val="713"/>
    <w:next w:val="712"/>
    <w:uiPriority w:val="39"/>
    <w:semiHidden/>
    <w:unhideWhenUsed/>
    <w:qFormat/>
    <w:pPr>
      <w:pBdr/>
      <w:spacing/>
      <w:ind/>
      <w:outlineLvl w:val="9"/>
    </w:pPr>
  </w:style>
  <w:style w:type="paragraph" w:styleId="781">
    <w:name w:val="toc 1"/>
    <w:basedOn w:val="755"/>
    <w:pPr>
      <w:pBdr/>
      <w:tabs>
        <w:tab w:val="clear" w:leader="none" w:pos="720"/>
        <w:tab w:val="right" w:leader="dot" w:pos="9355"/>
      </w:tabs>
      <w:spacing/>
      <w:ind w:firstLine="0" w:left="0"/>
    </w:pPr>
  </w:style>
  <w:style w:type="paragraph" w:styleId="782">
    <w:name w:val="toc 2"/>
    <w:basedOn w:val="755"/>
    <w:pPr>
      <w:pBdr/>
      <w:tabs>
        <w:tab w:val="clear" w:leader="none" w:pos="720"/>
        <w:tab w:val="right" w:leader="dot" w:pos="9072"/>
      </w:tabs>
      <w:spacing/>
      <w:ind w:firstLine="0" w:left="283"/>
    </w:pPr>
  </w:style>
  <w:style w:type="paragraph" w:styleId="783">
    <w:name w:val="toc 3"/>
    <w:basedOn w:val="755"/>
    <w:pPr>
      <w:pBdr/>
      <w:tabs>
        <w:tab w:val="clear" w:leader="none" w:pos="720"/>
        <w:tab w:val="right" w:leader="dot" w:pos="8788"/>
      </w:tabs>
      <w:spacing/>
      <w:ind w:firstLine="0" w:left="567"/>
    </w:pPr>
  </w:style>
  <w:style w:type="numbering" w:styleId="784" w:default="1">
    <w:name w:val="No List"/>
    <w:uiPriority w:val="99"/>
    <w:semiHidden/>
    <w:unhideWhenUsed/>
    <w:qFormat/>
    <w:pPr>
      <w:pBdr/>
      <w:spacing/>
      <w:ind/>
    </w:pPr>
  </w:style>
  <w:style w:type="table" w:styleId="785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Table Grid"/>
    <w:basedOn w:val="785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Shading"/>
    <w:basedOn w:val="78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Shading Accent 1"/>
    <w:basedOn w:val="78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Shading Accent 2"/>
    <w:basedOn w:val="78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Shading Accent 3"/>
    <w:basedOn w:val="78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Shading Accent 4"/>
    <w:basedOn w:val="78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Shading Accent 5"/>
    <w:basedOn w:val="78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Shading Accent 6"/>
    <w:basedOn w:val="78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List"/>
    <w:basedOn w:val="785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ght List Accent 1"/>
    <w:basedOn w:val="785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ght List Accent 2"/>
    <w:basedOn w:val="785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ght List Accent 3"/>
    <w:basedOn w:val="785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ght List Accent 4"/>
    <w:basedOn w:val="785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ght List Accent 5"/>
    <w:basedOn w:val="785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ght List Accent 6"/>
    <w:basedOn w:val="785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ght Grid"/>
    <w:basedOn w:val="785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ght Grid Accent 1"/>
    <w:basedOn w:val="785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ght Grid Accent 2"/>
    <w:basedOn w:val="785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ght Grid Accent 3"/>
    <w:basedOn w:val="785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ght Grid Accent 4"/>
    <w:basedOn w:val="785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ght Grid Accent 5"/>
    <w:basedOn w:val="785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ght Grid Accent 6"/>
    <w:basedOn w:val="785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1"/>
    <w:basedOn w:val="785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Shading 1 Accent 1"/>
    <w:basedOn w:val="785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Shading 1 Accent 2"/>
    <w:basedOn w:val="785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Shading 1 Accent 3"/>
    <w:basedOn w:val="785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Shading 1 Accent 4"/>
    <w:basedOn w:val="785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Shading 1 Accent 5"/>
    <w:basedOn w:val="785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Shading 1 Accent 6"/>
    <w:basedOn w:val="785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Shading 2"/>
    <w:basedOn w:val="785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Shading 2 Accent 1"/>
    <w:basedOn w:val="785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Shading 2 Accent 2"/>
    <w:basedOn w:val="785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Shading 2 Accent 3"/>
    <w:basedOn w:val="785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Shading 2 Accent 4"/>
    <w:basedOn w:val="785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Shading 2 Accent 5"/>
    <w:basedOn w:val="785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Shading 2 Accent 6"/>
    <w:basedOn w:val="785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1"/>
    <w:basedOn w:val="78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List 1 Accent 1"/>
    <w:basedOn w:val="78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List 1 Accent 2"/>
    <w:basedOn w:val="78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List 1 Accent 3"/>
    <w:basedOn w:val="78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List 1 Accent 4"/>
    <w:basedOn w:val="78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List 1 Accent 5"/>
    <w:basedOn w:val="78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List 1 Accent 6"/>
    <w:basedOn w:val="78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List 2"/>
    <w:basedOn w:val="78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List 2 Accent 1"/>
    <w:basedOn w:val="78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List 2 Accent 2"/>
    <w:basedOn w:val="78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List 2 Accent 3"/>
    <w:basedOn w:val="78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List 2 Accent 4"/>
    <w:basedOn w:val="78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List 2 Accent 5"/>
    <w:basedOn w:val="78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List 2 Accent 6"/>
    <w:basedOn w:val="78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1"/>
    <w:basedOn w:val="785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1 Accent 1"/>
    <w:basedOn w:val="785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1 Accent 2"/>
    <w:basedOn w:val="785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1 Accent 3"/>
    <w:basedOn w:val="785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1 Accent 4"/>
    <w:basedOn w:val="785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1 Accent 5"/>
    <w:basedOn w:val="785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1 Accent 6"/>
    <w:basedOn w:val="785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2"/>
    <w:basedOn w:val="78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Grid 2 Accent 1"/>
    <w:basedOn w:val="78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Grid 2 Accent 2"/>
    <w:basedOn w:val="78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Grid 2 Accent 3"/>
    <w:basedOn w:val="78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Grid 2 Accent 4"/>
    <w:basedOn w:val="78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Grid 2 Accent 5"/>
    <w:basedOn w:val="78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Grid 2 Accent 6"/>
    <w:basedOn w:val="78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Grid 3"/>
    <w:basedOn w:val="785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Grid 3 Accent 1"/>
    <w:basedOn w:val="785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Grid 3 Accent 2"/>
    <w:basedOn w:val="785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Grid 3 Accent 3"/>
    <w:basedOn w:val="785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Grid 3 Accent 4"/>
    <w:basedOn w:val="785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Grid 3 Accent 5"/>
    <w:basedOn w:val="785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Grid 3 Accent 6"/>
    <w:basedOn w:val="785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Dark List"/>
    <w:basedOn w:val="78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Dark List Accent 1"/>
    <w:basedOn w:val="78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Dark List Accent 2"/>
    <w:basedOn w:val="78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Dark List Accent 3"/>
    <w:basedOn w:val="78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Dark List Accent 4"/>
    <w:basedOn w:val="78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Dark List Accent 5"/>
    <w:basedOn w:val="78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Dark List Accent 6"/>
    <w:basedOn w:val="78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Shading"/>
    <w:basedOn w:val="78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Shading Accent 1"/>
    <w:basedOn w:val="78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Shading Accent 2"/>
    <w:basedOn w:val="78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Shading Accent 3"/>
    <w:basedOn w:val="78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Shading Accent 4"/>
    <w:basedOn w:val="78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Shading Accent 5"/>
    <w:basedOn w:val="78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Shading Accent 6"/>
    <w:basedOn w:val="78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List"/>
    <w:basedOn w:val="78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Colorful List Accent 1"/>
    <w:basedOn w:val="78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Colorful List Accent 2"/>
    <w:basedOn w:val="78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Colorful List Accent 3"/>
    <w:basedOn w:val="78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Colorful List Accent 4"/>
    <w:basedOn w:val="78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Colorful List Accent 5"/>
    <w:basedOn w:val="78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Colorful List Accent 6"/>
    <w:basedOn w:val="78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Colorful Grid"/>
    <w:basedOn w:val="78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Colorful Grid Accent 1"/>
    <w:basedOn w:val="78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Colorful Grid Accent 2"/>
    <w:basedOn w:val="78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Colorful Grid Accent 3"/>
    <w:basedOn w:val="78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Colorful Grid Accent 4"/>
    <w:basedOn w:val="78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Colorful Grid Accent 5"/>
    <w:basedOn w:val="78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Colorful Grid Accent 6"/>
    <w:basedOn w:val="78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footer" Target="footer4.xml" /><Relationship Id="rId14" Type="http://schemas.openxmlformats.org/officeDocument/2006/relationships/footer" Target="footer5.xml" /><Relationship Id="rId15" Type="http://schemas.openxmlformats.org/officeDocument/2006/relationships/footer" Target="footer6.xml" /><Relationship Id="rId16" Type="http://schemas.openxmlformats.org/officeDocument/2006/relationships/customXml" Target="../customXml/item1.xml" 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dc:language>en-US</dc:language>
  <cp:revision>5</cp:revision>
  <dcterms:created xsi:type="dcterms:W3CDTF">2013-12-23T23:15:00Z</dcterms:created>
  <dcterms:modified xsi:type="dcterms:W3CDTF">2026-05-27T04:13:00Z</dcterms:modified>
</cp:coreProperties>
</file>