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Times New Roman"/>
          <w:b/>
          <w:color w:val="1F4E78"/>
          <w:sz w:val="32"/>
        </w:rPr>
        <w:t>МЕТОДИЧЕСКИЕ РЕКОМЕНДАЦИИ ДЛЯ СТУДЕНТОВ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sz w:val="28"/>
        </w:rPr>
        <w:t>Практическая работа по теме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/>
          <w:color w:val="1F1F1F"/>
          <w:sz w:val="36"/>
        </w:rPr>
        <w:t>«Выявление технических следов и потенциально рискованных публикаций о цифровой инфраструктуре»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6"/>
        </w:rPr>
        <w:t>Дисциплина: «Методы сбора и обработки данных из открытых источников»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6"/>
        </w:rPr>
        <w:t>Уровень подготовки: магистратура, направление 10.04.01 «Информационная безопасность»</w:t>
      </w:r>
    </w:p>
    <w:p>
      <w:pPr>
        <w:spacing w:after="600"/>
        <w:jc w:val="center"/>
      </w:pPr>
      <w:r>
        <w:rPr>
          <w:rFonts w:ascii="Times New Roman" w:hAnsi="Times New Roman" w:eastAsia="Times New Roman"/>
          <w:sz w:val="26"/>
        </w:rPr>
        <w:t>Объём: 4 академических часа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</w:tblPr>
      <w:tblGrid>
        <w:gridCol w:w="9746"/>
      </w:tblGrid>
      <w:tr>
        <w:tc>
          <w:tcPr>
            <w:tcW w:type="dxa" w:w="9746"/>
            <w:shd w:fill="DCE6F1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23"/>
              </w:rPr>
              <w:t>Назначение работы</w:t>
            </w:r>
          </w:p>
        </w:tc>
      </w:tr>
      <w:tr>
        <w:tc>
          <w:tcPr>
            <w:tcW w:type="dxa" w:w="9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• Научиться пассивно и правомерно выявлять технические следы организации в открытых источниках.</w:t>
            </w:r>
          </w:p>
        </w:tc>
      </w:tr>
      <w:tr>
        <w:tc>
          <w:tcPr>
            <w:tcW w:type="dxa" w:w="9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• Оценивать публикации, которые раскрывают лишние сведения о цифровой инфраструктуре, но не переходить к эксплуатации этих сведений.</w:t>
            </w:r>
          </w:p>
        </w:tc>
      </w:tr>
      <w:tr>
        <w:tc>
          <w:tcPr>
            <w:tcW w:type="dxa" w:w="9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• Оформлять результат как аналитический отчёт с доказуемыми и аккуратно сформулированными выводами.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sz w:val="24"/>
        </w:rPr>
        <w:t>2026</w:t>
      </w:r>
    </w:p>
    <w:p>
      <w:r>
        <w:br w:type="page"/>
      </w:r>
    </w:p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1. Общая характеристика практической работы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Тема практической работы посвящена анализу открытых публикаций и цифровых следов, которые позволяют судить о структуре, сервисах, поставщиках и особенностях публичной цифровой инфраструктуры организации или сервиса.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Главная учебная цель состоит не в поиске уязвимостей и не в получении доступа к внутренним системам, а в умении обнаруживать и классифицировать те сведения, которые уже опубликованы в открытом доступе и потому могут создавать информационный риск для самой организации.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Практическая работа строится как защитная OSINT-аналитика. Студент должен показать, какие типы публикаций избыточно раскрывают сведения о технологиях, ролях, процессах, сервисах, поставщиках, маршрутах взаимодействия и внутренней организации цифровой среды.</w:t>
      </w:r>
    </w:p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2. Цель, задачи и планируемые результаты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Цель работы — сформировать у студента навык выявления технических следов и потенциально рискованных публикаций о цифровой инфраструктуре по открытым данным, а также умение аккуратно интерпретировать найденные материалы в интересах обеспечения информационной безопасности.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 ходе работы студент должен решить следующие задачи: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определить объект исследования и его публичный цифровой контур;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собрать открытые источники, где могут встречаться технические следы;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выделить технические артефакты, наблюдаемые без активного воздействия на объект;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выявить публикации, в которых раскрываются избыточные сведения о цифровой инфраструктуре;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оценить уровень информативности и потенциальный риск таких публикаций для самой организации;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оформить результат в виде таблиц, схемы и аналитического вывода.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 завершении работы студент должен знать, какие типы открытых публикаций несут инфраструктурные риски; уметь строить пассивный маршрут исследования; владеть навыком классификации технических следов, формулирования доказательных выводов и подготовки защитных рекомендаций.</w:t>
      </w:r>
    </w:p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3. Правовые и этические границы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</w:tblPr>
      <w:tblGrid>
        <w:gridCol w:w="9746"/>
      </w:tblGrid>
      <w:tr>
        <w:tc>
          <w:tcPr>
            <w:tcW w:type="dxa" w:w="9746"/>
            <w:shd w:fill="DCE6F1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23"/>
              </w:rPr>
              <w:t>Работа выполняется только в допустимых границах</w:t>
            </w:r>
          </w:p>
        </w:tc>
      </w:tr>
      <w:tr>
        <w:tc>
          <w:tcPr>
            <w:tcW w:type="dxa" w:w="9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• Используются только открытые источники и только пассивные методы наблюдения.</w:t>
            </w:r>
          </w:p>
        </w:tc>
      </w:tr>
      <w:tr>
        <w:tc>
          <w:tcPr>
            <w:tcW w:type="dxa" w:w="9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• Запрещены сканирование, перебор адресов, подбор имён, тестирование на проникновение, попытки входа в системы и иные активные действия.</w:t>
            </w:r>
          </w:p>
        </w:tc>
      </w:tr>
      <w:tr>
        <w:tc>
          <w:tcPr>
            <w:tcW w:type="dxa" w:w="9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• Нельзя искать, копировать или распространять учётные данные, токены, дампы, закрытые файлы и иные явно непубличные материалы.</w:t>
            </w:r>
          </w:p>
        </w:tc>
      </w:tr>
      <w:tr>
        <w:tc>
          <w:tcPr>
            <w:tcW w:type="dxa" w:w="9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• Если в открытом источнике обнаружен чувствительный материал, студент фиксирует сам факт публикации и прекращает углубление в содержание за пределами учебной задачи.</w:t>
            </w:r>
          </w:p>
        </w:tc>
      </w:tr>
      <w:tr>
        <w:tc>
          <w:tcPr>
            <w:tcW w:type="dxa" w:w="9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• В отчёте допускается описывать риск публикации, но не допускается публиковать сведения в таком виде, который делает их удобными для злоупотребления.</w:t>
            </w:r>
          </w:p>
        </w:tc>
      </w:tr>
    </w:tbl>
    <w:p/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Иными словами, практическая работа направлена на оценку информационной экспозиции, а не на получение преимуществ над исследуемым объектом.</w:t>
      </w:r>
    </w:p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4. Что считать техническим следом и потенциально рискованной публикацией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Под техническим следом в данной работе понимается любой открыто наблюдаемый артефакт, который помогает реконструировать цифровую инфраструктуру объекта: доменные имена, наименования сервисов, публичные страницы входа, наименования поставщиков, адресные или почтовые шаблоны, технологические описания, схемы взаимодействия сервисов, структура документации, упоминания платформ и облачных решений, сведения о средах разработки и сопровождения.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Потенциально рискованной публикацией считается публикация, которая сообщает о цифровой инфраструктуре больше, чем нужно для нормальной публичной коммуникации, и тем самым повышает информированность внешнего наблюдателя об устройстве, ролях, процессах или технологиях объекта.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 таким публикациям могут относиться: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вакансии с избыточным перечислением внутренних технологий и административных сервисов;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скриншоты интерфейсов, из которых читаются адреса, домены, имена хостов, шаблоны учётных записей, версии программ или элементы схемы сети;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презентации, инструкции, пользовательские памятки и регламенты, опубликованные на открытых сайтах;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страницы поддержки и документации, которые непреднамеренно раскрывают структуру внутренних или служебных сервисов;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публичные презентации, кейсы внедрения, статьи и интервью, в которых подробно перечислены продукты, поставщики, архитектурные решения и маршруты взаимодействия;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архивные версии страниц, в которых сохраняются устаревшие, но полезные для внешнего наблюдателя сведения.</w:t>
      </w:r>
    </w:p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5. Источники, допустимые для анализа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официальные сайты, страницы «О компании», «Контакты», «Поддержка», «Вакансии», «Документация», «Пресс-центр», «Партнёрам»;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открытые документы: PDF, презентации, пользовательские инструкции, тендерные материалы, публичные политики и регламенты;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вакансии на официальных сайтах и публичных кадровых площадках;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архивные версии страниц и ранее опубликованные открытые материалы;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публичные сертификатные, DNS- и регистрационные признаки, если они доступны через общедоступные сервисы без активного воздействия;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официальные страницы в соцсетях, видеозаписи вебинаров, интервью, анонсы мероприятий, технические блоги и открытые презентации;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открытые репозитории, примеры кода и технические заметки, если они принадлежат самому объекту и доступны публично.</w:t>
      </w:r>
    </w:p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6. Организация работы на 4 академических часа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249"/>
        <w:gridCol w:w="3249"/>
        <w:gridCol w:w="3249"/>
      </w:tblGrid>
      <w:tr>
        <w:tc>
          <w:tcPr>
            <w:tcW w:type="dxa" w:w="1814"/>
            <w:shd w:fill="DCE6F1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Этап</w:t>
            </w:r>
          </w:p>
        </w:tc>
        <w:tc>
          <w:tcPr>
            <w:tcW w:type="dxa" w:w="5783"/>
            <w:shd w:fill="DCE6F1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Содержание работы</w:t>
            </w:r>
          </w:p>
        </w:tc>
        <w:tc>
          <w:tcPr>
            <w:tcW w:type="dxa" w:w="1247"/>
            <w:shd w:fill="DCE6F1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Время</w:t>
            </w:r>
          </w:p>
        </w:tc>
      </w:tr>
      <w:tr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1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Инструктаж преподавателя, постановка задачи, выбор варианта, заполнение паспорта объекта.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20 мин</w:t>
            </w:r>
          </w:p>
        </w:tc>
      </w:tr>
      <w:tr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2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Сбор исходных источников и определение публичного цифрового контура.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25 мин</w:t>
            </w:r>
          </w:p>
        </w:tc>
      </w:tr>
      <w:tr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3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Выявление технических следов и их первичная классификация.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40 мин</w:t>
            </w:r>
          </w:p>
        </w:tc>
      </w:tr>
      <w:tr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4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Выявление потенциально рискованных публикаций и оценка их информативности.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40 мин</w:t>
            </w:r>
          </w:p>
        </w:tc>
      </w:tr>
      <w:tr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5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Сведение результатов в таблицы, построение схемы и формулирование выводов.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35 мин</w:t>
            </w:r>
          </w:p>
        </w:tc>
      </w:tr>
      <w:tr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6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Оформление отчёта и краткая защита результатов.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20 мин</w:t>
            </w:r>
          </w:p>
        </w:tc>
      </w:tr>
    </w:tbl>
    <w:p/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7. Пошаговый алгоритм выполнения работы</w:t>
      </w:r>
    </w:p>
    <w:p>
      <w:pPr>
        <w:pStyle w:val="ListNumber"/>
        <w:spacing w:before="0"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Шаг 1. Заполнить паспорт объекта исследования.</w:t>
      </w:r>
    </w:p>
    <w:p>
      <w:pPr>
        <w:spacing w:before="0" w:after="80" w:line="276" w:lineRule="auto"/>
        <w:ind w:left="425"/>
      </w:pPr>
      <w:r>
        <w:rPr>
          <w:rFonts w:ascii="Times New Roman" w:hAnsi="Times New Roman" w:eastAsia="Times New Roman"/>
          <w:b w:val="0"/>
          <w:sz w:val="23"/>
        </w:rPr>
        <w:t>Укажите вариант, название объекта, тип объекта, основной предполагаемый домен, цель анализа, дату работы и не менее трёх исходных гипотез. Гипотезы должны касаться того, какие публикации и какие технические следы могут быть найдены.</w:t>
      </w:r>
    </w:p>
    <w:p>
      <w:pPr>
        <w:pStyle w:val="ListNumber"/>
        <w:spacing w:before="0"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Шаг 2. Определить публичный цифровой контур.</w:t>
      </w:r>
    </w:p>
    <w:p>
      <w:pPr>
        <w:spacing w:before="0" w:after="80" w:line="276" w:lineRule="auto"/>
        <w:ind w:left="425"/>
      </w:pPr>
      <w:r>
        <w:rPr>
          <w:rFonts w:ascii="Times New Roman" w:hAnsi="Times New Roman" w:eastAsia="Times New Roman"/>
          <w:b w:val="0"/>
          <w:sz w:val="23"/>
        </w:rPr>
        <w:t>Установите официальный сайт, основные публичные сервисы и открытые площадки объекта. Отметьте, какие домены, страницы поддержки, карьерные разделы, блоги, страницы документации и публичные аккаунты относятся к этому объекту.</w:t>
      </w:r>
    </w:p>
    <w:p>
      <w:pPr>
        <w:pStyle w:val="ListNumber"/>
        <w:spacing w:before="0"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Шаг 3. Составить реестр открытых источников.</w:t>
      </w:r>
    </w:p>
    <w:p>
      <w:pPr>
        <w:spacing w:before="0" w:after="80" w:line="276" w:lineRule="auto"/>
        <w:ind w:left="425"/>
      </w:pPr>
      <w:r>
        <w:rPr>
          <w:rFonts w:ascii="Times New Roman" w:hAnsi="Times New Roman" w:eastAsia="Times New Roman"/>
          <w:b w:val="0"/>
          <w:sz w:val="23"/>
        </w:rPr>
        <w:t>Отдельно перечислите все категории источников, которые вы планируете анализировать: официальный сайт, раздел вакансий, открытые документы, презентации, ролики, архив страниц, пресс-релизы, технический блог, публичные репозитории.</w:t>
      </w:r>
    </w:p>
    <w:p>
      <w:pPr>
        <w:pStyle w:val="ListNumber"/>
        <w:spacing w:before="0"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Шаг 4. Выявить технические следы.</w:t>
      </w:r>
    </w:p>
    <w:p>
      <w:pPr>
        <w:spacing w:before="0" w:after="80" w:line="276" w:lineRule="auto"/>
        <w:ind w:left="425"/>
      </w:pPr>
      <w:r>
        <w:rPr>
          <w:rFonts w:ascii="Times New Roman" w:hAnsi="Times New Roman" w:eastAsia="Times New Roman"/>
          <w:b w:val="0"/>
          <w:sz w:val="23"/>
        </w:rPr>
        <w:t>Фиксируйте только то, что наблюдается пассивно: наименования сервисов, домены и поддомены, страницы входа, наименования платформ, облачных решений, интеграторов, help-центров, систем документооборота, трекеров заявок, корпоративных почтовых шаблонов, порталов разработчиков и иных элементов публичного контура.</w:t>
      </w:r>
    </w:p>
    <w:p>
      <w:pPr>
        <w:pStyle w:val="ListNumber"/>
        <w:spacing w:before="0"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Шаг 5. Классифицировать технические следы.</w:t>
      </w:r>
    </w:p>
    <w:p>
      <w:pPr>
        <w:spacing w:before="0" w:after="80" w:line="276" w:lineRule="auto"/>
        <w:ind w:left="425"/>
      </w:pPr>
      <w:r>
        <w:rPr>
          <w:rFonts w:ascii="Times New Roman" w:hAnsi="Times New Roman" w:eastAsia="Times New Roman"/>
          <w:b w:val="0"/>
          <w:sz w:val="23"/>
        </w:rPr>
        <w:t>Разделите найденные следы по категориям: доменные, почтовые, инфраструктурные, организационно-ролевые, документальные, визуальные, исторические. Для каждого следа укажите источник и уровень уверенности.</w:t>
      </w:r>
    </w:p>
    <w:p>
      <w:pPr>
        <w:pStyle w:val="ListNumber"/>
        <w:spacing w:before="0"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Шаг 6. Найти потенциально рискованные публикации.</w:t>
      </w:r>
    </w:p>
    <w:p>
      <w:pPr>
        <w:spacing w:before="0" w:after="80" w:line="276" w:lineRule="auto"/>
        <w:ind w:left="425"/>
      </w:pPr>
      <w:r>
        <w:rPr>
          <w:rFonts w:ascii="Times New Roman" w:hAnsi="Times New Roman" w:eastAsia="Times New Roman"/>
          <w:b w:val="0"/>
          <w:sz w:val="23"/>
        </w:rPr>
        <w:t>Отберите публикации, где раскрываются лишние сведения: список технологий в вакансии, скриншот с адресной строкой и именем сервиса, PDF с технической схемой, инструкция по удалённой работе, публичная страница поддержки с внутренними обозначениями, слайды о миграции в облако, публичная заметка с описанием служебного маршрута.</w:t>
      </w:r>
    </w:p>
    <w:p>
      <w:pPr>
        <w:pStyle w:val="ListNumber"/>
        <w:spacing w:before="0"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Шаг 7. Оценить риск публикации.</w:t>
      </w:r>
    </w:p>
    <w:p>
      <w:pPr>
        <w:spacing w:before="0" w:after="80" w:line="276" w:lineRule="auto"/>
        <w:ind w:left="425"/>
      </w:pPr>
      <w:r>
        <w:rPr>
          <w:rFonts w:ascii="Times New Roman" w:hAnsi="Times New Roman" w:eastAsia="Times New Roman"/>
          <w:b w:val="0"/>
          <w:sz w:val="23"/>
        </w:rPr>
        <w:t>Для каждой публикации опишите, что именно она раскрывает, почему это важно для внешнего наблюдателя, можно ли было бы изложить материал менее подробно и к какой категории риска она относится: низкий, средний или высокий.</w:t>
      </w:r>
    </w:p>
    <w:p>
      <w:pPr>
        <w:pStyle w:val="ListNumber"/>
        <w:spacing w:before="0"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Шаг 8. Выполнить исторический анализ.</w:t>
      </w:r>
    </w:p>
    <w:p>
      <w:pPr>
        <w:spacing w:before="0" w:after="80" w:line="276" w:lineRule="auto"/>
        <w:ind w:left="425"/>
      </w:pPr>
      <w:r>
        <w:rPr>
          <w:rFonts w:ascii="Times New Roman" w:hAnsi="Times New Roman" w:eastAsia="Times New Roman"/>
          <w:b w:val="0"/>
          <w:sz w:val="23"/>
        </w:rPr>
        <w:t>Проверьте, не сохранились ли в архивных версиях сайта, старых документах, релизах, презентациях и материалах прошлых лет сведения, которые уже не нужны для текущей публичной коммуникации, но продолжают раскрывать инфраструктуру.</w:t>
      </w:r>
    </w:p>
    <w:p>
      <w:pPr>
        <w:pStyle w:val="ListNumber"/>
        <w:spacing w:before="0"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Шаг 9. Сопоставить публикации и следы.</w:t>
      </w:r>
    </w:p>
    <w:p>
      <w:pPr>
        <w:spacing w:before="0" w:after="80" w:line="276" w:lineRule="auto"/>
        <w:ind w:left="425"/>
      </w:pPr>
      <w:r>
        <w:rPr>
          <w:rFonts w:ascii="Times New Roman" w:hAnsi="Times New Roman" w:eastAsia="Times New Roman"/>
          <w:b w:val="0"/>
          <w:sz w:val="23"/>
        </w:rPr>
        <w:t>Покажите, как разные публикации складываются в целостную картину. Один артефакт редко опасен сам по себе, но в сочетании с другими может раскрывать структуру ролей, сервисов, поставщиков и контуров взаимодействия.</w:t>
      </w:r>
    </w:p>
    <w:p>
      <w:pPr>
        <w:pStyle w:val="ListNumber"/>
        <w:spacing w:before="0"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Шаг 10. Подготовить таблицы и схему.</w:t>
      </w:r>
    </w:p>
    <w:p>
      <w:pPr>
        <w:spacing w:before="0" w:after="80" w:line="276" w:lineRule="auto"/>
        <w:ind w:left="425"/>
      </w:pPr>
      <w:r>
        <w:rPr>
          <w:rFonts w:ascii="Times New Roman" w:hAnsi="Times New Roman" w:eastAsia="Times New Roman"/>
          <w:b w:val="0"/>
          <w:sz w:val="23"/>
        </w:rPr>
        <w:t>Оформите таблицу технических следов, таблицу публикаций с оценкой риска и схему публично раскрываемого цифрового контура. Схема должна показывать не «внутреннюю сеть», а именно то, что удалось реконструировать по открытым данным.</w:t>
      </w:r>
    </w:p>
    <w:p>
      <w:pPr>
        <w:pStyle w:val="ListNumber"/>
        <w:spacing w:before="0"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Шаг 11. Сформулировать аналитические выводы.</w:t>
      </w:r>
    </w:p>
    <w:p>
      <w:pPr>
        <w:spacing w:before="0" w:after="80" w:line="276" w:lineRule="auto"/>
        <w:ind w:left="425"/>
      </w:pPr>
      <w:r>
        <w:rPr>
          <w:rFonts w:ascii="Times New Roman" w:hAnsi="Times New Roman" w:eastAsia="Times New Roman"/>
          <w:b w:val="0"/>
          <w:sz w:val="23"/>
        </w:rPr>
        <w:t>Разделите выводы на подтверждённые, вероятные и требующие дополнительной проверки. Отдельно напишите, какие сведения организации стоило бы публиковать аккуратнее.</w:t>
      </w:r>
    </w:p>
    <w:p>
      <w:pPr>
        <w:pStyle w:val="ListNumber"/>
        <w:spacing w:before="0"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Шаг 12. Зафиксировать ограничения исследования.</w:t>
      </w:r>
    </w:p>
    <w:p>
      <w:pPr>
        <w:spacing w:before="0" w:after="80" w:line="276" w:lineRule="auto"/>
        <w:ind w:left="425"/>
      </w:pPr>
      <w:r>
        <w:rPr>
          <w:rFonts w:ascii="Times New Roman" w:hAnsi="Times New Roman" w:eastAsia="Times New Roman"/>
          <w:b w:val="0"/>
          <w:sz w:val="23"/>
        </w:rPr>
        <w:t>Укажите, что анализ был пассивным, что некоторые выводы основаны на косвенных признаках и что работа не включает активную проверку систем, сервисов и доступности ресурсов.</w:t>
      </w:r>
    </w:p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8. Шаблоны рабочих таблиц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Ниже приведены формы, которые студент должен воспроизвести в отчёте или заполнить в электронном виде.</w:t>
      </w:r>
    </w:p>
    <w:p>
      <w:pPr>
        <w:spacing w:before="160" w:after="120" w:line="276" w:lineRule="auto"/>
      </w:pPr>
      <w:r>
        <w:rPr>
          <w:rFonts w:ascii="Times New Roman" w:hAnsi="Times New Roman" w:eastAsia="Times New Roman"/>
          <w:b/>
          <w:color w:val="1F4E78"/>
          <w:sz w:val="28"/>
        </w:rPr>
        <w:t>Форма 1. Паспорт объекта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4873"/>
        <w:gridCol w:w="4873"/>
      </w:tblGrid>
      <w:tr>
        <w:tc>
          <w:tcPr>
            <w:tcW w:type="dxa" w:w="4873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Поле</w:t>
            </w:r>
          </w:p>
        </w:tc>
        <w:tc>
          <w:tcPr>
            <w:tcW w:type="dxa" w:w="4873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Содержание</w:t>
            </w:r>
          </w:p>
        </w:tc>
      </w:tr>
      <w:tr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Вариант</w:t>
            </w:r>
          </w:p>
        </w:tc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Название объекта</w:t>
            </w:r>
          </w:p>
        </w:tc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Тип объекта</w:t>
            </w:r>
          </w:p>
        </w:tc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Основной предполагаемый домен</w:t>
            </w:r>
          </w:p>
        </w:tc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Цель исследования</w:t>
            </w:r>
          </w:p>
        </w:tc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Исходные гипотезы (не менее 3)</w:t>
            </w:r>
          </w:p>
        </w:tc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</w:tbl>
    <w:p/>
    <w:p>
      <w:pPr>
        <w:spacing w:before="160" w:after="120" w:line="276" w:lineRule="auto"/>
      </w:pPr>
      <w:r>
        <w:rPr>
          <w:rFonts w:ascii="Times New Roman" w:hAnsi="Times New Roman" w:eastAsia="Times New Roman"/>
          <w:b/>
          <w:color w:val="1F4E78"/>
          <w:sz w:val="28"/>
        </w:rPr>
        <w:t>Форма 2. Реестр источников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Источник</w:t>
            </w:r>
          </w:p>
        </w:tc>
        <w:tc>
          <w:tcPr>
            <w:tcW w:type="dxa" w:w="2436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Категория</w:t>
            </w:r>
          </w:p>
        </w:tc>
        <w:tc>
          <w:tcPr>
            <w:tcW w:type="dxa" w:w="2436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Что можно извлечь</w:t>
            </w:r>
          </w:p>
        </w:tc>
        <w:tc>
          <w:tcPr>
            <w:tcW w:type="dxa" w:w="2436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Примечание</w:t>
            </w:r>
          </w:p>
        </w:tc>
      </w:tr>
      <w:tr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2436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</w:tbl>
    <w:p/>
    <w:p>
      <w:pPr>
        <w:spacing w:before="160" w:after="120" w:line="276" w:lineRule="auto"/>
      </w:pPr>
      <w:r>
        <w:rPr>
          <w:rFonts w:ascii="Times New Roman" w:hAnsi="Times New Roman" w:eastAsia="Times New Roman"/>
          <w:b/>
          <w:color w:val="1F4E78"/>
          <w:sz w:val="28"/>
        </w:rPr>
        <w:t>Форма 3. Таблица технических следов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Артефакт</w:t>
            </w:r>
          </w:p>
        </w:tc>
        <w:tc>
          <w:tcPr>
            <w:tcW w:type="dxa" w:w="1949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Категория</w:t>
            </w:r>
          </w:p>
        </w:tc>
        <w:tc>
          <w:tcPr>
            <w:tcW w:type="dxa" w:w="1949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Источник</w:t>
            </w:r>
          </w:p>
        </w:tc>
        <w:tc>
          <w:tcPr>
            <w:tcW w:type="dxa" w:w="1949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Что раскрывает</w:t>
            </w:r>
          </w:p>
        </w:tc>
        <w:tc>
          <w:tcPr>
            <w:tcW w:type="dxa" w:w="1949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Уверенность</w:t>
            </w:r>
          </w:p>
        </w:tc>
      </w:tr>
      <w:tr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</w:tbl>
    <w:p/>
    <w:p>
      <w:pPr>
        <w:spacing w:before="160" w:after="120" w:line="276" w:lineRule="auto"/>
      </w:pPr>
      <w:r>
        <w:rPr>
          <w:rFonts w:ascii="Times New Roman" w:hAnsi="Times New Roman" w:eastAsia="Times New Roman"/>
          <w:b/>
          <w:color w:val="1F4E78"/>
          <w:sz w:val="28"/>
        </w:rPr>
        <w:t>Форма 4. Таблица потенциально рискованных публикаций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Публикация</w:t>
            </w:r>
          </w:p>
        </w:tc>
        <w:tc>
          <w:tcPr>
            <w:tcW w:type="dxa" w:w="1949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Тип</w:t>
            </w:r>
          </w:p>
        </w:tc>
        <w:tc>
          <w:tcPr>
            <w:tcW w:type="dxa" w:w="1949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Какой след раскрыт</w:t>
            </w:r>
          </w:p>
        </w:tc>
        <w:tc>
          <w:tcPr>
            <w:tcW w:type="dxa" w:w="1949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Почему это рискованно</w:t>
            </w:r>
          </w:p>
        </w:tc>
        <w:tc>
          <w:tcPr>
            <w:tcW w:type="dxa" w:w="1949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Категория риска</w:t>
            </w:r>
          </w:p>
        </w:tc>
      </w:tr>
      <w:tr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194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</w:tbl>
    <w:p/>
    <w:p>
      <w:pPr>
        <w:spacing w:before="160" w:after="120" w:line="276" w:lineRule="auto"/>
      </w:pPr>
      <w:r>
        <w:rPr>
          <w:rFonts w:ascii="Times New Roman" w:hAnsi="Times New Roman" w:eastAsia="Times New Roman"/>
          <w:b/>
          <w:color w:val="1F4E78"/>
          <w:sz w:val="28"/>
        </w:rPr>
        <w:t>Форма 5. Аналитическая сводка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4873"/>
        <w:gridCol w:w="4873"/>
      </w:tblGrid>
      <w:tr>
        <w:tc>
          <w:tcPr>
            <w:tcW w:type="dxa" w:w="4873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Блок</w:t>
            </w:r>
          </w:p>
        </w:tc>
        <w:tc>
          <w:tcPr>
            <w:tcW w:type="dxa" w:w="4873"/>
            <w:shd w:fill="EAF0F7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Краткий вывод</w:t>
            </w:r>
          </w:p>
        </w:tc>
      </w:tr>
      <w:tr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Подтверждённые выводы</w:t>
            </w:r>
          </w:p>
        </w:tc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Вероятные выводы</w:t>
            </w:r>
          </w:p>
        </w:tc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Что требует проверки</w:t>
            </w:r>
          </w:p>
        </w:tc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Что желательно публиковать аккуратнее</w:t>
            </w:r>
          </w:p>
        </w:tc>
        <w:tc>
          <w:tcPr>
            <w:tcW w:type="dxa" w:w="4873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</w:tbl>
    <w:p/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9. Как оценивать риск публикации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Оценка риска в данной работе не связана с поиском уязвимостей. Студент оценивает информационную полезность публикации для внешнего наблюдателя и избыточность раскрытия сведений.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Низкий риск — публикация сообщает общие сведения и почти не помогает реконструировать техническую среду.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Средний риск — публикация даёт представление о сервисах, поставщиках, ролях или технологическом стеке, но не содержит связанного и системного описания.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Высокий риск — публикация раскрывает набор взаимосвязанных деталей: названия сервисов, роли, контуры, адресные шаблоны, внутренние обозначения, схемы маршрутов, скриншоты с деталями среды, служебные инструкции, сочетание временных и организационных признаков.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</w:tblPr>
      <w:tblGrid>
        <w:gridCol w:w="9746"/>
      </w:tblGrid>
      <w:tr>
        <w:tc>
          <w:tcPr>
            <w:tcW w:type="dxa" w:w="9746"/>
            <w:shd w:fill="DCE6F1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23"/>
              </w:rPr>
              <w:t>Важно</w:t>
            </w:r>
          </w:p>
        </w:tc>
      </w:tr>
      <w:tr>
        <w:tc>
          <w:tcPr>
            <w:tcW w:type="dxa" w:w="9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• В отчёте нельзя переписывать чувствительный материал подробно, если для обоснования достаточно описать его тип и значение.</w:t>
            </w:r>
          </w:p>
        </w:tc>
      </w:tr>
      <w:tr>
        <w:tc>
          <w:tcPr>
            <w:tcW w:type="dxa" w:w="974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3"/>
              </w:rPr>
              <w:t>• Рекомендуется использовать нейтральные формулировки: «раскрывает структуру сервиса», «содержит избыточные сведения о роли/платформе/маршруте», «повышает информированность внешнего наблюдателя».</w:t>
            </w:r>
          </w:p>
        </w:tc>
      </w:tr>
    </w:tbl>
    <w:p/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10. Требования к отчёту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титульная часть и тема работы;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паспорт объекта исследования;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описание источников и маршрута поиска;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таблица технических следов;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таблица потенциально рискованных публикаций;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схема публично раскрываемого цифрового контура;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аналитические выводы;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ограничения исследования.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Рекомендуемый объём отчёта — от 8 до 15 страниц без учёта приложений. Скриншоты и цитаты должны использоваться умеренно и только в объёме, необходимом для доказательства вывода.</w:t>
      </w:r>
    </w:p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11. Критерии оценивания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E3"/>
          <w:left w:val="single" w:sz="6" w:space="0" w:color="C9D2E3"/>
          <w:bottom w:val="single" w:sz="6" w:space="0" w:color="C9D2E3"/>
          <w:right w:val="single" w:sz="6" w:space="0" w:color="C9D2E3"/>
          <w:insideH w:val="single" w:sz="6" w:space="0" w:color="C9D2E3"/>
          <w:insideV w:val="single" w:sz="6" w:space="0" w:color="C9D2E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DCE6F1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Критерий</w:t>
            </w:r>
          </w:p>
        </w:tc>
        <w:tc>
          <w:tcPr>
            <w:tcW w:type="dxa" w:w="3249"/>
            <w:shd w:fill="DCE6F1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Содержание</w:t>
            </w:r>
          </w:p>
        </w:tc>
        <w:tc>
          <w:tcPr>
            <w:tcW w:type="dxa" w:w="3249"/>
            <w:shd w:fill="DCE6F1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Баллы</w:t>
            </w:r>
          </w:p>
        </w:tc>
      </w:tr>
      <w:tr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Постановка задачи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Корректно определён объект, цель и гипотезы.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</w:p>
        </w:tc>
      </w:tr>
      <w:tr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Сбор источников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Использованы разные типы открытых источников, маршрут поиска логичен.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15</w:t>
            </w:r>
          </w:p>
        </w:tc>
      </w:tr>
      <w:tr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Технические следы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Следы выявлены и классифицированы доказательно.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</w:p>
        </w:tc>
      </w:tr>
      <w:tr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Рискованные публикации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Публикации отобраны обоснованно, риск оценён корректно.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</w:p>
        </w:tc>
      </w:tr>
      <w:tr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Схема и сводка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Есть наглядная схема и связный аналитический вывод.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15</w:t>
            </w:r>
          </w:p>
        </w:tc>
      </w:tr>
      <w:tr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Качество отчёта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Отчёт структурирован, выводы аккуратны, ограничения указаны.</w:t>
            </w:r>
          </w:p>
        </w:tc>
        <w:tc>
          <w:tcPr>
            <w:tcW w:type="dxa" w:w="32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</w:p>
        </w:tc>
      </w:tr>
    </w:tbl>
    <w:p/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12. Типовые ошибки студентов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смешение пассивной аналитики с попытками активной проверки;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фиксация единичных артефактов без понимания их места в общей картине;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пересказ публикации без оценки того, почему именно она рискованна;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слишком сильные выводы вроде «объект уязвим» или «внутренняя сеть устроена именно так»;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отсутствие разделения между подтверждёнными фактами и вероятными интерпретациями;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включение в отчёт лишних чувствительных деталей вместо их аккуратного описания;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игнорирование исторических публикаций, которые нередко раскрывают больше текущих материалов.</w:t>
      </w:r>
    </w:p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13. Вопросы для защиты работы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Почему выбранные вами публикации относятся к рискованным?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Какие технические следы вы считаете наиболее надёжно подтверждёнными?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Какие выводы нельзя делать по вашим данным и почему?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Как разные публикации дополняют друг друга?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Какие публикации объекту стоило бы излагать аккуратнее?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Какие ограничения были у вашего исследования?</w:t>
      </w:r>
    </w:p>
    <w:p>
      <w:pPr>
        <w:pStyle w:val="ListNumber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Почему ваша работа остаётся в рамках пассивного анализа?</w:t>
      </w:r>
    </w:p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14. Варианты заданий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Во всех вариантах преподаватель утверждает конкретный объект заранее. Рекомендуется выбирать общественно допустимые и не критически чувствительные объекты: образовательные платформы, медиа-ресурсы, культурные учреждения, сервисные сайты, публичные коммерческие платформы, ИТ-компании общего профиля, профессиональные сообщества.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 w:val="0"/>
          <w:color w:val="1F4E78"/>
          <w:sz w:val="24"/>
        </w:rPr>
        <w:t>Вариант 1. Образовательная организация или онлайн-платформа</w:t>
      </w:r>
    </w:p>
    <w:p>
      <w:pPr>
        <w:spacing w:before="0" w:after="80" w:line="276" w:lineRule="auto"/>
        <w:ind w:left="283"/>
      </w:pPr>
      <w:r>
        <w:rPr>
          <w:rFonts w:ascii="Times New Roman" w:hAnsi="Times New Roman" w:eastAsia="Times New Roman"/>
          <w:b w:val="0"/>
          <w:sz w:val="23"/>
        </w:rPr>
        <w:t>Выявить, какие публикации раскрывают структуру учебного портала, кабинета, справочного раздела, системы поддержки, облачных сервисов, ролей преподавателя и студента. Особое внимание уделить вакансиям, инструкциям, методическим файлам и страницам дистанционного обучения.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 w:val="0"/>
          <w:color w:val="1F4E78"/>
          <w:sz w:val="24"/>
        </w:rPr>
        <w:t>Вариант 2. Интернет-магазин или маркетплейс</w:t>
      </w:r>
    </w:p>
    <w:p>
      <w:pPr>
        <w:spacing w:before="0" w:after="80" w:line="276" w:lineRule="auto"/>
        <w:ind w:left="283"/>
      </w:pPr>
      <w:r>
        <w:rPr>
          <w:rFonts w:ascii="Times New Roman" w:hAnsi="Times New Roman" w:eastAsia="Times New Roman"/>
          <w:b w:val="0"/>
          <w:sz w:val="23"/>
        </w:rPr>
        <w:t>Проанализировать, как публичные страницы заказа, оплаты, поддержки, возврата, доставки, вакансии и презентации продукта раскрывают цифровую среду сервиса. Выделить признаки внешних платформ, help-контуров и сервисов коммуникации.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 w:val="0"/>
          <w:color w:val="1F4E78"/>
          <w:sz w:val="24"/>
        </w:rPr>
        <w:t>Вариант 3. Медиа-ресурс или онлайн-журнал</w:t>
      </w:r>
    </w:p>
    <w:p>
      <w:pPr>
        <w:spacing w:before="0" w:after="80" w:line="276" w:lineRule="auto"/>
        <w:ind w:left="283"/>
      </w:pPr>
      <w:r>
        <w:rPr>
          <w:rFonts w:ascii="Times New Roman" w:hAnsi="Times New Roman" w:eastAsia="Times New Roman"/>
          <w:b w:val="0"/>
          <w:sz w:val="23"/>
        </w:rPr>
        <w:t>Найти технические следы, связанные с CMS, мультимедиа, CDN, рекламными и подписочными контурами. Оценить, какие публикации избыточно показывают рабочие инструменты редакции, платформы рассылок и сервисы управления контентом.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 w:val="0"/>
          <w:color w:val="1F4E78"/>
          <w:sz w:val="24"/>
        </w:rPr>
        <w:t>Вариант 4. SaaS-сервис</w:t>
      </w:r>
    </w:p>
    <w:p>
      <w:pPr>
        <w:spacing w:before="0" w:after="80" w:line="276" w:lineRule="auto"/>
        <w:ind w:left="283"/>
      </w:pPr>
      <w:r>
        <w:rPr>
          <w:rFonts w:ascii="Times New Roman" w:hAnsi="Times New Roman" w:eastAsia="Times New Roman"/>
          <w:b w:val="0"/>
          <w:sz w:val="23"/>
        </w:rPr>
        <w:t>Исследовать маркетинговый сайт, страницу входа, документацию, раздел для разработчиков, блог и вакансии. Выявить публикации, которые раскрывают архитектурные решения, облачные сервисы, интеграционные контуры и типовые административные инструменты.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 w:val="0"/>
          <w:color w:val="1F4E78"/>
          <w:sz w:val="24"/>
        </w:rPr>
        <w:t>Вариант 5. Некоммерческая организация или фонд</w:t>
      </w:r>
    </w:p>
    <w:p>
      <w:pPr>
        <w:spacing w:before="0" w:after="80" w:line="276" w:lineRule="auto"/>
        <w:ind w:left="283"/>
      </w:pPr>
      <w:r>
        <w:rPr>
          <w:rFonts w:ascii="Times New Roman" w:hAnsi="Times New Roman" w:eastAsia="Times New Roman"/>
          <w:b w:val="0"/>
          <w:sz w:val="23"/>
        </w:rPr>
        <w:t>Оценить, раскрывают ли открытые документы, страницы мероприятий, формы пожертвований, сервисы регистрации и волонтёрские материалы сведения о цифровых процессах, поставщиках, аккаунтных ролях и схемах поддержки.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 w:val="0"/>
          <w:color w:val="1F4E78"/>
          <w:sz w:val="24"/>
        </w:rPr>
        <w:t>Вариант 6. Туристический сервис или платформа бронирования</w:t>
      </w:r>
    </w:p>
    <w:p>
      <w:pPr>
        <w:spacing w:before="0" w:after="80" w:line="276" w:lineRule="auto"/>
        <w:ind w:left="283"/>
      </w:pPr>
      <w:r>
        <w:rPr>
          <w:rFonts w:ascii="Times New Roman" w:hAnsi="Times New Roman" w:eastAsia="Times New Roman"/>
          <w:b w:val="0"/>
          <w:sz w:val="23"/>
        </w:rPr>
        <w:t>Проанализировать публичные материалы с точки зрения раскрытия сервисов личного кабинета, программ лояльности, поддержки, платёжных и рассылочных контуров. Особое внимание уделить FAQ, справке, письмам-подтверждениям и архивным страницам.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 w:val="0"/>
          <w:color w:val="1F4E78"/>
          <w:sz w:val="24"/>
        </w:rPr>
        <w:t>Вариант 7. Сервис доставки или consumer-платформа</w:t>
      </w:r>
    </w:p>
    <w:p>
      <w:pPr>
        <w:spacing w:before="0" w:after="80" w:line="276" w:lineRule="auto"/>
        <w:ind w:left="283"/>
      </w:pPr>
      <w:r>
        <w:rPr>
          <w:rFonts w:ascii="Times New Roman" w:hAnsi="Times New Roman" w:eastAsia="Times New Roman"/>
          <w:b w:val="0"/>
          <w:sz w:val="23"/>
        </w:rPr>
        <w:t>Определить, какие вакансии, страницы поддержки, справка для курьеров, инструкции для клиентов и публикации о продукте показывают внутренние контуры ролей, мобильные сервисы, логистические инструменты и коммуникационные платформы.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 w:val="0"/>
          <w:color w:val="1F4E78"/>
          <w:sz w:val="24"/>
        </w:rPr>
        <w:t>Вариант 8. Культурная организация</w:t>
      </w:r>
    </w:p>
    <w:p>
      <w:pPr>
        <w:spacing w:before="0" w:after="80" w:line="276" w:lineRule="auto"/>
        <w:ind w:left="283"/>
      </w:pPr>
      <w:r>
        <w:rPr>
          <w:rFonts w:ascii="Times New Roman" w:hAnsi="Times New Roman" w:eastAsia="Times New Roman"/>
          <w:b w:val="0"/>
          <w:sz w:val="23"/>
        </w:rPr>
        <w:t>Выявить публикации, раскрывающие структуру билетного контура, событийных сервисов, систем регистрации, медийных платформ и образовательных подсистем. Сопоставить официальный сайт, страницы мероприятий, архивные афиши и служебно-похожую документацию.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 w:val="0"/>
          <w:color w:val="1F4E78"/>
          <w:sz w:val="24"/>
        </w:rPr>
        <w:t>Вариант 9. Профессиональное сообщество или конференционная площадка</w:t>
      </w:r>
    </w:p>
    <w:p>
      <w:pPr>
        <w:spacing w:before="0" w:after="80" w:line="276" w:lineRule="auto"/>
        <w:ind w:left="283"/>
      </w:pPr>
      <w:r>
        <w:rPr>
          <w:rFonts w:ascii="Times New Roman" w:hAnsi="Times New Roman" w:eastAsia="Times New Roman"/>
          <w:b w:val="0"/>
          <w:sz w:val="23"/>
        </w:rPr>
        <w:t>Оценить, какие лендинги, страницы регистрации, архивы конференций, слайды, записи докладов и страницы партнёров раскрывают технические платформы, event-сервисы, почтовые контуры и инструменты обратной связи.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 w:val="0"/>
          <w:color w:val="1F4E78"/>
          <w:sz w:val="24"/>
        </w:rPr>
        <w:t>Вариант 10. Платформа онлайн-обучения</w:t>
      </w:r>
    </w:p>
    <w:p>
      <w:pPr>
        <w:spacing w:before="0" w:after="80" w:line="276" w:lineRule="auto"/>
        <w:ind w:left="283"/>
      </w:pPr>
      <w:r>
        <w:rPr>
          <w:rFonts w:ascii="Times New Roman" w:hAnsi="Times New Roman" w:eastAsia="Times New Roman"/>
          <w:b w:val="0"/>
          <w:sz w:val="23"/>
        </w:rPr>
        <w:t>Изучить маркетинговый сайт, вебинарные страницы, help-центр, личный кабинет, блог и вакансии. Выделить публикации, которые показывают LMS, CRM, сервисы рассылки, кабинеты, внутренние роли и технологический стек обслуживания.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 w:val="0"/>
          <w:color w:val="1F4E78"/>
          <w:sz w:val="24"/>
        </w:rPr>
        <w:t>Вариант 11. Технологический блог или разработческая платформа</w:t>
      </w:r>
    </w:p>
    <w:p>
      <w:pPr>
        <w:spacing w:before="0" w:after="80" w:line="276" w:lineRule="auto"/>
        <w:ind w:left="283"/>
      </w:pPr>
      <w:r>
        <w:rPr>
          <w:rFonts w:ascii="Times New Roman" w:hAnsi="Times New Roman" w:eastAsia="Times New Roman"/>
          <w:b w:val="0"/>
          <w:sz w:val="23"/>
        </w:rPr>
        <w:t>Найти технические следы в открытой документации, примерах кода, changelog, knowledge base, community-разделах и блогах. Оценить, где публикации переходят от полезной документации к избыточному раскрытию инфраструктурных деталей.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 w:val="0"/>
          <w:color w:val="1F4E78"/>
          <w:sz w:val="24"/>
        </w:rPr>
        <w:t>Вариант 12. Кадровая платформа или сервис поиска работы</w:t>
      </w:r>
    </w:p>
    <w:p>
      <w:pPr>
        <w:spacing w:before="0" w:after="80" w:line="276" w:lineRule="auto"/>
        <w:ind w:left="283"/>
      </w:pPr>
      <w:r>
        <w:rPr>
          <w:rFonts w:ascii="Times New Roman" w:hAnsi="Times New Roman" w:eastAsia="Times New Roman"/>
          <w:b w:val="0"/>
          <w:sz w:val="23"/>
        </w:rPr>
        <w:t>Проанализировать карьерный сайт, кабинет работодателя, кабинет соискателя, help-материалы и вакансии самой платформы. Выделить публикации, из которых можно реконструировать контуры ролей, сервисов и рабочих маршрутов.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 w:val="0"/>
          <w:color w:val="1F4E78"/>
          <w:sz w:val="24"/>
        </w:rPr>
        <w:t>Вариант 13. Онлайн-журнал или образовательное медиа</w:t>
      </w:r>
    </w:p>
    <w:p>
      <w:pPr>
        <w:spacing w:before="0" w:after="80" w:line="276" w:lineRule="auto"/>
        <w:ind w:left="283"/>
      </w:pPr>
      <w:r>
        <w:rPr>
          <w:rFonts w:ascii="Times New Roman" w:hAnsi="Times New Roman" w:eastAsia="Times New Roman"/>
          <w:b w:val="0"/>
          <w:sz w:val="23"/>
        </w:rPr>
        <w:t>Выявить технические следы, связанные с подпиской, авторскими кабинетами, редакционными сервисами, событиями и рассылками. Оценить риск публикаций с презентациями, справочными материалами и открытыми инструкциями.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 w:val="0"/>
          <w:color w:val="1F4E78"/>
          <w:sz w:val="24"/>
        </w:rPr>
        <w:t>Вариант 14. Сервис цифровых мероприятий</w:t>
      </w:r>
    </w:p>
    <w:p>
      <w:pPr>
        <w:spacing w:before="0" w:after="80" w:line="276" w:lineRule="auto"/>
        <w:ind w:left="283"/>
      </w:pPr>
      <w:r>
        <w:rPr>
          <w:rFonts w:ascii="Times New Roman" w:hAnsi="Times New Roman" w:eastAsia="Times New Roman"/>
          <w:b w:val="0"/>
          <w:sz w:val="23"/>
        </w:rPr>
        <w:t>Оценить, как страницы регистрации, трансляции, FAQ, инструкции для участников и спикеров, а также публикации о платформе раскрывают event-контур, медийные сервисы, поддержку, записи и систему ролей.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 w:val="0"/>
          <w:color w:val="1F4E78"/>
          <w:sz w:val="24"/>
        </w:rPr>
        <w:t>Вариант 15. Многобрендовая цифровая компания</w:t>
      </w:r>
    </w:p>
    <w:p>
      <w:pPr>
        <w:spacing w:before="0" w:after="80" w:line="276" w:lineRule="auto"/>
        <w:ind w:left="283"/>
      </w:pPr>
      <w:r>
        <w:rPr>
          <w:rFonts w:ascii="Times New Roman" w:hAnsi="Times New Roman" w:eastAsia="Times New Roman"/>
          <w:b w:val="0"/>
          <w:sz w:val="23"/>
        </w:rPr>
        <w:t>Исследовать корпоративный сайт и несколько продуктовых сайтов. Определить, какие публикации показывают общие платформы, единые или раздельные контуры поддержки, почтовые шаблоны, кадровые процессы и структуру брендов.</w:t>
      </w:r>
    </w:p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15. Универсальная постановка задачи для любого варианта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На основе только открытых данных и только пассивными методами выявить технические следы и потенциально рискованные публикации о цифровой инфраструктуре выбранного объекта. Подготовить таблицу источников, таблицу технических следов, таблицу потенциально рискованных публикаций, схему публично раскрываемого цифрового контура и аналитическое заключение.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Минимальные требования к результату: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не менее 8 зафиксированных технических следов;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не менее 5 публикаций или материалов, оценённых как потенциально рискованные;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использование не менее 4 разных типов источников;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наличие краткого исторического блока;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наличие схемы и структурированного вывода.</w:t>
      </w:r>
    </w:p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16. Рекомендуемые формулировки выводов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«В открытых материалах объекта последовательно раскрываются сведения о следующих цифровых контурах…»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«Публикации данного типа повышают информированность внешнего наблюдателя о ролях, сервисах и взаимодействиях…»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«По совокупности открытых признаков можно предположить использование следующих платформ или поставщиков…»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«Наиболее информативными с точки зрения внешнего наблюдателя являются публикации, содержащие…»</w:t>
      </w:r>
    </w:p>
    <w:p>
      <w:pPr>
        <w:pStyle w:val="ListBullet"/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«Организации целесообразно публиковать такие сведения более аккуратно, сокращая детализацию о…»</w:t>
      </w:r>
    </w:p>
    <w:p>
      <w:pPr>
        <w:spacing w:before="240" w:after="120" w:line="276" w:lineRule="auto"/>
      </w:pPr>
      <w:r>
        <w:rPr>
          <w:rFonts w:ascii="Times New Roman" w:hAnsi="Times New Roman" w:eastAsia="Times New Roman"/>
          <w:b/>
          <w:color w:val="1F4E78"/>
          <w:sz w:val="32"/>
        </w:rPr>
        <w:t>17. Заключение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Данная практическая работа направлена на развитие у студента культуры защитной OSINT-аналитики. Важно не только уметь находить технические следы, но и понимать, какие публикации делают цифровую инфраструктуру слишком прозрачной для внешнего наблюдателя. Профессионал в области информационной безопасности должен уметь обнаруживать такие избыточные раскрытия, объяснять их риск и формулировать аккуратные рекомендации по снижению информационной экспозиции.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