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МИНОБРНАУКИ РОССИИ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высшего образования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«МИРЭА — Российский технологический университет»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РТУ МИРЭА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Институт кибербезопасности и цифровых технологий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Кафедра КБ-4 «Интеллектуальные системы информационной безопасности»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32"/>
        </w:rPr>
        <w:t xml:space="preserve">Практическое задание №2</w:t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 дисциплине: «Методы сбора и обработки данных из открытых источников»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тема: «Технические следы и потенциально рискованные публикации о цифровой инфраструктуре»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студент группы ББМО-01-25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Мухаметшин Александр Ринатович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Проверил: ____________________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Москва,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0" w:name="X62212a2b0cd64bc2448ba10d54092834c78d546"/>
      <w:r>
        <w:rPr>
          <w:rFonts w:ascii="Times New Roman" w:hAnsi="Times New Roman" w:eastAsia="Times New Roman" w:cs="Times New Roman"/>
        </w:rPr>
        <w:t xml:space="preserve">Практическая работа: Технические следы и потенциально рискованные публикации о цифровой инфраструктуре</w:t>
      </w:r>
      <w:bookmarkEnd w:id="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Дисциплина: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Методы сбора и обработки данных из открытых источников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Направление: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10.04.01 «Информационная безопасность» (магистратура)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Дата выполнения: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май 2026 г.</w:t>
      </w:r>
      <w:r>
        <w:rPr>
          <w:rFonts w:ascii="Times New Roman" w:hAnsi="Times New Roman" w:eastAsia="Times New Roman" w:cs="Times New Roman"/>
        </w:rPr>
      </w:r>
    </w:p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" w:name="X633b49b9947ba149e69ffcb6a67ed8c3ce4c5df"/>
      <w:r>
        <w:rPr>
          <w:rFonts w:ascii="Times New Roman" w:hAnsi="Times New Roman" w:eastAsia="Times New Roman" w:cs="Times New Roman"/>
        </w:rPr>
        <w:t xml:space="preserve">1. Паспорт объекта</w:t>
      </w:r>
      <w:bookmarkEnd w:id="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Вариант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Вариант 4. SaaS-сервис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Название объекта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(Yandex)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объекта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SaaS-платформа / IT-компания общего профиля: облачные вычисления, поисковые сервисы, электронная почта, маркетплейс, музыка, переводчик, навигация и другие сервисы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 (основной публичный домен с сентября 2022 г.), yandex.net (инфраструктурный домен)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Цель исследования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Выявить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через только открытые источники и только пассивными методами технические следы цифровой инфраструктуры Яндекса и оценить потенциальный риск публикаций, раскрывающих избыточные сведения об архитектурных решениях, технологиях, ролях и контурах взаимодействия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Исходные гипотезы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и карьерные страницы Яндекса содержат избыточные сведения о внутреннем технологическом стеке, инфраструктурных инструментах и ролях команд.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Технические публикации (блог tech.yandex.ru, конференции HighLoad++, YaTalks) раскрывают архитектурные решения, схемы миграции и названия внутренних сервисов.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Публичная документация OAuth и Yandex Cloud содержит технические следы интеграционных контуров и паттернов авторизации.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4: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данные (архивные версии, open-source релизы YDB и YTsaurus) содержат сведения о эволюции инфраструктуры, которые не актуальны для текущей публичной коммуникации.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" w:name="X52f9015b3868e536c9f2a4b0d4ff40c253d6fc4"/>
      <w:r>
        <w:rPr>
          <w:rFonts w:ascii="Times New Roman" w:hAnsi="Times New Roman" w:eastAsia="Times New Roman" w:cs="Times New Roman"/>
        </w:rPr>
        <w:t xml:space="preserve">2. Реестр открытых источников</w:t>
      </w:r>
      <w:bookmarkEnd w:id="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Что можно извлечь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на career.yandex.ru и hh.ru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Карьерный раздел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Перечни технологий, облачных платформ, инструментов разработки, CI/CD, ролей команд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Наиболее информативный источник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для выявления реального технологического стека. Вакансии DevOps/SRE содержат детальное описание стека: Kubernetes, Terraform, Salt, Ansible, ClickHouse, YDB, Kafka, Prometheus, Grafana, GitLab CI, ArgoCD.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Технический блог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habr.com/company/yandex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Техническая публикация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Описания архитектуры, миграции монолита на микросервисы, внутренние сервисы (Apphost, CloudAPI), кейсы внедрения YDB CDC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Статьи команды Яндекса содержат конкретные технические детали: «180+ микросервисов в Яндекс Еде», «700 миллионов метрик на запись в секунду», эволюция API Gateway до сотен тысяч RPS.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Доклады с конференций HighLoad++, YaTalks, SmartData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Публичные презентации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Архитектурные схемы, данные о масштабах (9 ПБ хранилище YDB, 10 000+ серверов), технологии (YDB CDC, YTsaurus, MapReduce)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Конференционные доклады — высокодетализированные источники с реальными цифрами и схемами.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 OAuth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oauth.yandex.com/dev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 для разработчиков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Структура OAuth-интеграции, параметры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client_id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redirect_uri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 схемы авторизации, паттерны callback-URL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 публичную схему авторизации для внешних приложений. Параметр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client_id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уникальный идентификатор приложения.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 Yandex Cloud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 облачного сервиса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API-контур (CloudAPI), gRPC/REST интерфейсы, Protobuf-спецификации, SDK (Go/Python/Java/Node.js), Terraform Provider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 интеграционный контур для внешних клиентов облака.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SSL-сертификаты (Certificate Transparency, crt.sh)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Сертификатные данные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Поддомены, домены, периоды валидации, CA (Yandex CA, GlobalSign), связывающие сервисы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Подтверждает существование сервисов и их период активации.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DNS-записи и WHOIS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Регистрационные данные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NS-серверы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ns2.yandex.ru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), MX-записи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), SPF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v=spf1 redirect=_spf.yandex.net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), DKIM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mail._domainkey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), DNSSEC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Доказательство собственной DNS- и почтовой инфраструктуры.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ASN-реестры (bgp.he.net, ipinfo.io)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Инфраструктурные данные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AS200350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(Yandex Cloud), количество доменов (57k+), peering-информация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Масштаб облачной инфраструктуры.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Статический CDN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Сторонние библиотеки (JS/CSS/изображения), CSP-заголовки с полным списком разрешённых 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 список всех внутренних доменов через CSP-заголовки.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проекты на GitHub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ydb-platform/ydb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ytsaurus/ytsaurus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Открытый код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Архитектура внутренних БД и дата-платформ, конфигурационные файлы, примеры deployment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 внутреннюю архитектуру баз данных.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Архивные версии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данные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Устаревшие MX-шаблоны, внутренние обозначения, ранее используемые платформы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 для исторического анализа эволюции инфраструктуры.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Протоколы Яндекс.Субботника по инфраструктуре 2024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Внутренние публикации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Монорепозиторий «Аркадия» (27 лет истории, 10 ТБ+ данных), устройство сети Yandex Cloud, OpenSource-продукты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 масштаб внутренней разработки.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" w:name="X71c50dec0ca79637a237f31613ed241fb09bfef"/>
      <w:r>
        <w:rPr>
          <w:rFonts w:ascii="Times New Roman" w:hAnsi="Times New Roman" w:eastAsia="Times New Roman" w:cs="Times New Roman"/>
        </w:rPr>
        <w:t xml:space="preserve">3. Таблица технических следов</w:t>
      </w:r>
      <w:bookmarkEnd w:id="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Артефакт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Что раскрывает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Уверенность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NS-серверы: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ns2.yandex.ru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Полностью собственная DNS-инфраструктура. Яндекс не использует сторонние DNS-хостинги.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DNSSEC: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RRSIG + DNSKEY на зоне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dnsviz.net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Включённая криптографическая подпись DNS. Организация следит за безопасностью DNS.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MX-записи: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SPF: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v=spf1 redirect=_spf.yandex.net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/ docs.yandex.com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Централизованная почтовая инфраструктура. Все поддомены используют единый SPF-редирект.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DKIM: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selector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mail._domainkey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 публичным ключом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инфраструктура DKIM-валидации для подписи исходящей почты.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ASN AS200350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(Yandex Cloud), 57 000+ 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Крупная автономная система для облачного сервиса. Масштаб — тысячи доменов клиентов.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CDN: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connect.cdn.yandex.net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 edge-серверами на 10+ IX в РФ (Sea-IX, SIBIR-IX, MSK-IX, Piter-IX и др.)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Сетевой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connect.cdn.yandex.net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CDN-инфраструктура с прямыми подключениями к интернет-площадкам.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(AS13238), зарегистрирован 28.11.2013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URLert / whois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Сеть статической раздачи контента (JS, CSS, изображения). Связующий домен для CSP.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HTTP-заголовок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Server: nws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Сетевой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 / DevTools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веб-серверная платформа NWS (NetWork Service), не Apache/Nginx.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OAuth-структура: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oauth.yandex.com/authorize?response_type=code&amp;client_id=&lt;ID&gt;&amp;redirect_uri=&lt;URL&gt;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Организационно-ролевой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docs.yandex.com/dev/id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Единая система авторизации для всех продуктов. Callback-URL паттерны для внешних приложений.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CloudAPI: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gRPC/REST интерфейсы, Protobuf-спецификации, SDK (Go/Python/Java/Node.js)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docs.yandex.cloud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Интеграционный контур: все сервисы облака общаются через единый API Gateway CloudAPI.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Технологический стек из вакансий: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Kubernetes, Terraform, Salt, Ansible, ClickHouse, YDB, Kafka, Prometheus, Grafana, ArgoCD, GitLab CI, Docker, Packer, TeamCity, Spinnaker, Python, Go, C++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Организационно-ролевой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career.yandex.ru, hh.ru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Полный технологический стек: оркестрация, IaC, БД, стриминг, мониторинг, CI/CD, языки.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Монорепозиторий «Аркадия»: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27 лет истории, 10 ТБ+ данных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Централизованная система хранения кода. Размер монорепозитория — показатель масштаба разработки.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YDB CDC (Change Data Capture):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архитектура доставки изменений в &lt;800 мс между тысячами компонентов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habr.com/company/yandex/articles/801603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Внутренняя система репликации данных. Масштаб: 700 млн метрик/сек, 9 ПБ данных, 8 млн алертов/сек.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Yandex Apphost: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сервис-фасад для микросервисов Поиска с графом зависимостей, рейтингом перезапросов (10% от потока)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Организационно-ролевой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habr.com/company/yandex/blog/520134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Внутренний сервис маршрутизации. Раскрывает подход к декомпозиции монолита.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CSP-заголовок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content-security-policy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 полным списком разрешённых доменов (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*.s3.yandex.net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ads.adfox.ru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an.yandex.ru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 др.)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Визуальный / сетевой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 / DevTools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Полный перечень доменов, которым Yandex доверяет. Связующий артефакт всех публичных сервисов.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" w:name="X36c6c598fc9e947755275abb8ae6318bf98b54e"/>
      <w:r>
        <w:rPr>
          <w:rFonts w:ascii="Times New Roman" w:hAnsi="Times New Roman" w:eastAsia="Times New Roman" w:cs="Times New Roman"/>
        </w:rPr>
        <w:t xml:space="preserve">4. Таблица потенциально рискованных публикаций</w:t>
      </w:r>
      <w:bookmarkEnd w:id="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Какой след раскрыт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Почему это рискованно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риска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Вакансия SRE Yandex Cloud (DevOps/Infrastructure):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«Работали с Salt, Ansible, Terraform, Packer. Разрабатывали операторы для K8s. Разворачивали K8s-кластеры с нуля. CI/CD, мониторинг»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Перечень конфигурационных инструментов, оркестраторов, IaC-платформ, подходов к CI/CD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 полный стек управления конфигурациями. Внешний наблюдатель узнаёт, что Яндекс использует Salt (а не Puppet/Chef), Terraform для IaC, собственные K8s-операторы. Это помогает понять архитектуру управления инфраструктурой.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Вакансия SRE YDB: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«Опыт с Ansible/Salt, Terraform, Docker, k8s, Helm. CI/CD pipeline. YDB — распределённая СУБД. Потоковые и непотоковые очереди, стриминговый движок, аналитическое хранилище»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Технологии деплоя, архитектура БД (распределённая, ACID, потоковые очереди), инструменты оркестрации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 внутреннюю архитектуру YDB: потоковые очереди, стриминговый движок, аналитическое хранилище. Комбинация Ansible/Salt + Terraform + K8s = полная картина IaC-процессов.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Вакансия Full-Stack Engineer + AI: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«Go, Python (FastAPI/asyncio), ClickHouse, PostgreSQL, Redis, MongoDB, Kafka, Docker, Kubernetes, Git-based CI/CD. MCP servers, (M)LLMs, vector stores»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стек бэкенда, БД, стриминг, контейнеризация, AI-инфраструктура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связанный набор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технологий: стриминг (Kafka) + аналитика (ClickHouse) + кэширование (Redis) + NoSQL (MongoDB) + AI (MCP, LLMs). Внешний наблюдатель реконструирует архитектуру платформы в деталях.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Статья «Мы пилили монолит» (Хабр, 12.03.2024):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«В Яндекс Еде 180+ микросервисов. API-proxy, Auth-proxy, сервис экспериментов. Стратегии переключения трафика. Монолит на Symfony»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Техническая публикация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Количество микросервисов, названия внутренних сервисов (API-proxy, Auth-proxy), фреймворк монолита (Symfony)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конкретное количество сервисов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(180+), внутренний паттерн маршрутизации (API-proxy + Auth-proxy), платформу монолита. Это прямое раскрытие архитектуры.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Статья «Технология Apphost» (Хабр, 22.09.2020):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«Apphost — сервис-фасад, граф зависимостей между сервисами. Рейт перезапросов 10% от потока. Три слоя: балансировщик + Apphost + сервисы»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Техническая публикация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Внутренний сервис маршрутизации, паттерн декомпозиции, процентные нагрузки, архитектурный паттерн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внутреннее обозначение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сервиса (Apphost), архитектурный паттерн (трёхуровневая система), именованные параметры (10% рейт). Полезно для понимания топологии.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Доклад «Обновление кешей сервисов через YDB CDC» (Saint HighLoad++ 2023):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«Yandex Monitoring. 700 млн метрик на запись в секунду. 9 ПБ данных. 8 млн алертов/сек. 200 тысяч алертов в секунду. Доставка изменений в тысячи компонентов &lt;800 мс»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Конференционный доклад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Масштабы инфраструктуры, архитектура CDC, производительность, мониторинг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Наиболее информативный источник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: конкретные цифры масштаба (9 ПБ, 700M метрик/сек, 800 мс задержка). Раскрывает архитектуру и производительность системы мониторинга.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Доклад «Архитектура данных вокруг YTsaurus» (SmartData 2023):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«YT — ядро и сердце инфраструктуры данных. Spark, Flink. Табличные движки CHYT (ClickHouse), SPYT (Spark). 2010–2023 эволюция»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Конференционный доклад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Внутренняя архитектура дата-платформы, технологическая эволюция, интеграции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Раскрывает, что YT — ядро данных, и показывает текущий стек: ClickHouse + Spark + Flink. Позволяет понять эволюцию и текущее состояние.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OAuth-документация: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https://oauth.yandex.com/authorize?response_type=code&amp;client_id=&lt;app ID&gt;&amp;redirect_uri=&lt;URL&gt;&amp;code_challenge=&lt;S256&gt;&amp;code_challenge_method=S256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Полный OAuth-запрос, параметры авторизации, паттерн PKCE, структура 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точную структуру OAuth-запроса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 поддержкой PKCE (code_challenge/S256). Позволяет реконструировать схему авторизации.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CloudAPI-документация: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«Единый API Gateway. gRPC/REST-интерфейсы, Protobuf-спецификации. Go SDK, Python SDK, Java SDK, Node.js SDK. Terraform Provider»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Структура API Gateway, протоколы, SDK, интеграционные паттерны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Раскрывает, что все облачные сервисы общаются через единый CloudAPI. Показывает технологический выбор (gRPC + Protobuf + Terraform Provider).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CSP-заголовок с полным списком доверенных доменов: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connect-src 'self' blob: yandexmetrica.com:* ads.adfox.ru mc.admetrica.ru wss://comments.yandex.net *.video.yandex.ru *.storage.yandex.net *.cdn.yandex.net s.ytimg.com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Визуальный / сетевой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Полный перечень всех доменов, которым доверяет Yandex (ads, аналитика, видео, storage, CDN, YouTube embed)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Пассивный артефакт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 который раскрывает больше, чем публикация. CSP — это «инвентаризация» всех сервисных доменов в одном месте.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OpenSource YDB (2022) на GitHub: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«YDB — open-source Distributed SQL. Deploy via Ansible/K8s. Cluster on x86_64, 8 GB RAM. Build from source via Ya Make»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Архитектура СУБД, требования к infra, build-система (Ya Make)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 внутренние build-инструменты (Ya Make), требования к deployment, архитектуру (disaggregated storage/compute, multi-tenant, serverless).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OpenSource YTsaurus (2023) на GitHub: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«MapReduce, distributed file system, NoSQL key-value. 27 команд разработчиков. Десятки тысяч серверов. Эксабайты данных. Каждый второй сотрудник работает с YT»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OpenSource / СМИ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Внутренняя дата-платформа, масштаб, структура команд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масштаб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: каждый второй сотрудник работает с YT. Десятки тысяч серверов. Это крайне информативно о размерах инфраструктуры.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Я.Субботник по инфраструктуре 2024: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«Аркадия — монорепозиторий, 27 лет истории, 10 ТБ+ данных. YTsaurus, YDB, устройства сети Yandex Cloud»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Внутренняя публикация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Название монорепозитория (Аркадия), объём данных, внутренние продукты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Раскрывает внутреннее обозначение системы (Аркадия) и масштаб. 10 ТБ+ — количественная метрика.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" w:name="X1ffbeb9923f9445d3155cd2e7ae7b0453e9a4ec"/>
      <w:r>
        <w:rPr>
          <w:rFonts w:ascii="Times New Roman" w:hAnsi="Times New Roman" w:eastAsia="Times New Roman" w:cs="Times New Roman"/>
        </w:rPr>
        <w:t xml:space="preserve">5. Схема публично раскрываемого цифрового контура Яндекса</w:t>
      </w:r>
      <w:bookmarkEnd w:id="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4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570212"/>
                <wp:effectExtent l="0" t="0" r="0" b="0"/>
                <wp:docPr id="1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" descr="/sessions/happy-magical-gauss/mnt/outputs/diagrams/prac2_public_contour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00" cy="15702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123.64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4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Пояснение к схеме:</w:t>
      </w:r>
      <w:r>
        <w:rPr>
          <w:rFonts w:ascii="Times New Roman" w:hAnsi="Times New Roman" w:eastAsia="Times New Roman" w:cs="Times New Roman"/>
        </w:rPr>
      </w:r>
    </w:p>
    <w:p>
      <w:pPr>
        <w:pStyle w:val="74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Схема показывает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три уровня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публично наблюдаемого контура: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Источники сбора данных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пассивные источники, через которые внешний наблюдатель может получить информацию (вакансии, блоги, документация, open-source, DNS/TLS/ASN-реестры, архивы).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Публичные доменные сервисы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все сервисы, домены и </w:t>
      </w:r>
      <w:r>
        <w:rPr>
          <w:rFonts w:ascii="Times New Roman" w:hAnsi="Times New Roman" w:eastAsia="Times New Roman" w:cs="Times New Roman"/>
        </w:rPr>
        <w:t xml:space="preserve">поддомены, наблюдаемые через DNS, TLS-сертификаты и HTTP-запросы. Показаны основные продукты: поиск (ya.ru), статический контент (yastatic.net), авторизация (OAuth), облачные сервисы (Cloud API), CDN (70+ edge-серверов), почта (imap/smtp), медиа (dzen.ru).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Внутренняя инфраструктура (реконструированная)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сервисы, которые удалось реконструировать по открытым данным: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1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YDB (распределённая SQL-база) и YTsaurus (платформа big data) — ядро инфраструктуры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1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NWS (собственная веб-серверная платформа)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1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Монорепозиторий Аркадия, CI/CD-цепочка, система оркестрации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1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Yandex Apphost (маршрутизация микросервисов), YDB CDC (репликация данных)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1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Масштаб: 700 млн метрик/сек, 9 ПБ данных, тысячи серверов</w:t>
      </w:r>
      <w:r>
        <w:rPr>
          <w:rFonts w:ascii="Times New Roman" w:hAnsi="Times New Roman" w:eastAsia="Times New Roman" w:cs="Times New Roman"/>
        </w:rPr>
      </w:r>
    </w:p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" w:name="Xbd8f36d0469e45f2c12ef737a6685463daaea69"/>
      <w:r>
        <w:rPr>
          <w:rFonts w:ascii="Times New Roman" w:hAnsi="Times New Roman" w:eastAsia="Times New Roman" w:cs="Times New Roman"/>
        </w:rPr>
        <w:t xml:space="preserve">6. Аналитические выводы</w:t>
      </w:r>
      <w:bookmarkEnd w:id="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7" w:name="подтверждённые-выводы"/>
      <w:r>
        <w:rPr>
          <w:rFonts w:ascii="Times New Roman" w:hAnsi="Times New Roman" w:eastAsia="Times New Roman" w:cs="Times New Roman"/>
        </w:rPr>
        <w:t xml:space="preserve">Подтверждённые выводы</w:t>
      </w:r>
      <w:bookmarkEnd w:id="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Яндекс владеет полноценной собственной DNS-инфраструктурой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 DNSSEC-подписью (</w:t>
      </w:r>
      <w:r>
        <w:rPr>
          <w:rFonts w:ascii="Times New Roman" w:hAnsi="Times New Roman" w:eastAsia="Times New Roman" w:cs="Times New Roman"/>
        </w:rPr>
        <w:t xml:space="preserve">ns1.yandex.ru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ns2.yandex.ru</w:t>
      </w:r>
      <w:r>
        <w:rPr>
          <w:rFonts w:ascii="Times New Roman" w:hAnsi="Times New Roman" w:eastAsia="Times New Roman" w:cs="Times New Roman"/>
        </w:rPr>
        <w:t xml:space="preserve">), не делегирует DNS сторонним провайдерам.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Единая почтовая инфраструктура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 централизованным SPF-редиректом (</w:t>
      </w:r>
      <w:r>
        <w:rPr>
          <w:rFonts w:ascii="Times New Roman" w:hAnsi="Times New Roman" w:eastAsia="Times New Roman" w:cs="Times New Roman"/>
        </w:rPr>
        <w:t xml:space="preserve">_spf.yandex.net</w:t>
      </w:r>
      <w:r>
        <w:rPr>
          <w:rFonts w:ascii="Times New Roman" w:hAnsi="Times New Roman" w:eastAsia="Times New Roman" w:cs="Times New Roman"/>
        </w:rPr>
        <w:t xml:space="preserve">) и DKIM-валидацией (</w:t>
      </w:r>
      <w:r>
        <w:rPr>
          <w:rFonts w:ascii="Times New Roman" w:hAnsi="Times New Roman" w:eastAsia="Times New Roman" w:cs="Times New Roman"/>
        </w:rPr>
        <w:t xml:space="preserve">mail._domainkey</w:t>
      </w:r>
      <w:r>
        <w:rPr>
          <w:rFonts w:ascii="Times New Roman" w:hAnsi="Times New Roman" w:eastAsia="Times New Roman" w:cs="Times New Roman"/>
        </w:rPr>
        <w:t xml:space="preserve">). Все поддомены используют единый MX (</w:t>
      </w:r>
      <w:r>
        <w:rPr>
          <w:rFonts w:ascii="Times New Roman" w:hAnsi="Times New Roman" w:eastAsia="Times New Roman" w:cs="Times New Roman"/>
        </w:rPr>
        <w:t xml:space="preserve">mx.yandex.net</w:t>
      </w:r>
      <w:r>
        <w:rPr>
          <w:rFonts w:ascii="Times New Roman" w:hAnsi="Times New Roman" w:eastAsia="Times New Roman" w:cs="Times New Roman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ASN AS200350 (Yandex Cloud)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крупная автономная система, обслуживающая 57 000+ доменов. Масштаб соответствует публичному облачному провайдеру уровня enterprise.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Собственная CDN-инфраструктура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connect.cdn.yandex.net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 edge-серверами на 10+ интернет-площадках РФ (Sea-IX, SIBIR-IX, MSK-IX, Piter-IX, DVO-IX, NNOV-IX и др.) и 70+ кеширующими серверами.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Единая OAuth-платформа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oauth.yandex.com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для авторизации всех продуктов с поддержкой OAuth 2.0 + PKCE (code_challenge/S256).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Собственная веб-серверная платформа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NWS (</w:t>
      </w:r>
      <w:r>
        <w:rPr>
          <w:rFonts w:ascii="Times New Roman" w:hAnsi="Times New Roman" w:eastAsia="Times New Roman" w:cs="Times New Roman"/>
        </w:rPr>
        <w:t xml:space="preserve">Server: nws</w:t>
      </w:r>
      <w:r>
        <w:rPr>
          <w:rFonts w:ascii="Times New Roman" w:hAnsi="Times New Roman" w:eastAsia="Times New Roman" w:cs="Times New Roman"/>
        </w:rPr>
        <w:t xml:space="preserve">), не Apache/Nginx/IIS.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Технологический стек подтверждён вакансиями: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Kubernetes (тысячи кластеров), Terraform, Salt, Ansible, ClickHouse, YDB, Kafka, Prometheus, Grafana, ArgoCD, GitLab CI, TeamCity, Spinnaker, Python, Go, C++.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OpenSource-продукты подтверждают масштаб: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YDB (2022) и YTsaurus (2023) — два крупных open-source проекта с тысячами contributors. YTsaurus обрабатывает exabytes данных на десятках тысяч серверов; с ним работает каждый второй сотрудник.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Монорепозиторий «Аркадия»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27 лет истории, 10 ТБ+ данных. Это указывает на монорепозиторную культуру разработки.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8" w:name="вероятные-выводы"/>
      <w:r>
        <w:rPr>
          <w:rFonts w:ascii="Times New Roman" w:hAnsi="Times New Roman" w:eastAsia="Times New Roman" w:cs="Times New Roman"/>
        </w:rPr>
        <w:t xml:space="preserve">Вероятные выводы</w:t>
      </w:r>
      <w:bookmarkEnd w:id="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 совокупности данных (вакансии SRE + статьи Habr + доклады HighLoad++) можно предположить, что Яндекс использует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микросервисную архитектуру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 Kubernetes для оркестрации, YDB как primary БД, YTsaurus для big data, Kafka для потоковой обработки.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Event-driven архитектура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 использованием YDB CDC (Change Data Capture) для доставки изменений в тысячи компонентов за &lt;800 мс.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Гибридная CI/CD-цепочка: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GitLab CI (основной), TeamCity/Spinnaker (дополнительно), ArgoCD (GitOps для K8s).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Мониторинг: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 Monitoring + Prometheus/VictoriaMetrics + Grafana + ELK/Loki стек. 700 млн метрик/сек.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Миграция медийного бизнеса: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yandex.ru → dzen.ru (редирект с сентября 2022 г.), dzen.yandex.net как отдельный контур.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0" w:name="Xef345700f40b0d9cce3892b5375b8665dcdadc6"/>
      <w:r>
        <w:rPr>
          <w:rFonts w:ascii="Times New Roman" w:hAnsi="Times New Roman" w:eastAsia="Times New Roman" w:cs="Times New Roman"/>
        </w:rPr>
        <w:t xml:space="preserve">Что организации целесообразно публиковать аккуратнее</w:t>
      </w:r>
      <w:bookmarkEnd w:id="1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Вакансии: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детализация стека (Salt, ArgoCD, конкретные версии фреймворков) может помочь реконструировать инфраструктуру. Достаточно общих формулировок: «системы оркестрации», «распределённые БД».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Конференционные доклады: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конкретные цифры масштаба (9 ПБ, 700 млн метрик/сек, 800 мс) — полезны для понимания масштаба, но избыточны для публичной коммуникации.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Технические статьи: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названия внутренних сервисов (Apphost, CloudAPI, Arkadia) и паттерны декомпозиции.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Open-source: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примеры конфигураций могут содержать внутренние hostnames и сетевые паттерны.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CSP-заголовки: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хотя это не публикация, а HTTP-ответ, они раскрывают полный инвентарь доверенных доменов. Организации стоит минимизировать CSP до необходимого минимума.</w:t>
      </w:r>
      <w:r>
        <w:rPr>
          <w:rFonts w:ascii="Times New Roman" w:hAnsi="Times New Roman" w:eastAsia="Times New Roman" w:cs="Times New Roman"/>
        </w:rPr>
      </w:r>
    </w:p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1" w:name="X78635138ccd5dbfcb7cf4db3613cfe0b243e315"/>
      <w:r>
        <w:rPr>
          <w:rFonts w:ascii="Times New Roman" w:hAnsi="Times New Roman" w:eastAsia="Times New Roman" w:cs="Times New Roman"/>
        </w:rPr>
        <w:t xml:space="preserve">7. Исторический блок</w:t>
      </w:r>
      <w:bookmarkEnd w:id="1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Период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Какой след раскрыт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1997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Основание компании 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факт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Первичный домен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~2000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Запуск Яндекс.Почты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факт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Появление почтовой инфраструктуры (MX, imap/smtp.yandex.ru)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Начало разработки YTsaurus (внутреннее обозначение «YT»)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Доклад SmartData 2023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Внутреннее обозначение дата-платформы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Регистрация домена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(28.11.2013)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URLert/whois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Создание CDN для статического контента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~2014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Проектирование CloudAPI (первоначально для Яндекс.Диска)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Хабр, 28.08.2024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Единый API Gateway для всех облачных 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Коммерческий запуск Yandex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Пресс-релиз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 AS200350 как публичный провайдер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Публичное обсуждение миграции на Yandex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Хабр (кейсы клиентов)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Эволюция облачной инфраструктуры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Статья «Технология Apphost» (habr.com, 22.09.2020)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Внутренний сервис-фасад для микросервисов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вышел в open-source (Apache 2.0, github.com/ydb-platform/ydb)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Открытие архитектуры распределённой БД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Сент. 2022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Редирект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/ web.archive.org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Изменение основного публичного домена на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Март 2023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 вышел в open-source (Apache 2.0)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yandex.com/company/news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Открытие архитектуры big data-платформы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Доклады на Saint HighLoad++, YaTalks, SmartData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highload.ru, yatalks.yandex.ru, smartdataconf.ru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Масштабы инфраструктуры: 9 ПБ, 700M метрик/сек, 1000+ серверов YDB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Статья «Мы пилили монолит» (Хабр, 12.03.2024)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habr.com/company/yandex/articles/799297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«180+ микросервисов в Яндекс Еде»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Февр. 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Яндекс.Субботник по инфраструктуре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Аркадия (10 ТБ+), устройство сети Yandex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Передача Zen и News платформе 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Пресс-релиз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Сокращение медийного контура;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2" w:name="X0b9bd8f1420dad197da70acf0038b3fbdd2d7e1"/>
      <w:r>
        <w:rPr>
          <w:rFonts w:ascii="Times New Roman" w:hAnsi="Times New Roman" w:eastAsia="Times New Roman" w:cs="Times New Roman"/>
        </w:rPr>
        <w:t xml:space="preserve">8. Корреляция публикаций и следов</w:t>
      </w:r>
      <w:bookmarkEnd w:id="1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Различные источники складываются в целостную картину следующим образом: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3" w:name="вакансии--технические-статьи"/>
      <w:r>
        <w:rPr>
          <w:rFonts w:ascii="Times New Roman" w:hAnsi="Times New Roman" w:eastAsia="Times New Roman" w:cs="Times New Roman"/>
        </w:rPr>
        <w:t xml:space="preserve">Вакансии + технические статьи</w:t>
      </w:r>
      <w:bookmarkEnd w:id="1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Вакансии показывают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«что»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(конкретные инструменты и технологии), а технические статьи 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«почему»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«как»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(архитектурные решения и причины выбора). Совместно они дают полную картину технологического стека.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Вакансия SRE: «Ansible/Salt, Terraform, Docker, k8s, Helm, CI/CD»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Статья Habr (Apphost): «Apphost — сервис-фасад, граф зависимостей, три слоя»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Яндекс использует Kubernetes + Terraform для IaC + собственный сервис маршрутизации Apphost.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4" w:name="конференционные-доклады--open-source"/>
      <w:r>
        <w:rPr>
          <w:rFonts w:ascii="Times New Roman" w:hAnsi="Times New Roman" w:eastAsia="Times New Roman" w:cs="Times New Roman"/>
        </w:rPr>
        <w:t xml:space="preserve">Конференционные доклады + open-source</w:t>
      </w:r>
      <w:bookmarkEnd w:id="1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Конференционные доклады раскрывают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масштабы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(9 ПБ, 700 млн метрик/сек), а open-source проекты 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архитектуру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(YDB: ACID, multi-tenant, serverless; YTsaurus: MapReduce, NoSQL, distributed file system).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YDB и YTsaurus — фундаментальные компоненты инфраструктуры, подтверждённые и масштабом, и open-source кодом.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5" w:name="X6b88682a9722f14a3a2be9c5ae887d13d8e2f27"/>
      <w:r>
        <w:rPr>
          <w:rFonts w:ascii="Times New Roman" w:hAnsi="Times New Roman" w:eastAsia="Times New Roman" w:cs="Times New Roman"/>
        </w:rPr>
        <w:t xml:space="preserve">DNS/сертификаты + OAuth/Cloud API документация</w:t>
      </w:r>
      <w:bookmarkEnd w:id="1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DNS подтверждает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существование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доменов, сертификаты 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периоды активации</w:t>
      </w:r>
      <w:r>
        <w:rPr>
          <w:rFonts w:ascii="Times New Roman" w:hAnsi="Times New Roman" w:eastAsia="Times New Roman" w:cs="Times New Roman"/>
        </w:rPr>
        <w:t xml:space="preserve">, а документация OAuth/CloudAPI 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интеграционные контуры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для внешних клиентов.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Все сервисы связаны единой инфраструктурой (own DNS, ASN, CDN) с публичными API-контуром для внешних интеграций.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" w:name="архивы--текущие-данные"/>
      <w:r>
        <w:rPr>
          <w:rFonts w:ascii="Times New Roman" w:hAnsi="Times New Roman" w:eastAsia="Times New Roman" w:cs="Times New Roman"/>
        </w:rPr>
        <w:t xml:space="preserve">Архивы + текущие данные</w:t>
      </w:r>
      <w:bookmarkEnd w:id="1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Эволюция почтового MX-шаблона, регистрация yastatic.net (2013 → текущее состояние), миграция yandex.ru → dzen.ru (2022) — показывают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историческую трансформацию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инфраструктуры.</w:t>
      </w:r>
      <w:r>
        <w:rPr>
          <w:rFonts w:ascii="Times New Roman" w:hAnsi="Times New Roman" w:eastAsia="Times New Roman" w:cs="Times New Roman"/>
        </w:rPr>
      </w:r>
    </w:p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" w:name="X6cd29155a358eab03370b2dd5577c0ca9772a31"/>
      <w:r>
        <w:rPr>
          <w:rFonts w:ascii="Times New Roman" w:hAnsi="Times New Roman" w:eastAsia="Times New Roman" w:cs="Times New Roman"/>
        </w:rPr>
        <w:t xml:space="preserve">9. Ограничения исследования</w:t>
      </w:r>
      <w:bookmarkEnd w:id="1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Пассивные методы.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Все источники использованы без активного сканирования, проб доступа или тестирования уязвимостей.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Вакансионные данные могут содержать гипотетические технологии.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Не все вакансии отражают текущее состояние инфраструктуры.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Публичная документация содержит обобщения.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Реальные конфигурации могут отличаться от описанных.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Архивные данные web.archive.org могут быть неполными.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Не все страницы архивированы.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Некоторые выводы основаны на косвенных признаках.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Например, предположение о multi-cloud не может быть подтверждено без активного доступа.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Работа не включает проверку доступности, производительности или уязвимостей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реальных систем.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Некоторые внутренние сервисы и технологии не упоминаются публично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 потому не могут быть обнаружены пассивным анализом.</w:t>
      </w:r>
      <w:r>
        <w:rPr>
          <w:rFonts w:ascii="Times New Roman" w:hAnsi="Times New Roman" w:eastAsia="Times New Roman" w:cs="Times New Roman"/>
        </w:rPr>
      </w:r>
    </w:p>
    <w:p>
      <w:pPr>
        <w:pStyle w:val="72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" w:name="X248364103a79ad4d8ecc53a96858c2609a415df"/>
      <w:r>
        <w:rPr>
          <w:rFonts w:ascii="Times New Roman" w:hAnsi="Times New Roman" w:eastAsia="Times New Roman" w:cs="Times New Roman"/>
        </w:rPr>
        <w:t xml:space="preserve">10. Ответы на вопросы для защиты</w:t>
      </w:r>
      <w:bookmarkEnd w:id="1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" w:name="Xdfbed79215ee637bd7547c3470dc0a88234c932"/>
      <w:r>
        <w:rPr>
          <w:rFonts w:ascii="Times New Roman" w:hAnsi="Times New Roman" w:eastAsia="Times New Roman" w:cs="Times New Roman"/>
        </w:rPr>
        <w:t xml:space="preserve">1. Почему выбранные вами публикации относятся к рискованным?</w:t>
      </w:r>
      <w:bookmarkEnd w:id="2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Публикации отнесены к рискованным на основе критерия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информативности</w:t>
      </w:r>
      <w:r>
        <w:rPr>
          <w:rFonts w:ascii="Times New Roman" w:hAnsi="Times New Roman" w:eastAsia="Times New Roman" w:cs="Times New Roman"/>
        </w:rPr>
        <w:t xml:space="preserve">: публикация раскрывает больше сведений о цифровой инфраструктуре, чем необходимо для её основной функции. Например, вакансия SRE не нуждается в перечислении конкретных CI/CD-инструментов (ArgoCD, Te</w:t>
      </w:r>
      <w:r>
        <w:rPr>
          <w:rFonts w:ascii="Times New Roman" w:hAnsi="Times New Roman" w:eastAsia="Times New Roman" w:cs="Times New Roman"/>
        </w:rPr>
        <w:t xml:space="preserve">amCity, Spinnaker) — достаточно общих формулировок. Конференционный доклад не обязан содержать точные цифры (9 ПБ, 700 млн метрик/сек) — общие описания достаточны. Это повышает информированность внешнего наблюдателя о внутренних процессах и инфраструктуре.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" w:name="Xc5c6264a574c8a71b42889eb3838e1afce38e90"/>
      <w:r>
        <w:rPr>
          <w:rFonts w:ascii="Times New Roman" w:hAnsi="Times New Roman" w:eastAsia="Times New Roman" w:cs="Times New Roman"/>
        </w:rPr>
        <w:t xml:space="preserve">2. Какие технические следы вы считаете наиболее надёжно подтверждёнными?</w:t>
      </w:r>
      <w:bookmarkEnd w:id="2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NS-серверы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ns1.yandex.ru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ns2.yandex.ru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прямой факт владения DNS-инфраструктурой.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SPF-редирект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_spf.yandex.net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прямое доказательство централизованного почтового контура.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ASN AS200350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через bgp.he.net — официальный реестр ASN.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SSL-сертификаты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через Certificate Transparency logs — неизменяемый публичный реестр.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DNSSEC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(RRSIG + DNSKEY) — криптографическое подтверждение.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HTTP-заголовок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Server: nws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прямое указание на собственную веб-платформу.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" w:name="Xb3379b3b0cc05691558105ba5486399d839a8a9"/>
      <w:r>
        <w:rPr>
          <w:rFonts w:ascii="Times New Roman" w:hAnsi="Times New Roman" w:eastAsia="Times New Roman" w:cs="Times New Roman"/>
        </w:rPr>
        <w:t xml:space="preserve">3. Какие выводы нельзя делать по вашим данным и почему?</w:t>
      </w:r>
      <w:bookmarkEnd w:id="2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«Яндекс использует multi-cloud»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достаточно одного факта Yandex Cloud, но нет прямых данных о других провайдерах.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«Все внутренние сервисы реконструированы»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публичные данные дают лишь частичную картину.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«Все вакансии отражают текущее состояние»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могут быть гипотетическими или устаревшими.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«Точная топология известна»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публичные данные не содержат IP-диапазонов и полных схем.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" w:name="X923b5d53d9b029be52608d592e3ca9e89dabd63"/>
      <w:r>
        <w:rPr>
          <w:rFonts w:ascii="Times New Roman" w:hAnsi="Times New Roman" w:eastAsia="Times New Roman" w:cs="Times New Roman"/>
        </w:rPr>
        <w:t xml:space="preserve">4. Как разные публикации дополняют друг друга?</w:t>
      </w:r>
      <w:bookmarkEnd w:id="2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Каждый источник даёт свой фрагмент пазла: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Вакансии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технологический стек и инструменты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Блоги и статьи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архитектурные решения и контекст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Доклады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масштабы и производительность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DNS/сертификаты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подтверждение существования доменов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Документация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интеграционные контуры и API-паттерны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Open-source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архитектура внутренних систем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Архивы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эволюция инфраструктуры во времени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CSP-заголовки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инвентаризация доверенных доменов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Один артефакт редко опасен сам по себе, но в совокупности они образуют целостную картину.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" w:name="X23d6268a32edce1057a2a7e6c395fcf7640f345"/>
      <w:r>
        <w:rPr>
          <w:rFonts w:ascii="Times New Roman" w:hAnsi="Times New Roman" w:eastAsia="Times New Roman" w:cs="Times New Roman"/>
        </w:rPr>
        <w:t xml:space="preserve">5. Какие публикации объекту стоило бы излагать аккуратнее?</w:t>
      </w:r>
      <w:bookmarkEnd w:id="2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Вакансии: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заменить конкретные названия инструментов на обобщённые («системы оркестрации» вместо «Kubernetes + ArgoCD + Helm»)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Конференционные доклады: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убрать конкретные цифры (9 ПБ, 700 млн метрик/сек, 800 мс)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Технические статьи: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минимизировать названия внутренних сервисов (Apphost, CloudAPI, Arkadia)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Open-source: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проверять конфигурационные файлы на наличие внутренних hostnames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CSP-заголовки: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минимизировать до необходимый минимум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" w:name="X9a8c950ef90b5d6e5214e309cec53e0feed15a1"/>
      <w:r>
        <w:rPr>
          <w:rFonts w:ascii="Times New Roman" w:hAnsi="Times New Roman" w:eastAsia="Times New Roman" w:cs="Times New Roman"/>
        </w:rPr>
        <w:t xml:space="preserve">6. Какие ограничения были у вашего исследования?</w:t>
      </w:r>
      <w:bookmarkEnd w:id="2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Только пассивные методы — без активного сканирования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Вакансионные данные могут содержать гипотетические технологии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Публичная документация содержит обобщения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Архивные данные неполные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Не проверена доступность и уязвимости реальных систем</w:t>
      </w:r>
      <w:r>
        <w:rPr>
          <w:rFonts w:ascii="Times New Roman" w:hAnsi="Times New Roman" w:eastAsia="Times New Roman" w:cs="Times New Roman"/>
        </w:rPr>
      </w:r>
    </w:p>
    <w:p>
      <w:pPr>
        <w:pStyle w:val="7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" w:name="X48b0c7b3a87790c5020eb06c90dc980908ed9ba"/>
      <w:r>
        <w:rPr>
          <w:rFonts w:ascii="Times New Roman" w:hAnsi="Times New Roman" w:eastAsia="Times New Roman" w:cs="Times New Roman"/>
        </w:rPr>
        <w:t xml:space="preserve">7. Почему ваша работа остаётся в рамках пассивного анализа?</w:t>
      </w:r>
      <w:bookmarkEnd w:id="2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Все источники использованы без активного воздействия на инфраструктуру: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DNS-запросы через публичные рекурсивные DNS (dig)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SSL-сертификаты — из публичных Certificate Transparency logs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Вакансии, блоги, документация — публичные веб-страницы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ASN — bgp.he.net, ipinfo.io (публичные реестры)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CSP-заголовки — стандартный HTTP-ответ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Архивы — web.archive.org (пассивное копирование)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Ни один метод не включает сканирование портов, проб доступов, брутфорс или тестирование уязвимостей.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0"/>
      <w:pBdr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5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5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5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5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5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5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14F9B02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abstractNum w:abstractNumId="10">
    <w:nsid w:val="022AD470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1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7"/>
    <w:next w:val="717"/>
    <w:uiPriority w:val="39"/>
    <w:unhideWhenUsed/>
    <w:pPr>
      <w:pBdr/>
      <w:spacing w:after="100"/>
      <w:ind/>
    </w:pPr>
  </w:style>
  <w:style w:type="paragraph" w:styleId="190">
    <w:name w:val="toc 2"/>
    <w:basedOn w:val="717"/>
    <w:next w:val="717"/>
    <w:uiPriority w:val="39"/>
    <w:unhideWhenUsed/>
    <w:pPr>
      <w:pBdr/>
      <w:spacing w:after="100"/>
      <w:ind w:left="220"/>
    </w:pPr>
  </w:style>
  <w:style w:type="paragraph" w:styleId="191">
    <w:name w:val="toc 3"/>
    <w:basedOn w:val="717"/>
    <w:next w:val="717"/>
    <w:uiPriority w:val="39"/>
    <w:unhideWhenUsed/>
    <w:pPr>
      <w:pBdr/>
      <w:spacing w:after="100"/>
      <w:ind w:left="440"/>
    </w:pPr>
  </w:style>
  <w:style w:type="paragraph" w:styleId="192">
    <w:name w:val="toc 4"/>
    <w:basedOn w:val="717"/>
    <w:next w:val="717"/>
    <w:uiPriority w:val="39"/>
    <w:unhideWhenUsed/>
    <w:pPr>
      <w:pBdr/>
      <w:spacing w:after="100"/>
      <w:ind w:left="660"/>
    </w:pPr>
  </w:style>
  <w:style w:type="paragraph" w:styleId="193">
    <w:name w:val="toc 5"/>
    <w:basedOn w:val="717"/>
    <w:next w:val="717"/>
    <w:uiPriority w:val="39"/>
    <w:unhideWhenUsed/>
    <w:pPr>
      <w:pBdr/>
      <w:spacing w:after="100"/>
      <w:ind w:left="880"/>
    </w:pPr>
  </w:style>
  <w:style w:type="paragraph" w:styleId="194">
    <w:name w:val="toc 6"/>
    <w:basedOn w:val="717"/>
    <w:next w:val="717"/>
    <w:uiPriority w:val="39"/>
    <w:unhideWhenUsed/>
    <w:pPr>
      <w:pBdr/>
      <w:spacing w:after="100"/>
      <w:ind w:left="1100"/>
    </w:pPr>
  </w:style>
  <w:style w:type="paragraph" w:styleId="195">
    <w:name w:val="toc 7"/>
    <w:basedOn w:val="717"/>
    <w:next w:val="717"/>
    <w:uiPriority w:val="39"/>
    <w:unhideWhenUsed/>
    <w:pPr>
      <w:pBdr/>
      <w:spacing w:after="100"/>
      <w:ind w:left="1320"/>
    </w:pPr>
  </w:style>
  <w:style w:type="paragraph" w:styleId="196">
    <w:name w:val="toc 8"/>
    <w:basedOn w:val="717"/>
    <w:next w:val="717"/>
    <w:uiPriority w:val="39"/>
    <w:unhideWhenUsed/>
    <w:pPr>
      <w:pBdr/>
      <w:spacing w:after="100"/>
      <w:ind w:left="1540"/>
    </w:pPr>
  </w:style>
  <w:style w:type="paragraph" w:styleId="197">
    <w:name w:val="toc 9"/>
    <w:basedOn w:val="717"/>
    <w:next w:val="71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7"/>
    <w:next w:val="717"/>
    <w:uiPriority w:val="99"/>
    <w:unhideWhenUsed/>
    <w:pPr>
      <w:pBdr/>
      <w:spacing w:after="0" w:afterAutospacing="0"/>
      <w:ind/>
    </w:pPr>
  </w:style>
  <w:style w:type="paragraph" w:styleId="717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718">
    <w:name w:val="Header"/>
    <w:basedOn w:val="717"/>
    <w:link w:val="71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9" w:customStyle="1">
    <w:name w:val="Header Char"/>
    <w:basedOn w:val="731"/>
    <w:link w:val="718"/>
    <w:uiPriority w:val="99"/>
    <w:pPr>
      <w:pBdr/>
      <w:spacing/>
      <w:ind/>
    </w:pPr>
  </w:style>
  <w:style w:type="paragraph" w:styleId="720">
    <w:name w:val="Footer"/>
    <w:basedOn w:val="717"/>
    <w:link w:val="72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1" w:customStyle="1">
    <w:name w:val="Footer Char"/>
    <w:basedOn w:val="731"/>
    <w:link w:val="720"/>
    <w:uiPriority w:val="99"/>
    <w:pPr>
      <w:pBdr/>
      <w:spacing/>
      <w:ind/>
    </w:pPr>
  </w:style>
  <w:style w:type="paragraph" w:styleId="722">
    <w:name w:val="Heading 1"/>
    <w:basedOn w:val="717"/>
    <w:next w:val="717"/>
    <w:link w:val="735"/>
    <w:uiPriority w:val="9"/>
    <w:qFormat/>
    <w:pPr>
      <w:keepNext w:val="true"/>
      <w:keepLines w:val="true"/>
      <w:pBdr/>
      <w:spacing w:after="120" w:before="240" w:line="360" w:lineRule="auto"/>
      <w:ind w:firstLine="0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23">
    <w:name w:val="Heading 2"/>
    <w:basedOn w:val="717"/>
    <w:next w:val="717"/>
    <w:link w:val="736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724">
    <w:name w:val="Heading 3"/>
    <w:basedOn w:val="717"/>
    <w:next w:val="717"/>
    <w:link w:val="737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25">
    <w:name w:val="Heading 4"/>
    <w:basedOn w:val="717"/>
    <w:next w:val="717"/>
    <w:link w:val="765"/>
    <w:uiPriority w:val="9"/>
    <w:semiHidden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3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i/>
      <w:iCs/>
      <w:color w:val="000000"/>
      <w:sz w:val="28"/>
    </w:rPr>
  </w:style>
  <w:style w:type="paragraph" w:styleId="726">
    <w:name w:val="Heading 5"/>
    <w:basedOn w:val="717"/>
    <w:next w:val="717"/>
    <w:link w:val="76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27">
    <w:name w:val="Heading 6"/>
    <w:basedOn w:val="717"/>
    <w:next w:val="717"/>
    <w:link w:val="76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28">
    <w:name w:val="Heading 7"/>
    <w:basedOn w:val="717"/>
    <w:next w:val="717"/>
    <w:link w:val="7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9">
    <w:name w:val="Heading 8"/>
    <w:basedOn w:val="717"/>
    <w:next w:val="717"/>
    <w:link w:val="7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30">
    <w:name w:val="Heading 9"/>
    <w:basedOn w:val="717"/>
    <w:next w:val="717"/>
    <w:link w:val="7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31" w:default="1">
    <w:name w:val="Default Paragraph Font"/>
    <w:uiPriority w:val="1"/>
    <w:semiHidden/>
    <w:unhideWhenUsed/>
    <w:pPr>
      <w:pBdr/>
      <w:spacing/>
      <w:ind/>
    </w:pPr>
  </w:style>
  <w:style w:type="table" w:styleId="7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3" w:default="1">
    <w:name w:val="No List"/>
    <w:uiPriority w:val="99"/>
    <w:semiHidden/>
    <w:unhideWhenUsed/>
    <w:pPr>
      <w:pBdr/>
      <w:spacing/>
      <w:ind/>
    </w:pPr>
  </w:style>
  <w:style w:type="paragraph" w:styleId="734">
    <w:name w:val="No Spacing"/>
    <w:uiPriority w:val="1"/>
    <w:qFormat/>
    <w:pPr>
      <w:pBdr/>
      <w:spacing w:after="0" w:line="240" w:lineRule="auto"/>
      <w:ind/>
    </w:pPr>
  </w:style>
  <w:style w:type="character" w:styleId="735" w:customStyle="1">
    <w:name w:val="Heading 1 Char"/>
    <w:basedOn w:val="731"/>
    <w:link w:val="7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36" w:customStyle="1">
    <w:name w:val="Heading 2 Char"/>
    <w:basedOn w:val="731"/>
    <w:link w:val="7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37" w:customStyle="1">
    <w:name w:val="Heading 3 Char"/>
    <w:basedOn w:val="731"/>
    <w:link w:val="7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38">
    <w:name w:val="Title"/>
    <w:basedOn w:val="717"/>
    <w:next w:val="717"/>
    <w:link w:val="73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9" w:customStyle="1">
    <w:name w:val="Title Char"/>
    <w:basedOn w:val="731"/>
    <w:link w:val="73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40">
    <w:name w:val="Subtitle"/>
    <w:basedOn w:val="717"/>
    <w:next w:val="717"/>
    <w:link w:val="74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41" w:customStyle="1">
    <w:name w:val="Subtitle Char"/>
    <w:basedOn w:val="731"/>
    <w:link w:val="74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42">
    <w:name w:val="List Paragraph"/>
    <w:basedOn w:val="717"/>
    <w:uiPriority w:val="34"/>
    <w:qFormat/>
    <w:pPr>
      <w:pBdr/>
      <w:spacing/>
      <w:ind w:left="720"/>
      <w:contextualSpacing w:val="true"/>
    </w:pPr>
  </w:style>
  <w:style w:type="paragraph" w:styleId="743">
    <w:name w:val="Body Text"/>
    <w:basedOn w:val="717"/>
    <w:link w:val="744"/>
    <w:uiPriority w:val="99"/>
    <w:unhideWhenUsed/>
    <w:pPr>
      <w:pBdr/>
      <w:spacing w:after="120"/>
      <w:ind/>
    </w:pPr>
  </w:style>
  <w:style w:type="character" w:styleId="744" w:customStyle="1">
    <w:name w:val="Body Text Char"/>
    <w:basedOn w:val="731"/>
    <w:link w:val="743"/>
    <w:uiPriority w:val="99"/>
    <w:pPr>
      <w:pBdr/>
      <w:spacing/>
      <w:ind/>
    </w:pPr>
  </w:style>
  <w:style w:type="paragraph" w:styleId="745">
    <w:name w:val="Body Text 2"/>
    <w:basedOn w:val="717"/>
    <w:link w:val="746"/>
    <w:uiPriority w:val="99"/>
    <w:unhideWhenUsed/>
    <w:pPr>
      <w:pBdr/>
      <w:spacing w:after="120" w:line="480" w:lineRule="auto"/>
      <w:ind/>
    </w:pPr>
  </w:style>
  <w:style w:type="character" w:styleId="746" w:customStyle="1">
    <w:name w:val="Body Text 2 Char"/>
    <w:basedOn w:val="731"/>
    <w:link w:val="745"/>
    <w:uiPriority w:val="99"/>
    <w:pPr>
      <w:pBdr/>
      <w:spacing/>
      <w:ind/>
    </w:pPr>
  </w:style>
  <w:style w:type="paragraph" w:styleId="747">
    <w:name w:val="Body Text 3"/>
    <w:basedOn w:val="717"/>
    <w:link w:val="74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48" w:customStyle="1">
    <w:name w:val="Body Text 3 Char"/>
    <w:basedOn w:val="731"/>
    <w:link w:val="747"/>
    <w:uiPriority w:val="99"/>
    <w:pPr>
      <w:pBdr/>
      <w:spacing/>
      <w:ind/>
    </w:pPr>
    <w:rPr>
      <w:sz w:val="16"/>
      <w:szCs w:val="16"/>
    </w:rPr>
  </w:style>
  <w:style w:type="paragraph" w:styleId="749">
    <w:name w:val="List"/>
    <w:basedOn w:val="717"/>
    <w:uiPriority w:val="99"/>
    <w:unhideWhenUsed/>
    <w:pPr>
      <w:pBdr/>
      <w:spacing/>
      <w:ind w:hanging="360" w:left="360"/>
      <w:contextualSpacing w:val="true"/>
    </w:pPr>
  </w:style>
  <w:style w:type="paragraph" w:styleId="750">
    <w:name w:val="List 2"/>
    <w:basedOn w:val="717"/>
    <w:uiPriority w:val="99"/>
    <w:unhideWhenUsed/>
    <w:pPr>
      <w:pBdr/>
      <w:spacing/>
      <w:ind w:hanging="360" w:left="720"/>
      <w:contextualSpacing w:val="true"/>
    </w:pPr>
  </w:style>
  <w:style w:type="paragraph" w:styleId="751">
    <w:name w:val="List 3"/>
    <w:basedOn w:val="717"/>
    <w:uiPriority w:val="99"/>
    <w:unhideWhenUsed/>
    <w:pPr>
      <w:pBdr/>
      <w:spacing/>
      <w:ind w:hanging="360" w:left="1080"/>
      <w:contextualSpacing w:val="true"/>
    </w:pPr>
  </w:style>
  <w:style w:type="paragraph" w:styleId="752">
    <w:name w:val="List Bullet"/>
    <w:basedOn w:val="71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53">
    <w:name w:val="List Bullet 2"/>
    <w:basedOn w:val="71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54">
    <w:name w:val="List Bullet 3"/>
    <w:basedOn w:val="71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55">
    <w:name w:val="List Number"/>
    <w:basedOn w:val="71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56">
    <w:name w:val="List Number 2"/>
    <w:basedOn w:val="71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57">
    <w:name w:val="List Number 3"/>
    <w:basedOn w:val="71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58">
    <w:name w:val="List Continue"/>
    <w:basedOn w:val="717"/>
    <w:uiPriority w:val="99"/>
    <w:unhideWhenUsed/>
    <w:pPr>
      <w:pBdr/>
      <w:spacing w:after="120"/>
      <w:ind w:left="360"/>
      <w:contextualSpacing w:val="true"/>
    </w:pPr>
  </w:style>
  <w:style w:type="paragraph" w:styleId="759">
    <w:name w:val="List Continue 2"/>
    <w:basedOn w:val="717"/>
    <w:uiPriority w:val="99"/>
    <w:unhideWhenUsed/>
    <w:pPr>
      <w:pBdr/>
      <w:spacing w:after="120"/>
      <w:ind w:left="720"/>
      <w:contextualSpacing w:val="true"/>
    </w:pPr>
  </w:style>
  <w:style w:type="paragraph" w:styleId="760">
    <w:name w:val="List Continue 3"/>
    <w:basedOn w:val="717"/>
    <w:uiPriority w:val="99"/>
    <w:unhideWhenUsed/>
    <w:pPr>
      <w:pBdr/>
      <w:spacing w:after="120"/>
      <w:ind w:left="1080"/>
      <w:contextualSpacing w:val="true"/>
    </w:pPr>
  </w:style>
  <w:style w:type="paragraph" w:styleId="761">
    <w:name w:val="macro"/>
    <w:link w:val="76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62" w:customStyle="1">
    <w:name w:val="Macro Text Char"/>
    <w:basedOn w:val="731"/>
    <w:link w:val="76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63">
    <w:name w:val="Quote"/>
    <w:basedOn w:val="717"/>
    <w:next w:val="717"/>
    <w:link w:val="76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64" w:customStyle="1">
    <w:name w:val="Quote Char"/>
    <w:basedOn w:val="731"/>
    <w:link w:val="763"/>
    <w:uiPriority w:val="29"/>
    <w:pPr>
      <w:pBdr/>
      <w:spacing/>
      <w:ind/>
    </w:pPr>
    <w:rPr>
      <w:i/>
      <w:iCs/>
      <w:color w:val="000000" w:themeColor="text1"/>
    </w:rPr>
  </w:style>
  <w:style w:type="character" w:styleId="765" w:customStyle="1">
    <w:name w:val="Heading 4 Char"/>
    <w:basedOn w:val="731"/>
    <w:link w:val="7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66" w:customStyle="1">
    <w:name w:val="Heading 5 Char"/>
    <w:basedOn w:val="731"/>
    <w:link w:val="7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67" w:customStyle="1">
    <w:name w:val="Heading 6 Char"/>
    <w:basedOn w:val="731"/>
    <w:link w:val="7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68" w:customStyle="1">
    <w:name w:val="Heading 7 Char"/>
    <w:basedOn w:val="731"/>
    <w:link w:val="7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9" w:customStyle="1">
    <w:name w:val="Heading 8 Char"/>
    <w:basedOn w:val="731"/>
    <w:link w:val="7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70" w:customStyle="1">
    <w:name w:val="Heading 9 Char"/>
    <w:basedOn w:val="731"/>
    <w:link w:val="7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71">
    <w:name w:val="Caption"/>
    <w:basedOn w:val="717"/>
    <w:next w:val="71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72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773">
    <w:name w:val="Emphasis"/>
    <w:basedOn w:val="731"/>
    <w:uiPriority w:val="20"/>
    <w:qFormat/>
    <w:pPr>
      <w:pBdr/>
      <w:spacing/>
      <w:ind/>
    </w:pPr>
    <w:rPr>
      <w:i/>
      <w:iCs/>
    </w:rPr>
  </w:style>
  <w:style w:type="paragraph" w:styleId="774">
    <w:name w:val="Intense Quote"/>
    <w:basedOn w:val="717"/>
    <w:next w:val="717"/>
    <w:link w:val="77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75" w:customStyle="1">
    <w:name w:val="Intense Quote Char"/>
    <w:basedOn w:val="731"/>
    <w:link w:val="77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76">
    <w:name w:val="Subtle Emphasis"/>
    <w:basedOn w:val="7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77">
    <w:name w:val="Intense Emphasis"/>
    <w:basedOn w:val="7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78">
    <w:name w:val="Subtle Reference"/>
    <w:basedOn w:val="7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9">
    <w:name w:val="Intense Reference"/>
    <w:basedOn w:val="7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80">
    <w:name w:val="Book Title"/>
    <w:basedOn w:val="7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81">
    <w:name w:val="TOC Heading"/>
    <w:basedOn w:val="722"/>
    <w:next w:val="717"/>
    <w:uiPriority w:val="39"/>
    <w:semiHidden/>
    <w:unhideWhenUsed/>
    <w:qFormat/>
    <w:pPr>
      <w:pBdr/>
      <w:spacing/>
      <w:ind/>
      <w:outlineLvl w:val="9"/>
    </w:pPr>
  </w:style>
  <w:style w:type="table" w:styleId="782">
    <w:name w:val="Table Grid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Shading"/>
    <w:basedOn w:val="7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Shading Accent 1"/>
    <w:basedOn w:val="7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Shading Accent 2"/>
    <w:basedOn w:val="7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Shading Accent 3"/>
    <w:basedOn w:val="7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Shading Accent 4"/>
    <w:basedOn w:val="7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Shading Accent 5"/>
    <w:basedOn w:val="7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Shading Accent 6"/>
    <w:basedOn w:val="7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List"/>
    <w:basedOn w:val="7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List Accent 1"/>
    <w:basedOn w:val="7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List Accent 2"/>
    <w:basedOn w:val="7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List Accent 3"/>
    <w:basedOn w:val="7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List Accent 4"/>
    <w:basedOn w:val="7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List Accent 5"/>
    <w:basedOn w:val="7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ght List Accent 6"/>
    <w:basedOn w:val="7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ght Grid"/>
    <w:basedOn w:val="7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ght Grid Accent 1"/>
    <w:basedOn w:val="7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ght Grid Accent 2"/>
    <w:basedOn w:val="7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ght Grid Accent 3"/>
    <w:basedOn w:val="7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ght Grid Accent 4"/>
    <w:basedOn w:val="7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ght Grid Accent 5"/>
    <w:basedOn w:val="7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ght Grid Accent 6"/>
    <w:basedOn w:val="7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1"/>
    <w:basedOn w:val="7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1 Accent 1"/>
    <w:basedOn w:val="7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1 Accent 2"/>
    <w:basedOn w:val="7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1 Accent 3"/>
    <w:basedOn w:val="7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1 Accent 4"/>
    <w:basedOn w:val="7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Shading 1 Accent 5"/>
    <w:basedOn w:val="7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Shading 1 Accent 6"/>
    <w:basedOn w:val="7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Shading 2"/>
    <w:basedOn w:val="7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Shading 2 Accent 1"/>
    <w:basedOn w:val="7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Shading 2 Accent 2"/>
    <w:basedOn w:val="7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Shading 2 Accent 3"/>
    <w:basedOn w:val="7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Shading 2 Accent 4"/>
    <w:basedOn w:val="7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Shading 2 Accent 5"/>
    <w:basedOn w:val="7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Shading 2 Accent 6"/>
    <w:basedOn w:val="7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1"/>
    <w:basedOn w:val="7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1 Accent 1"/>
    <w:basedOn w:val="7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1 Accent 2"/>
    <w:basedOn w:val="7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1 Accent 3"/>
    <w:basedOn w:val="7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1 Accent 4"/>
    <w:basedOn w:val="7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List 1 Accent 5"/>
    <w:basedOn w:val="7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List 1 Accent 6"/>
    <w:basedOn w:val="7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List 2"/>
    <w:basedOn w:val="7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List 2 Accent 1"/>
    <w:basedOn w:val="7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List 2 Accent 2"/>
    <w:basedOn w:val="7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List 2 Accent 3"/>
    <w:basedOn w:val="7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List 2 Accent 4"/>
    <w:basedOn w:val="7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List 2 Accent 5"/>
    <w:basedOn w:val="7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List 2 Accent 6"/>
    <w:basedOn w:val="7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1"/>
    <w:basedOn w:val="7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1 Accent 1"/>
    <w:basedOn w:val="7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1 Accent 2"/>
    <w:basedOn w:val="7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1 Accent 3"/>
    <w:basedOn w:val="7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1 Accent 4"/>
    <w:basedOn w:val="7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1 Accent 5"/>
    <w:basedOn w:val="7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1 Accent 6"/>
    <w:basedOn w:val="7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2"/>
    <w:basedOn w:val="7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2 Accent 1"/>
    <w:basedOn w:val="7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2 Accent 2"/>
    <w:basedOn w:val="7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2 Accent 3"/>
    <w:basedOn w:val="7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2 Accent 4"/>
    <w:basedOn w:val="7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2 Accent 5"/>
    <w:basedOn w:val="7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Grid 2 Accent 6"/>
    <w:basedOn w:val="7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Grid 3"/>
    <w:basedOn w:val="7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Grid 3 Accent 1"/>
    <w:basedOn w:val="7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Grid 3 Accent 2"/>
    <w:basedOn w:val="7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Grid 3 Accent 3"/>
    <w:basedOn w:val="7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Grid 3 Accent 4"/>
    <w:basedOn w:val="7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Grid 3 Accent 5"/>
    <w:basedOn w:val="7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Grid 3 Accent 6"/>
    <w:basedOn w:val="7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Dark List"/>
    <w:basedOn w:val="7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Dark List Accent 1"/>
    <w:basedOn w:val="7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Dark List Accent 2"/>
    <w:basedOn w:val="7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Dark List Accent 3"/>
    <w:basedOn w:val="7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Dark List Accent 4"/>
    <w:basedOn w:val="7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Dark List Accent 5"/>
    <w:basedOn w:val="7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Dark List Accent 6"/>
    <w:basedOn w:val="7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Shading"/>
    <w:basedOn w:val="7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Shading Accent 1"/>
    <w:basedOn w:val="7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Shading Accent 2"/>
    <w:basedOn w:val="7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Shading Accent 3"/>
    <w:basedOn w:val="7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Shading Accent 4"/>
    <w:basedOn w:val="7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Shading Accent 5"/>
    <w:basedOn w:val="7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Shading Accent 6"/>
    <w:basedOn w:val="7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List"/>
    <w:basedOn w:val="7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List Accent 1"/>
    <w:basedOn w:val="7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List Accent 2"/>
    <w:basedOn w:val="7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List Accent 3"/>
    <w:basedOn w:val="7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List Accent 4"/>
    <w:basedOn w:val="7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List Accent 5"/>
    <w:basedOn w:val="7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Colorful List Accent 6"/>
    <w:basedOn w:val="7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Colorful Grid"/>
    <w:basedOn w:val="7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Colorful Grid Accent 1"/>
    <w:basedOn w:val="7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Colorful Grid Accent 2"/>
    <w:basedOn w:val="7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Colorful Grid Accent 3"/>
    <w:basedOn w:val="7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Colorful Grid Accent 4"/>
    <w:basedOn w:val="7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Colorful Grid Accent 5"/>
    <w:basedOn w:val="7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Colorful Grid Accent 6"/>
    <w:basedOn w:val="7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2026-05-25T12:55:05Z</dcterms:modified>
  <cp:category/>
</cp:coreProperties>
</file>