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МИНОБРНАУКИ РОССИИ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Федеральное государственное бюджетное образовательное учреждение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высшего образования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«МИРЭА — Российский технологический университет»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РТУ МИРЭА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Институт кибербезопасности и цифровых технологий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Кафедра КБ-4 «Интеллектуальные системы информационной безопасности»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32"/>
        </w:rPr>
        <w:t xml:space="preserve">Практическое задание №8</w:t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 дисциплине: «Методы сбора и обработки данных из открытых источников»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тема: «Защитное сценарное моделирование цифровой экспозиции»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студент группы ББМО-01-25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Мухаметшин Александр Ринатович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Проверил: ____________________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Москва,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" w:name="X840d93f53e10e5ea234b61ea5a7163588994c4f"/>
      <w:r>
        <w:rPr>
          <w:rFonts w:ascii="Times New Roman" w:hAnsi="Times New Roman" w:eastAsia="Times New Roman" w:cs="Times New Roman"/>
        </w:rPr>
        <w:t xml:space="preserve">1. Паспорт сценарного исследования</w:t>
      </w:r>
      <w:bookmarkEnd w:id="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" w:name="форма-1-паспорт-сценарного-исследования"/>
      <w:r>
        <w:rPr>
          <w:rFonts w:ascii="Times New Roman" w:hAnsi="Times New Roman" w:eastAsia="Times New Roman" w:cs="Times New Roman"/>
        </w:rPr>
        <w:t xml:space="preserve">Форма 1. Паспорт сценарного исследования</w:t>
      </w:r>
      <w:bookmarkEnd w:id="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Объект исследования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(Yandex) — SaaS-технологическая платформа / экосистема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Отрасль / тип объекта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Технологическая платформа, SaaS-сервис, интернет-экосистема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Цель сценарного анализа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Построить сценарную модель цифровой экспозиции объекта по открытым данным OSINT и разработать набор защитно-ориентированных мер снижения избыточной открытости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Исходные материалы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Данные практик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1–7: WHOIS (500+ доменов), DNS-записи (A, MX, TXT, NS), TLS-сертификаты (crt.sh), ASN-реестры (bgp.he.net), OAuth-spec, HTTP-заголовки (CSP, NEL), публичная документация, GitHub OSS (65K+ звёзд), вакансии (hh.ru), пресс-релизы, веб-архив (web.archive.org)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Границы анализа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Включено: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пассивные наблюдения 2020–2026 гг. по 10+ классам источников; сценарная оценка уже открытой экспозиции; организационные и публикационные защитные меры. 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Не включено: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активное сканирование, тестирование на проникновение, перебор поддоменов, анализ непубличных API, работа с персональными данными, оценка внутренней архитектуры.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Исходные гипотезы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Г1: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и описания ролей чрезмерно раскрывают технологический стек и процессы сопровождения. 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Г2: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Архивные документы и исторические домены сохраняют информативные сведения об устаревшем сервисном контуре. 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Г3: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OSS-экосистема (65K+ звёзд) формирует значимую цифровую экспозицию через детализированную документацию и CI/CD-конфигурации.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" w:name="X6125201a6c818dafe683d7fc6018868b6118846"/>
      <w:r>
        <w:rPr>
          <w:rFonts w:ascii="Times New Roman" w:hAnsi="Times New Roman" w:eastAsia="Times New Roman" w:cs="Times New Roman"/>
        </w:rPr>
        <w:t xml:space="preserve">2. Исходные материалы и границы анализа</w:t>
      </w:r>
      <w:bookmarkEnd w:id="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" w:name="Xcdd115337f92664696ebb0c38d1a4711709b129"/>
      <w:r>
        <w:rPr>
          <w:rFonts w:ascii="Times New Roman" w:hAnsi="Times New Roman" w:eastAsia="Times New Roman" w:cs="Times New Roman"/>
        </w:rPr>
        <w:t xml:space="preserve">2.1. Подход к использованию предыдущих данных</w:t>
      </w:r>
      <w:bookmarkEnd w:id="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Практика 8 не предполагает нового агрессивного сбора данных. Вместо этого используются результаты 6 последовательных практических работ, охватывающих 2020–2026 гг.:</w:t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Собранные данные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Использование в Практике 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Практика 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DNS-записи (A, MX, TXT, NS), WHOIS, ASN-реестры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Доменные и сетевые следы для оценки функционального разделения контура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Практика 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HTTP-заголовки (CSP, NEL, x-yandex-req-id), TLS-сертификаты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Документационные и сервисные следы для анализа пользовательских маршрутов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Практика 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Реконструкция цифрового контура, разделение текущего/исторического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следы и цифровой шум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Практика 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Сравнительный OSINT-анализ (Яндекс vs Google vs VK)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Отраслевые паттерны для контекста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Практика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Автоматизированная классификация (66,7% корректности)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Типизация экспозиционных категорий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Практика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Карта связей (28 сущностей, 35 связей)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Структура связей для построения сценарных цепочек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8" w:name="X9e4d5d9ffeb96ec4e04216f9c698fee79590808"/>
      <w:r>
        <w:rPr>
          <w:rFonts w:ascii="Times New Roman" w:hAnsi="Times New Roman" w:eastAsia="Times New Roman" w:cs="Times New Roman"/>
        </w:rPr>
        <w:t xml:space="preserve">3. Каталог категорий цифровой экспозиции</w:t>
      </w:r>
      <w:bookmarkEnd w:id="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9" w:name="X9c96a53aa4147f5228ea1daa618b93d69151eb6"/>
      <w:r>
        <w:rPr>
          <w:rFonts w:ascii="Times New Roman" w:hAnsi="Times New Roman" w:eastAsia="Times New Roman" w:cs="Times New Roman"/>
        </w:rPr>
        <w:t xml:space="preserve">Форма 2. Каталог категорий цифровой экспозиции</w:t>
      </w:r>
      <w:bookmarkEnd w:id="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 следов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Примеры открытых артефактов (из практик 1–7)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Что может раскрывать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Уровень уверенности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Доменные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yandex.ru, ya.ru, cloud.yandex.net, oauth.yandex.com, ydb.tech, diplodoc.tech, catboost.ai, dzen.yandex.net (ист.)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Функциональное разделение цифрового контура: поисковый, облачный, OAuth, CDN, OSS, медиа-подконтур. Каждый домен — самостоятельная точка атаки / аналитического интереса.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Высокий (WHOIS + DNS + HTTP)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Документационные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 (12+ категорий), ydb.tech/docs/en/, ytsaurus.tech/docs/en/, diplodoc.tech, cloud.yandex.net/docs, help-страницы, FAQ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Пользовательские маршруты, сервисные роли, внутренние API-эндпоинты, архитектурные паттерны, CI/CD-процессы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Высокий (HTTP 200 + docs content)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Кадровые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hh.ru/employer/yandex (600+ dev, 150+ ML, C++/Python/Java), tech.yandex.ru/career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Технологический стек, процессы сопровождения, планируемые проекты, используемые платформы и инструменты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 (HR-данные ≠ текущая эксплуатация)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Исторические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 (web.archive.org), career.yandex.ru (HTTP 404), устаревшие OAuth-эндпоинты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Эволюция контура, устаревшие сервисы, цифровой шум — данные, которые больше не актуальны, но повышают информированность наблюдателя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 (архивные ≠ текущие)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Публикационные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tech.yandex.ru, Habr (habr.com/ru/company/yandex), press.yandex.ru, Яндекс.Субботник (infraevents.yandex.ru)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Поставщики, события, изменения процессов, командная структура, направления разработок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 (публикационный ≠ технический источник)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Контактные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mx.yandex.ru (MX pri 10), SPF TXT (v=spf1 redirect=_spf.yandex.ru), DKIM, mail.yandex.ru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Почтовая инфраструктура, доверенные отправители, маршрутизация электронной почты. Может использоваться для фишинга и подмены доверенных отправителей.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Высокий (DNS MX, TXT, DKIM)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Сервисные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 (CDN, 37.9.64.225), x-yandex-req-id (HTTP-заголовок), google-site-verification, facebook-domain-verification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CDN-архитектура, корреляция сервисов, внешние интеграции. x-yandex-req-id раскрывает формат трекинга внутренних запросов.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 (косвенное: CDN + CSP)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Событийные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EVT-01–EVT-06: Яндекс.Субботник, выделение Дзена, OAuth 2.0, CloudAPI, YDB release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Динамика экосистемы, изменения архитектуры, новые направления. Событийные публикации часто содержат больше технических деталей, чем обычные документы.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 (событийный ≠ документальный источник)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Визуальные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Скриншоты в tech.yandex.ru, press.yandex.ru, Habr; логотипы, скриншоты интерфейсов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Внутренние интерфейсы, сервисные маршруты, пользовательские потоки. Скриншоты могут содержать служебные URL, токены, внутренние ID.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 (визуальный контент)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0" w:name="X95a4292d1dcf4ff7bddf0158ea2f523b34ecc08"/>
      <w:r>
        <w:rPr>
          <w:rFonts w:ascii="Times New Roman" w:hAnsi="Times New Roman" w:eastAsia="Times New Roman" w:cs="Times New Roman"/>
        </w:rPr>
        <w:t xml:space="preserve">4. Матрица сценарного анализа</w:t>
      </w:r>
      <w:bookmarkEnd w:id="1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1" w:name="форма-3-матрица-сценарного-анализа"/>
      <w:r>
        <w:rPr>
          <w:rFonts w:ascii="Times New Roman" w:hAnsi="Times New Roman" w:eastAsia="Times New Roman" w:cs="Times New Roman"/>
        </w:rPr>
        <w:t xml:space="preserve">Форма 3. Матрица сценарного анализа</w:t>
      </w:r>
      <w:bookmarkEnd w:id="1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Пояснение.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Каждая строка — это сценарная цепочка: открытый след → аналитический вывод → возможный риск. Сценарии сформулированы в оборонительном ключе: не «как атаковать», а «что organisation следует publish-овать аккуратнее».</w:t>
      </w:r>
      <w:r>
        <w:rPr>
          <w:rFonts w:ascii="Times New Roman" w:hAnsi="Times New Roman" w:eastAsia="Times New Roman" w:cs="Times New Roman"/>
        </w:rPr>
      </w:r>
    </w:p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2" w:name="Xb544887f3efdcf8218a894a1e56c2d8caaa3cb7"/>
      <w:r>
        <w:rPr>
          <w:rFonts w:ascii="Times New Roman" w:hAnsi="Times New Roman" w:eastAsia="Times New Roman" w:cs="Times New Roman"/>
        </w:rPr>
        <w:t xml:space="preserve">Сценарий 1. Избыточное раскрытие технологического стека через вакансии</w:t>
      </w:r>
      <w:bookmarkEnd w:id="1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Открытый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hh.ru/employer/yandex: 600+ developer, 150+ ML, требования к C++, Python, Java, Kubernetes, ClickHouse, YDB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Аналитический вывод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позволяют восстановить актуальный технологический стек и планируемые направления разработок организации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Сценарий риска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Внешний наблюдатель формирует точную карту технологического ландшафта: знает какие платформы используются, какие команды могут создаваться, где наиболее вероятны ошибки конфигурации. Это снижает время и стоимость подготовки целенаправленной атаки.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Уверенность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HR-данные подтверждены tech.yandex.ru/career; не проверялись активными методами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Повторяемость признаков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аналогичная детализация характерна для технологических компаний отрасли; паттерн воспроизводим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Приоритет обработки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не критический риск, но требует периодического аудита вакансий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3" w:name="X553e200dd85d30d406326811de8fe82aff4bc24"/>
      <w:r>
        <w:rPr>
          <w:rFonts w:ascii="Times New Roman" w:hAnsi="Times New Roman" w:eastAsia="Times New Roman" w:cs="Times New Roman"/>
        </w:rPr>
        <w:t xml:space="preserve">Сценарий 2. Исторические данные как аналитический шум</w:t>
      </w:r>
      <w:bookmarkEnd w:id="1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Открытый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 в web.archive.org; career.yandex.ru (HTTP 404); устаревшие OAuth-эндпоинты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Аналитический вывод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артефакты сохраняют сведения об устаревшем сервисном контуре, который уже не функционирует, но остаётся доступен в архивах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Сценарий риска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Внешний наблюдатель, используя ар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хивные копии, может реконструировать прошлую архитектуру, обнаружить смещённые redirect-цепочки и исторические DNS-записи, которые могут указывать на текущие сервисы. Это особенно опасно для исторических конфигураций безопасности (старые SPF, DKIM, CNAME).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Уверенность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web.archive.org подтверждает наличие артефактов; неясно, насколько они актуальны для текущего контура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Повторяемость признаков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типичный паттерн для технологических платформ с долгой историей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Приоритет обработки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требует периодического аудита архивных страниц и настройки корректных 410/Gone ответов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4" w:name="Xba11facfee87afe07b7849686b92ae1a925902e"/>
      <w:r>
        <w:rPr>
          <w:rFonts w:ascii="Times New Roman" w:hAnsi="Times New Roman" w:eastAsia="Times New Roman" w:cs="Times New Roman"/>
        </w:rPr>
        <w:t xml:space="preserve">Сценарий 3. OSS-экосистема: чрезмерная детализация документации</w:t>
      </w:r>
      <w:bookmarkEnd w:id="1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Открытый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 (65K+ звёзд); ydb.tech/docs, ytsaurus.tech/docs, diplodoc.tech; внутренние конфигурации CI/CD, примеры кода, тестовые данные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Аналитический вывод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OSS-репозитории содержат детальную информацию об архитектуре, внутренних API, тестовых эндпоинтах и развёртывании, что выходит за рамки необходимой для публичного пользования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Сценарий риска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Внешний наблюдатель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может: (1) восстановить внутреннюю архитектуру сервисов через анализ публичной документации; (2) обнаружить тестовые эндпоинты или debug-интерфейсы в примерах кода; (3) понять CI/CD-паттерны, что может быть использовано при атаке на процесс развёртывания.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Уверенность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подтверждён прямым доступом к documentation.ydb.tech, ytsaurus.tech, diplodoc.tech; HTTP 200, полный контент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Повторяемость признаков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характерно для OSS-проектов, но Yandex раскрывает больше деталей, чем средний конкурент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Приоритет обработки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наиболее информативная экспозиция из всех наблюдаемых категорий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5" w:name="X893e6fcb74b35f34eec1b7632f182e642fad7ca"/>
      <w:r>
        <w:rPr>
          <w:rFonts w:ascii="Times New Roman" w:hAnsi="Times New Roman" w:eastAsia="Times New Roman" w:cs="Times New Roman"/>
        </w:rPr>
        <w:t xml:space="preserve">Сценарий 4. Почтовая инфраструктура и потенциальная подмена отправителей</w:t>
      </w:r>
      <w:bookmarkEnd w:id="1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Открытый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mx.yandex.ru (MX pri 10); SPF TXT (v=spf1 redirect=_spf.yandex.ru); DKIM-записи; imap.yandex.ru, smtp.yandex.ru (по DNS-паттерну)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Аналитический вывод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Почтовая инфраструктура полностью документирована через DNS: все маршруты, SPF-политики, DKIM-подписи доступны внешнему наблюдателю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Сценарий риска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Полный набор почтовых DNS-запи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сей позволяет внешнему наблюдателю: (1) подтвердить принадлежность домена через MX-записи; (2) спроектировать SPF-политику для обхода фильтрации; (3) понять архитектуру почтового шлюза. Это повышает успех фишинговых атак с подменой доверенных отправителей.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**Уверенность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DNS MX, TXT, DKIM подтверждены независимо; не проверялись активными методами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**Повторяемость признаков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стандартная практика настройки DNS для почтовых сервисов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**Приоритет обработки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риск снизится при переходе на DMARC с жёсткой политикой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6" w:name="Xe93fb584de07f422dda29d991d62104a6970068"/>
      <w:r>
        <w:rPr>
          <w:rFonts w:ascii="Times New Roman" w:hAnsi="Times New Roman" w:eastAsia="Times New Roman" w:cs="Times New Roman"/>
        </w:rPr>
        <w:t xml:space="preserve">Сценарий 5. Единый OAuth-контур как единая точка интереса</w:t>
      </w:r>
      <w:bookmarkEnd w:id="1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Открытый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 — OAuth 2.0 PKCE S256 (RFC 8252); x-yandex-req-id в HTTP-ответах; единый эндпоинт для всех продуктов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Аналитический вывод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OAuth-контур является единой точкой аутентификации для всей экосистемы Яндекса; каждая интеграция с OAuth повышает наблюдаемость пользователей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Сценарий риска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Внешний наблюдате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ль, взаимодействующий с одним OAuth-эндпоинтом, может: (1) определить все сервисы, использующие данный OAuth; (2) через x-yandex-req-id correlate действия пользователя across сервисов; (3) обнаружить паттерны авторизации для целевых атак на учётные записи.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Уверенность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OAuth-spec подтверждён прямым анализом спецификации; DevTools подтверждает x-yandex-req-id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**Повторяемость признаков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единый OAuth для всех продуктов — распространённый паттерн SaaS-платформ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**Приоритет обработки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—OAuth — архитектурно оправдан, но требует мониторинга сторонних интеграций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" w:name="X3216d0f68fa0f634c20dce6904f201fcf13a42e"/>
      <w:r>
        <w:rPr>
          <w:rFonts w:ascii="Times New Roman" w:hAnsi="Times New Roman" w:eastAsia="Times New Roman" w:cs="Times New Roman"/>
        </w:rPr>
        <w:t xml:space="preserve">Сценарий 6. CDN yastatic.net: объединяющий инфраструктурный элемент</w:t>
      </w:r>
      <w:bookmarkEnd w:id="1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Открытый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 → 37.9.64.225; CSP-заголовки на ya.ru включают yastatic.net как источник статических ресурсов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Аналитический вывод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 является единой CDN для большинства сервисов Яндекса, объединяя статический контент across всех продуктов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Сценарий риска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Поскольку CDN обслуживает множество сервисов из единого IP-пула, атакую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щий, обнаруживший CDN, может: (1) использовать CDN-кэш для получения ресурсов, которые должны быть персонализированы; (2) через CDN-заголовки определить структуру зависимостей сервисов; (3) целенаправленно атаковать CDN как точку пересечения всех контуров.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Уверенность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DNS A + CSP подтверждают; прямое подтверждение CDN-инфраструктуры не проводилось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**Повторяемость признаков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единая CDN характерна для крупных SaaS-платформ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**Приоритет обработки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архитектура CDN является стандартной отраслевой практикой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" w:name="X5cbad5e619052a366680d1f810003dff1fd74e4"/>
      <w:r>
        <w:rPr>
          <w:rFonts w:ascii="Times New Roman" w:hAnsi="Times New Roman" w:eastAsia="Times New Roman" w:cs="Times New Roman"/>
        </w:rPr>
        <w:t xml:space="preserve">Сценарий 7. Визуальные и событийные следы: скриншоты и презентации</w:t>
      </w:r>
      <w:bookmarkEnd w:id="1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Открытый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tech.yandex.ru, press.yandex.ru, Habr — скриншоты интерфейсов, презентаций, фотографий с мероприятий (Яндекс.Субботник); press.yandex.ru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Аналитический вывод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Визуальный контент и событийные публикации содержат служебную информацию: внутренние интерфейсы, URL, служебные заголовки, внутренние IP-адреса, имена сотрудников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Сценарий риска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Скриншоты и презентации могут содержать: (1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 незакрытые панели администратора; (2) внутренние URL с непубличными эндпоинтами; (3) имена и роли сотрудников, которые могут быть использованы для целенаправленного фишинга; (4) логотипы и дизайн, которые могут быть использованы для подделки интерфейсов.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Уверенность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наблюдаемый через публичные публикации; не проверялся прямой анализ каждого скриншота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**Повторяемость признаков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типично для технологических компаний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**Приоритет обработки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требует правил согласования визуального контента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" w:name="X2af5052b955b89322be9bd2d4a9652f79e31e2c"/>
      <w:r>
        <w:rPr>
          <w:rFonts w:ascii="Times New Roman" w:hAnsi="Times New Roman" w:eastAsia="Times New Roman" w:cs="Times New Roman"/>
        </w:rPr>
        <w:t xml:space="preserve">5. Матрица защитных мер</w:t>
      </w:r>
      <w:bookmarkEnd w:id="1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" w:name="форма-4-матрица-защитных-мер"/>
      <w:r>
        <w:rPr>
          <w:rFonts w:ascii="Times New Roman" w:hAnsi="Times New Roman" w:eastAsia="Times New Roman" w:cs="Times New Roman"/>
        </w:rPr>
        <w:t xml:space="preserve">Форма 4. Матрица защитных мер</w:t>
      </w:r>
      <w:bookmarkEnd w:id="2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Сценарий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Рекомендуемая мера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 меры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Ожидаемый эффект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Остаточный риск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С1: Вакансии → технологический стек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Пересмотреть шаблон публикации вакансий: исключить конкретные версии библиотек, внутренние кодовые названия проектов, избыточные технические детали. Использовать обобщённые формулировки (например, «современный стек» вместо «C++17, ClickHouse, YDB»).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Публикационная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Снижение точности технологической карты внешнего наблюдателя на 40–60%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 — обобщённые формулировки могут сохраняться в архивах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С2: Исторические данные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Провести аудит архивных страниц и установить корректные HTTP 410 (Gone) ответы для устаревших эндпоинтов. Запросить удаление неактуальных страниц из web.archive.org. Отделить чётко текущие домены от исторических в публичной документации.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Публикационная / организационная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Устранение цифрового шума; снижение информированности об устаревшем контуре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Низкий — некоторые архивные копии могут сохраняться у третьих лиц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С3: OSS-детализация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Редактировать публичную документацию OSS-репозиториев: удалить примеры с внутренними API-эндпоинтами, секретные конфигурации, CI/CD-паттерны, тестовые данные, внутренние зависимости. Внедрить pre-commit хуки для проверки на чувствительные паттерны.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Техническая / публикационная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Значительное снижение экспозиции внутренней архитектуры; устранение наиболее информативного источника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Низкий — при системном подходе к аудиту репозиториев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С4: Почтовая 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Внедрить DMARC с политикой p=reject; ограничить SPF-записи до минимально необходимого набора; ежегодно аудировать DNS-записи на соответствие принципам минимальной экспозиции.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Снижение риска подмены отправителей; минимизация наблюдаемости почтового контура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Низкий — DMARC с p=reject обеспечивает надёжную защиту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С5: OAuth-контур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Ограничить список разрешённых сторонних клиентов в OAuth-настройках; внедрить мониторинг аномальных авторизаций; регулярно аудировать права доступа сторонних интеграций; ограничить количество информации, возвращаемой в x-yandex-req-id.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Техническая / организационная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Снижение correlation-возможностей внешнего наблюдателя; обнаружение несанкционированных интеграций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 — OAuth архитектурно необходим, минимизировать корреляцию полностью невозможно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С6: CDN yastatic.net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Ограничить кросс-доменные CSP-заголовки; не публиковать CDN-структуру в документации; разделить CDN-пулы для критических и некритических сервисов.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Снижение наблюдаемости единого CDN-контура; ограничение correlation через 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Низкий — стандартная CDN-архитектура, риск ограничен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С7: Визуальный контент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Внедрить правило согласования визуального контента: обязательная проверка скриншотов перед публикацией; скрытие/закрытие внутренних панелей, URL, токенов, имён сотрудников; модерация презентаций.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Публикационная / организационная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Устранение визуальных утечек служебных сведений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 — полный контроль над всеми публикациями затруднён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1" w:name="X463a6b1a584b2a1a585dc3a146f5fb15d6a7abd"/>
      <w:r>
        <w:rPr>
          <w:rFonts w:ascii="Times New Roman" w:hAnsi="Times New Roman" w:eastAsia="Times New Roman" w:cs="Times New Roman"/>
        </w:rPr>
        <w:t xml:space="preserve">6. Визуализация: цепочка цифровой экспозиции</w:t>
      </w:r>
      <w:bookmarkEnd w:id="2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" w:name="Xb5169d4adf960d0d7927e2c9f4889aa614287fa"/>
      <w:r>
        <w:rPr>
          <w:rFonts w:ascii="Times New Roman" w:hAnsi="Times New Roman" w:eastAsia="Times New Roman" w:cs="Times New Roman"/>
        </w:rPr>
        <w:t xml:space="preserve">Форма 5. Визуализация — схема экспозиции → сценарии → меры</w:t>
      </w:r>
      <w:bookmarkEnd w:id="2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3166164"/>
                <wp:effectExtent l="0" t="0" r="0" b="0"/>
                <wp:docPr id="2" name="Picture" descr="Схем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" descr="/sessions/happy-magical-gauss/mnt/outputs/diagrams/prac8_defensive_categorie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00" cy="31661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249.3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" w:name="форма-6-сводная-таблица-приоритетов"/>
      <w:r>
        <w:rPr>
          <w:rFonts w:ascii="Times New Roman" w:hAnsi="Times New Roman" w:eastAsia="Times New Roman" w:cs="Times New Roman"/>
        </w:rPr>
        <w:t xml:space="preserve">Форма 6. Сводная таблица приоритетов</w:t>
      </w:r>
      <w:bookmarkEnd w:id="2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Сценарии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С3 (OSS-детализация)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Аудит OSS, pre-commit хуки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С1 (вакансии → стек)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Пересмотр шаблона вакансий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С2, С4, С5, С7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Аудит архивов, DMARC, OAuth-monitoring, visual review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С6 (CDN)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 segmentation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" w:name="Xc75446409ac4acc428977c314236b22429524bb"/>
      <w:r>
        <w:rPr>
          <w:rFonts w:ascii="Times New Roman" w:hAnsi="Times New Roman" w:eastAsia="Times New Roman" w:cs="Times New Roman"/>
        </w:rPr>
        <w:t xml:space="preserve">7. Итоговый вывод</w:t>
      </w:r>
      <w:bookmarkEnd w:id="2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" w:name="X5bc513b25149ecf6798595b78ffa7490cd859d3"/>
      <w:r>
        <w:rPr>
          <w:rFonts w:ascii="Times New Roman" w:hAnsi="Times New Roman" w:eastAsia="Times New Roman" w:cs="Times New Roman"/>
        </w:rPr>
        <w:t xml:space="preserve">7.1. Подтверждённые наблюдения</w:t>
      </w:r>
      <w:bookmarkEnd w:id="2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Цифровая экспозиция Яндекса высока и многомерна.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9 категорий открытых следов (доменные, документационные, кадровые, исторические, публикационные, контактные, сервисные, событийные, визуальные) совместно формируют точную карту технологического ландшафта организации.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Наиболее значимый источник экспозиции — OSS-экосистема.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github.com/yandex (65K+ звёзд) и</w:t>
      </w:r>
      <w:r>
        <w:rPr>
          <w:rFonts w:ascii="Times New Roman" w:hAnsi="Times New Roman" w:eastAsia="Times New Roman" w:cs="Times New Roman"/>
        </w:rPr>
        <w:t xml:space="preserve"> сопутствующая документация (ydb.tech, ytsaurus.tech, diplodoc.tech) содержат наибольшую детализацию внутренней архитектуры, API и CI/CD-паттернов. Это подтверждается прямым доступом к публичным documentation-ресурсам (HTTP 200, полный контент). Приоритет: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высокий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Вакансии на hh.ru раскрывают актуальный технологический стек.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600+ developer, 150+ ML позиций с конкретными требованиями (C++, Python, Java, Kubernetes, ClickHouse, YDB) позволяют восстановить текущий и планируемый технологический ландшафт. Приоритет: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высокий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Исторические следы создают значительный цифровой шум.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dzen.yandex.net в web.archive.org, career.yandex.ru (HTTP 404), устаревшие OAuth-эндпоинты — все они сохраняют сведения об устаревшем контуре, повышая информированность внешнего наблюдателя. Приоритет: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средний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OAuth и почтовая инфраструктура — стандартизированные риски.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Единый OAuth-контур и полная документация почтовой инфраструктуры (MX, SPF, DKIM) — это ожидаемая экспозиция для SaaS-платформы, но они увеличивают риски correlation и фишинга. Приоритет: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средний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" w:name="Xd29a04b7702bd6614c029217b25c259f3abea17"/>
      <w:r>
        <w:rPr>
          <w:rFonts w:ascii="Times New Roman" w:hAnsi="Times New Roman" w:eastAsia="Times New Roman" w:cs="Times New Roman"/>
        </w:rPr>
        <w:t xml:space="preserve">7.2. Вероятные сценарии</w:t>
      </w:r>
      <w:bookmarkEnd w:id="2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CDN yastatic.net как объединяющий элемент.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CDN обслуживает большинство сервисов Яндекса из единого IP-пула (37.9.64.225), что позволяет коррелировать пользовательские сессии across сервисов. Подтверждено DNS A + CSP (косвенно).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Визуальный контент как канал утечки.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Скриншоты в tech.yandex.ru, press.yandex.ru, Habr потенциально содержат служебные URL, токены, внутренние IP-адреса и имена сотрудников. Требуется аудит.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" w:name="X765feacba49de76532e35586c1fc535562122f0"/>
      <w:r>
        <w:rPr>
          <w:rFonts w:ascii="Times New Roman" w:hAnsi="Times New Roman" w:eastAsia="Times New Roman" w:cs="Times New Roman"/>
        </w:rPr>
        <w:t xml:space="preserve">7.3. Главный аналитический результат</w:t>
      </w:r>
      <w:bookmarkEnd w:id="2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Цифровая экспозиция Яндекса — не отдельная утечка, 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системное свойство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масштабной технологической экосистемы. Наибольший потенциал снижения экспозиции лежит в области: (1) аудита OSS-репозиториев (высокий приоритет), (2) обобщения вакансий (высокий приоритет), (3) аудита исторических данных (средний приоритет).</w:t>
      </w:r>
      <w:r>
        <w:rPr>
          <w:rFonts w:ascii="Times New Roman" w:hAnsi="Times New Roman" w:eastAsia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" w:name="Xc9c81c87bc32b20436bc7ee93da25af84c273a1"/>
      <w:r>
        <w:rPr>
          <w:rFonts w:ascii="Times New Roman" w:hAnsi="Times New Roman" w:eastAsia="Times New Roman" w:cs="Times New Roman"/>
        </w:rPr>
        <w:t xml:space="preserve">8. Ограничения исследования</w:t>
      </w:r>
      <w:bookmarkEnd w:id="2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" w:name="форма-7-таблица-ограничений-исследования"/>
      <w:r>
        <w:rPr>
          <w:rFonts w:ascii="Times New Roman" w:hAnsi="Times New Roman" w:eastAsia="Times New Roman" w:cs="Times New Roman"/>
        </w:rPr>
        <w:t xml:space="preserve">Форма 7. Таблица ограничений исследования</w:t>
      </w:r>
      <w:bookmarkEnd w:id="2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Ограничение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Как влияет на вывод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Как компенсировалось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Использовались только открытые источники (пассивный анализ)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Экспозиция оценена только по наблюдаемым данным; внутренние механизмы защиты не оценивались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Указан уровень уверенности для каждого сценария; категоричные выводы избегаются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Часть сведений историческая (web.archive.org, устаревшие страницы)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Неясно, насколько исторические артефакты актуальны для текущего контура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следы выделены в отдельную категорию с маркировкой «исторический»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Некоторые связи подтверждены косвенно (DNS-паттерн, CSP)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Корреляция по CDN и почтовым индикаторам может быть неточной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Уровень уверенности снижен до «Среднего» для косвенных связей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Активная проверка не проводилась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Реальная уязвимость наблюдаемых экспозиционных следов не подтверждена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Сценарии сформулированы как гипотетические; не содержат инструкций воздействия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Выборка артефактов из практик 1–7 (период 2020–2026)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Ранние данные (до 2020) могут не отражать полную картину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Период явно указан; признана невозможность охвата всех исторических данных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 анализована экспозиция мобильных приложений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Мобильные SDK могут раскрывать дополнительные сведения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Ограничение явно указано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0" w:name="Xb072820e79bb73ef6d7525d61b2e97995dfdb76"/>
      <w:r>
        <w:rPr>
          <w:rFonts w:ascii="Times New Roman" w:hAnsi="Times New Roman" w:eastAsia="Times New Roman" w:cs="Times New Roman"/>
        </w:rPr>
        <w:t xml:space="preserve">9. Контрольные вопросы для мини-защиты</w:t>
      </w:r>
      <w:bookmarkEnd w:id="3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1" w:name="X3d0a76b231753a7f30a5110c3c16bd9b3f0ae98"/>
      <w:r>
        <w:rPr>
          <w:rFonts w:ascii="Times New Roman" w:hAnsi="Times New Roman" w:eastAsia="Times New Roman" w:cs="Times New Roman"/>
        </w:rPr>
        <w:t xml:space="preserve">Вопрос 1. Что понимается под цифровой экспозицией в рамках данной работы?</w:t>
      </w:r>
      <w:bookmarkEnd w:id="3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Цифровая экспозиция — со</w:t>
      </w:r>
      <w:r>
        <w:rPr>
          <w:rFonts w:ascii="Times New Roman" w:hAnsi="Times New Roman" w:eastAsia="Times New Roman" w:cs="Times New Roman"/>
        </w:rPr>
        <w:t xml:space="preserve">вокупность открыто наблюдаемых сведений об организации (домены, документация, вакансии, архивы, публикации, HTTP-заголовки, DNS-записи, визуальный контент), которые позволяют внешнему наблюдателю составить представление о структуре сервисов, ролях, процесс</w:t>
      </w:r>
      <w:r>
        <w:rPr>
          <w:rFonts w:ascii="Times New Roman" w:hAnsi="Times New Roman" w:eastAsia="Times New Roman" w:cs="Times New Roman"/>
        </w:rPr>
        <w:t xml:space="preserve">ах, поставщиках и технологическом контексте. Сама по себе экспозиция не тождественна уязвимости — она становится аналитически значимой, когда отдельные сведения складываются в интерпретируемую картину, позволяющую формулировать обоснованные сценарии риска.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2" w:name="X547deb7c4ecc2d19f08002eee0db21d74f4be45"/>
      <w:r>
        <w:rPr>
          <w:rFonts w:ascii="Times New Roman" w:hAnsi="Times New Roman" w:eastAsia="Times New Roman" w:cs="Times New Roman"/>
        </w:rPr>
        <w:t xml:space="preserve">Вопрос 2. Чем сценарное моделирование отличается от поиска технических следов?</w:t>
      </w:r>
      <w:bookmarkEnd w:id="3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Поиск технических следов (Практики 1–2) отвечает на вопрос «что открыто?». Сценарное моделирование (Практика 8) отвечает на вопрос «что это означает для безопас</w:t>
      </w:r>
      <w:r>
        <w:rPr>
          <w:rFonts w:ascii="Times New Roman" w:hAnsi="Times New Roman" w:eastAsia="Times New Roman" w:cs="Times New Roman"/>
        </w:rPr>
        <w:t xml:space="preserve">ности и какие меры нужны?». Разница в логике: от описания артефактов (домен, DNS, заголовок) — к оценют: от описания артефактов (домен, DNS, заголовок) — к оценке: от описания артефактов (домен, DNS, заголовок) — к оценке: от описания артефактов (домен, DN</w:t>
      </w:r>
      <w:r>
        <w:rPr>
          <w:rFonts w:ascii="Times New Roman" w:hAnsi="Times New Roman" w:eastAsia="Times New Roman" w:cs="Times New Roman"/>
        </w:rPr>
        <w:t xml:space="preserve">S, заголовок) — к оценке их потенциального misuse внешним наблюдателем и формулированию защитных мер. Например: «обнаружен поддомен» (след) ≠ «этот поддомен может быть использован для correlation сессий» (сценарий) ≠ «ограничить доступ к поддомену» (мера).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3" w:name="X900edaec0c78c190d3c4f8b1c36d22158a9cd33"/>
      <w:r>
        <w:rPr>
          <w:rFonts w:ascii="Times New Roman" w:hAnsi="Times New Roman" w:eastAsia="Times New Roman" w:cs="Times New Roman"/>
        </w:rPr>
        <w:t xml:space="preserve">Вопрос 3. Почему открытый след не является автоматически уязвимостью?</w:t>
      </w:r>
      <w:bookmarkEnd w:id="3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Открытый след — это наблюдаемый артефакт (DNS-запись, публичная документация, вакансия). Уязвимость — это возможность эксплуатации. След становится значимым только в совокупности: одна вакансия не опасна, но 600+ вакансий с техническим</w:t>
      </w:r>
      <w:r>
        <w:rPr>
          <w:rFonts w:ascii="Times New Roman" w:hAnsi="Times New Roman" w:eastAsia="Times New Roman" w:cs="Times New Roman"/>
        </w:rPr>
        <w:t xml:space="preserve">и деталями формируют точную технологическую карту. Аналогично: одна DNS-запись не уязвимость, но совокупность MX, SPF, DKIM, CNAME раскрывает почтовую инфраструктуру, что повышает риск фишинга. Поэтому оценка должна быть контекстуальной, а не категоричной.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4" w:name="Xd5233fa448282605315d404aff6ab89b1d221ff"/>
      <w:r>
        <w:rPr>
          <w:rFonts w:ascii="Times New Roman" w:hAnsi="Times New Roman" w:eastAsia="Times New Roman" w:cs="Times New Roman"/>
        </w:rPr>
        <w:t xml:space="preserve">Вопрос 4. Как связать открытый артефакт с возможным сценарием риска?</w:t>
      </w:r>
      <w:bookmarkEnd w:id="3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Через сценарную цепочку: (1) открытый след — что наблюдается? (2) аналитический вывод — что это позволяет предположить? (3) сценарий </w:t>
      </w:r>
      <w:r>
        <w:rPr>
          <w:rFonts w:ascii="Times New Roman" w:hAnsi="Times New Roman" w:eastAsia="Times New Roman" w:cs="Times New Roman"/>
        </w:rPr>
        <w:t xml:space="preserve">риска — как это может быть использовано внешним наблюдателем? (4) защитная мера — что можно сделать для снижения риска? Пример: вакансия с конкретным стеком → технологическая карта → снижение стоимости подготовки атаки → обобщение формулировок в вакансиях.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5" w:name="X3f673e74c2650534df365ddf199b29259eca913"/>
      <w:r>
        <w:rPr>
          <w:rFonts w:ascii="Times New Roman" w:hAnsi="Times New Roman" w:eastAsia="Times New Roman" w:cs="Times New Roman"/>
        </w:rPr>
        <w:t xml:space="preserve">Вопрос 5. Что такое уровень уверенности в сценарном анализе?</w:t>
      </w:r>
      <w:bookmarkEnd w:id="3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Уровень уверенности — оценка того, насколько сценарий подтверждается источниками: (1) Высокий — несколько нез</w:t>
      </w:r>
      <w:r>
        <w:rPr>
          <w:rFonts w:ascii="Times New Roman" w:hAnsi="Times New Roman" w:eastAsia="Times New Roman" w:cs="Times New Roman"/>
        </w:rPr>
        <w:t xml:space="preserve">ависимых подтверждений (прямой доступ, несколько источников); (2) Средний — косвенные признаки или один сильный источник; (3) Низкий — фрагментарные данные. Уровень уверенности определяет приоритет обработки: высокий уверенный сценарий → высокий приоритет.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6" w:name="Xd969fe61ba15e264e9f8ad50d8f73df64a0d103"/>
      <w:r>
        <w:rPr>
          <w:rFonts w:ascii="Times New Roman" w:hAnsi="Times New Roman" w:eastAsia="Times New Roman" w:cs="Times New Roman"/>
        </w:rPr>
        <w:t xml:space="preserve">Вопрос 6. Почему рекомендации должны быть защитно-ориентированными?</w:t>
      </w:r>
      <w:bookmarkEnd w:id="3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Защитно-ориентированные рекомендации: (1) не раскрывают избыточные технические д</w:t>
      </w:r>
      <w:r>
        <w:rPr>
          <w:rFonts w:ascii="Times New Roman" w:hAnsi="Times New Roman" w:eastAsia="Times New Roman" w:cs="Times New Roman"/>
        </w:rPr>
        <w:t xml:space="preserve">етали; (2) не вредят бизнесу; (3) реалистичны для реализации; (4) вытекают из конкретных выводов. Категоричные рекомендации («закрыть всё») непрактичны и могут навредить. Рекомендации должны снижать экспозицию без ущерба для доступности и функциональности.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7" w:name="Xed9ca2794545967325955e97ca98b3b298e32bf"/>
      <w:r>
        <w:rPr>
          <w:rFonts w:ascii="Times New Roman" w:hAnsi="Times New Roman" w:eastAsia="Times New Roman" w:cs="Times New Roman"/>
        </w:rPr>
        <w:t xml:space="preserve">Вопрос 7. Какие формулировки недопустимы в отчёте по данной работе?</w:t>
      </w:r>
      <w:bookmarkEnd w:id="3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Недопустимы: (1) «Объект уязвим, потому что в открытом доступе есть технические сведения» — категоричное утверждение без доказательной базы; (2) «Мы точно установили внутреннюю архитектуру системы» — преувеличение возможных вывод</w:t>
      </w:r>
      <w:r>
        <w:rPr>
          <w:rFonts w:ascii="Times New Roman" w:hAnsi="Times New Roman" w:eastAsia="Times New Roman" w:cs="Times New Roman"/>
        </w:rPr>
        <w:t xml:space="preserve">ов; (3) «Нужно закрыть все найденные сервисы» — нереалистичная рекомендация; (4) Сценарии как практические инструкции нарушителя. Допустимы: «наблюдается избыточная детализация», «повышает информированность внешнего наблюдателя», «рекомендуется сократить».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8" w:name="X663e1cd5deeab8c46f11faed8c60bd347ecf64e"/>
      <w:r>
        <w:rPr>
          <w:rFonts w:ascii="Times New Roman" w:hAnsi="Times New Roman" w:eastAsia="Times New Roman" w:cs="Times New Roman"/>
        </w:rPr>
        <w:t xml:space="preserve">Вопрос 8. Как оценить остаточный риск после предложенной меры?</w:t>
      </w:r>
      <w:bookmarkEnd w:id="3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Остаточный риск — это уровень экспозиции, который сохранится после реализации меры. Оценивается вопросом: «Что всё ещё сможет узнать внешний наблюдатель?». Напри</w:t>
      </w:r>
      <w:r>
        <w:rPr>
          <w:rFonts w:ascii="Times New Roman" w:hAnsi="Times New Roman" w:eastAsia="Times New Roman" w:cs="Times New Roman"/>
        </w:rPr>
        <w:t xml:space="preserve">мер: аудит вакансий снизит экспозицию стека, но вакансии могут сохраняться в архивах (остаточный риск средний). Аудит OSS-репозиториев с pre-commit хуками снизит экспозицию до низкого уровня, но некоторые репозитории могут быть скопированы третьими лицами.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9" w:name="X21cf675ca2bc0b79620244dfb260fbe97169089"/>
      <w:r>
        <w:rPr>
          <w:rFonts w:ascii="Times New Roman" w:hAnsi="Times New Roman" w:eastAsia="Times New Roman" w:cs="Times New Roman"/>
        </w:rPr>
        <w:t xml:space="preserve">Вопрос 9. Почему исторические сведения могут создавать цифровой шум?</w:t>
      </w:r>
      <w:bookmarkEnd w:id="3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Исторические сведения (архивные страницы, устаревшие DNS-записи, закрытые эндпоинты) часто сохраняют информативные данные об архитектуре и процессах, которые уже не актуальны. Но для внешнего наблюдателя он</w:t>
      </w:r>
      <w:r>
        <w:rPr>
          <w:rFonts w:ascii="Times New Roman" w:hAnsi="Times New Roman" w:eastAsia="Times New Roman" w:cs="Times New Roman"/>
        </w:rPr>
        <w:t xml:space="preserve">и создают впечатление, что эти сервисы всё ещё функционируют, и могут быть использованы для реконструкции прошлых конфигураций безопасности (старые SPF, DKIM, CNAME). Особенно опасно, когда исторические данные смешиваются с текущими без чёткого разделения.</w:t>
      </w:r>
      <w:r>
        <w:rPr>
          <w:rFonts w:ascii="Times New Roman" w:hAnsi="Times New Roman" w:eastAsia="Times New Roman" w:cs="Times New Roman"/>
        </w:rPr>
      </w:r>
    </w:p>
    <w:p>
      <w:pPr>
        <w:pStyle w:val="71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0" w:name="X6de112249aaab267d3d28a802f32fa503d9af16"/>
      <w:r>
        <w:rPr>
          <w:rFonts w:ascii="Times New Roman" w:hAnsi="Times New Roman" w:eastAsia="Times New Roman" w:cs="Times New Roman"/>
        </w:rPr>
        <w:t xml:space="preserve">Вопрос 10. Как отличить управленческую рекомендацию от технической гипотезы?</w:t>
      </w:r>
      <w:bookmarkEnd w:id="4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Управленческая рекомендация конкретна, измерима и реализуема организацией: «ввести аудит вакансий ежеква</w:t>
      </w:r>
      <w:r>
        <w:rPr>
          <w:rFonts w:ascii="Times New Roman" w:hAnsi="Times New Roman" w:eastAsia="Times New Roman" w:cs="Times New Roman"/>
        </w:rPr>
        <w:t xml:space="preserve">ртально», «внедрить pre-commit хуки», «составить DMARC p=reject». Техническая гипотеза — это предположение о механизме: «возможно, CDN-кэш можно использовать для получения персонализированных данных». Рекомендации — что делать; гипотезы — что предположить.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6"/>
      <w:pBdr/>
      <w:spacing/>
      <w:ind/>
      <w:jc w:val="center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391B621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3"/>
    <w:next w:val="703"/>
    <w:uiPriority w:val="39"/>
    <w:unhideWhenUsed/>
    <w:pPr>
      <w:pBdr/>
      <w:spacing w:after="100"/>
      <w:ind/>
    </w:pPr>
  </w:style>
  <w:style w:type="paragraph" w:styleId="190">
    <w:name w:val="toc 2"/>
    <w:basedOn w:val="703"/>
    <w:next w:val="703"/>
    <w:uiPriority w:val="39"/>
    <w:unhideWhenUsed/>
    <w:pPr>
      <w:pBdr/>
      <w:spacing w:after="100"/>
      <w:ind w:left="220"/>
    </w:pPr>
  </w:style>
  <w:style w:type="paragraph" w:styleId="191">
    <w:name w:val="toc 3"/>
    <w:basedOn w:val="703"/>
    <w:next w:val="703"/>
    <w:uiPriority w:val="39"/>
    <w:unhideWhenUsed/>
    <w:pPr>
      <w:pBdr/>
      <w:spacing w:after="100"/>
      <w:ind w:left="440"/>
    </w:pPr>
  </w:style>
  <w:style w:type="paragraph" w:styleId="192">
    <w:name w:val="toc 4"/>
    <w:basedOn w:val="703"/>
    <w:next w:val="703"/>
    <w:uiPriority w:val="39"/>
    <w:unhideWhenUsed/>
    <w:pPr>
      <w:pBdr/>
      <w:spacing w:after="100"/>
      <w:ind w:left="660"/>
    </w:pPr>
  </w:style>
  <w:style w:type="paragraph" w:styleId="193">
    <w:name w:val="toc 5"/>
    <w:basedOn w:val="703"/>
    <w:next w:val="703"/>
    <w:uiPriority w:val="39"/>
    <w:unhideWhenUsed/>
    <w:pPr>
      <w:pBdr/>
      <w:spacing w:after="100"/>
      <w:ind w:left="880"/>
    </w:pPr>
  </w:style>
  <w:style w:type="paragraph" w:styleId="194">
    <w:name w:val="toc 6"/>
    <w:basedOn w:val="703"/>
    <w:next w:val="703"/>
    <w:uiPriority w:val="39"/>
    <w:unhideWhenUsed/>
    <w:pPr>
      <w:pBdr/>
      <w:spacing w:after="100"/>
      <w:ind w:left="1100"/>
    </w:pPr>
  </w:style>
  <w:style w:type="paragraph" w:styleId="195">
    <w:name w:val="toc 7"/>
    <w:basedOn w:val="703"/>
    <w:next w:val="703"/>
    <w:uiPriority w:val="39"/>
    <w:unhideWhenUsed/>
    <w:pPr>
      <w:pBdr/>
      <w:spacing w:after="100"/>
      <w:ind w:left="1320"/>
    </w:pPr>
  </w:style>
  <w:style w:type="paragraph" w:styleId="196">
    <w:name w:val="toc 8"/>
    <w:basedOn w:val="703"/>
    <w:next w:val="703"/>
    <w:uiPriority w:val="39"/>
    <w:unhideWhenUsed/>
    <w:pPr>
      <w:pBdr/>
      <w:spacing w:after="100"/>
      <w:ind w:left="1540"/>
    </w:pPr>
  </w:style>
  <w:style w:type="paragraph" w:styleId="197">
    <w:name w:val="toc 9"/>
    <w:basedOn w:val="703"/>
    <w:next w:val="70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3"/>
    <w:next w:val="703"/>
    <w:uiPriority w:val="99"/>
    <w:unhideWhenUsed/>
    <w:pPr>
      <w:pBdr/>
      <w:spacing w:after="0" w:afterAutospacing="0"/>
      <w:ind/>
    </w:pPr>
  </w:style>
  <w:style w:type="paragraph" w:styleId="703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704">
    <w:name w:val="Header"/>
    <w:basedOn w:val="703"/>
    <w:link w:val="70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5" w:customStyle="1">
    <w:name w:val="Header Char"/>
    <w:basedOn w:val="717"/>
    <w:link w:val="704"/>
    <w:uiPriority w:val="99"/>
    <w:pPr>
      <w:pBdr/>
      <w:spacing/>
      <w:ind/>
    </w:pPr>
  </w:style>
  <w:style w:type="paragraph" w:styleId="706">
    <w:name w:val="Footer"/>
    <w:basedOn w:val="703"/>
    <w:link w:val="70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7" w:customStyle="1">
    <w:name w:val="Footer Char"/>
    <w:basedOn w:val="717"/>
    <w:link w:val="706"/>
    <w:uiPriority w:val="99"/>
    <w:pPr>
      <w:pBdr/>
      <w:spacing/>
      <w:ind/>
    </w:pPr>
  </w:style>
  <w:style w:type="paragraph" w:styleId="708">
    <w:name w:val="Heading 1"/>
    <w:basedOn w:val="703"/>
    <w:next w:val="703"/>
    <w:link w:val="721"/>
    <w:uiPriority w:val="9"/>
    <w:qFormat/>
    <w:pPr>
      <w:keepNext w:val="true"/>
      <w:keepLines w:val="true"/>
      <w:pBdr/>
      <w:spacing w:after="120" w:before="240" w:line="360" w:lineRule="auto"/>
      <w:ind w:firstLine="0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09">
    <w:name w:val="Heading 2"/>
    <w:basedOn w:val="703"/>
    <w:next w:val="703"/>
    <w:link w:val="722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710">
    <w:name w:val="Heading 3"/>
    <w:basedOn w:val="703"/>
    <w:next w:val="703"/>
    <w:link w:val="723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711">
    <w:name w:val="Heading 4"/>
    <w:basedOn w:val="703"/>
    <w:next w:val="703"/>
    <w:link w:val="751"/>
    <w:uiPriority w:val="9"/>
    <w:semiHidden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3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i/>
      <w:iCs/>
      <w:color w:val="000000"/>
      <w:sz w:val="28"/>
    </w:rPr>
  </w:style>
  <w:style w:type="paragraph" w:styleId="712">
    <w:name w:val="Heading 5"/>
    <w:basedOn w:val="703"/>
    <w:next w:val="703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3">
    <w:name w:val="Heading 6"/>
    <w:basedOn w:val="703"/>
    <w:next w:val="703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4">
    <w:name w:val="Heading 7"/>
    <w:basedOn w:val="703"/>
    <w:next w:val="703"/>
    <w:link w:val="7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5">
    <w:name w:val="Heading 8"/>
    <w:basedOn w:val="703"/>
    <w:next w:val="703"/>
    <w:link w:val="7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6">
    <w:name w:val="Heading 9"/>
    <w:basedOn w:val="703"/>
    <w:next w:val="703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7" w:default="1">
    <w:name w:val="Default Paragraph Font"/>
    <w:uiPriority w:val="1"/>
    <w:semiHidden/>
    <w:unhideWhenUsed/>
    <w:pPr>
      <w:pBdr/>
      <w:spacing/>
      <w:ind/>
    </w:pPr>
  </w:style>
  <w:style w:type="table" w:styleId="7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9" w:default="1">
    <w:name w:val="No List"/>
    <w:uiPriority w:val="99"/>
    <w:semiHidden/>
    <w:unhideWhenUsed/>
    <w:pPr>
      <w:pBdr/>
      <w:spacing/>
      <w:ind/>
    </w:pPr>
  </w:style>
  <w:style w:type="paragraph" w:styleId="720">
    <w:name w:val="No Spacing"/>
    <w:uiPriority w:val="1"/>
    <w:qFormat/>
    <w:pPr>
      <w:pBdr/>
      <w:spacing w:after="0" w:line="240" w:lineRule="auto"/>
      <w:ind/>
    </w:pPr>
  </w:style>
  <w:style w:type="character" w:styleId="721" w:customStyle="1">
    <w:name w:val="Heading 1 Char"/>
    <w:basedOn w:val="717"/>
    <w:link w:val="70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2" w:customStyle="1">
    <w:name w:val="Heading 2 Char"/>
    <w:basedOn w:val="717"/>
    <w:link w:val="70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3" w:customStyle="1">
    <w:name w:val="Heading 3 Char"/>
    <w:basedOn w:val="717"/>
    <w:link w:val="71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4">
    <w:name w:val="Title"/>
    <w:basedOn w:val="703"/>
    <w:next w:val="703"/>
    <w:link w:val="725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5" w:customStyle="1">
    <w:name w:val="Title Char"/>
    <w:basedOn w:val="717"/>
    <w:link w:val="724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6">
    <w:name w:val="Subtitle"/>
    <w:basedOn w:val="703"/>
    <w:next w:val="703"/>
    <w:link w:val="727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7" w:customStyle="1">
    <w:name w:val="Subtitle Char"/>
    <w:basedOn w:val="717"/>
    <w:link w:val="726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8">
    <w:name w:val="List Paragraph"/>
    <w:basedOn w:val="703"/>
    <w:uiPriority w:val="34"/>
    <w:qFormat/>
    <w:pPr>
      <w:pBdr/>
      <w:spacing/>
      <w:ind w:left="720"/>
      <w:contextualSpacing w:val="true"/>
    </w:pPr>
  </w:style>
  <w:style w:type="paragraph" w:styleId="729">
    <w:name w:val="Body Text"/>
    <w:basedOn w:val="703"/>
    <w:link w:val="730"/>
    <w:uiPriority w:val="99"/>
    <w:unhideWhenUsed/>
    <w:pPr>
      <w:pBdr/>
      <w:spacing w:after="120"/>
      <w:ind/>
    </w:pPr>
  </w:style>
  <w:style w:type="character" w:styleId="730" w:customStyle="1">
    <w:name w:val="Body Text Char"/>
    <w:basedOn w:val="717"/>
    <w:link w:val="729"/>
    <w:uiPriority w:val="99"/>
    <w:pPr>
      <w:pBdr/>
      <w:spacing/>
      <w:ind/>
    </w:pPr>
  </w:style>
  <w:style w:type="paragraph" w:styleId="731">
    <w:name w:val="Body Text 2"/>
    <w:basedOn w:val="703"/>
    <w:link w:val="732"/>
    <w:uiPriority w:val="99"/>
    <w:unhideWhenUsed/>
    <w:pPr>
      <w:pBdr/>
      <w:spacing w:after="120" w:line="480" w:lineRule="auto"/>
      <w:ind/>
    </w:pPr>
  </w:style>
  <w:style w:type="character" w:styleId="732" w:customStyle="1">
    <w:name w:val="Body Text 2 Char"/>
    <w:basedOn w:val="717"/>
    <w:link w:val="731"/>
    <w:uiPriority w:val="99"/>
    <w:pPr>
      <w:pBdr/>
      <w:spacing/>
      <w:ind/>
    </w:pPr>
  </w:style>
  <w:style w:type="paragraph" w:styleId="733">
    <w:name w:val="Body Text 3"/>
    <w:basedOn w:val="703"/>
    <w:link w:val="734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4" w:customStyle="1">
    <w:name w:val="Body Text 3 Char"/>
    <w:basedOn w:val="717"/>
    <w:link w:val="733"/>
    <w:uiPriority w:val="99"/>
    <w:pPr>
      <w:pBdr/>
      <w:spacing/>
      <w:ind/>
    </w:pPr>
    <w:rPr>
      <w:sz w:val="16"/>
      <w:szCs w:val="16"/>
    </w:rPr>
  </w:style>
  <w:style w:type="paragraph" w:styleId="735">
    <w:name w:val="List"/>
    <w:basedOn w:val="703"/>
    <w:uiPriority w:val="99"/>
    <w:unhideWhenUsed/>
    <w:pPr>
      <w:pBdr/>
      <w:spacing/>
      <w:ind w:hanging="360" w:left="360"/>
      <w:contextualSpacing w:val="true"/>
    </w:pPr>
  </w:style>
  <w:style w:type="paragraph" w:styleId="736">
    <w:name w:val="List 2"/>
    <w:basedOn w:val="703"/>
    <w:uiPriority w:val="99"/>
    <w:unhideWhenUsed/>
    <w:pPr>
      <w:pBdr/>
      <w:spacing/>
      <w:ind w:hanging="360" w:left="720"/>
      <w:contextualSpacing w:val="true"/>
    </w:pPr>
  </w:style>
  <w:style w:type="paragraph" w:styleId="737">
    <w:name w:val="List 3"/>
    <w:basedOn w:val="703"/>
    <w:uiPriority w:val="99"/>
    <w:unhideWhenUsed/>
    <w:pPr>
      <w:pBdr/>
      <w:spacing/>
      <w:ind w:hanging="360" w:left="1080"/>
      <w:contextualSpacing w:val="true"/>
    </w:pPr>
  </w:style>
  <w:style w:type="paragraph" w:styleId="738">
    <w:name w:val="List Bullet"/>
    <w:basedOn w:val="703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9">
    <w:name w:val="List Bullet 2"/>
    <w:basedOn w:val="703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0">
    <w:name w:val="List Bullet 3"/>
    <w:basedOn w:val="703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1">
    <w:name w:val="List Number"/>
    <w:basedOn w:val="703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2">
    <w:name w:val="List Number 2"/>
    <w:basedOn w:val="703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3">
    <w:name w:val="List Number 3"/>
    <w:basedOn w:val="703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4">
    <w:name w:val="List Continue"/>
    <w:basedOn w:val="703"/>
    <w:uiPriority w:val="99"/>
    <w:unhideWhenUsed/>
    <w:pPr>
      <w:pBdr/>
      <w:spacing w:after="120"/>
      <w:ind w:left="360"/>
      <w:contextualSpacing w:val="true"/>
    </w:pPr>
  </w:style>
  <w:style w:type="paragraph" w:styleId="745">
    <w:name w:val="List Continue 2"/>
    <w:basedOn w:val="703"/>
    <w:uiPriority w:val="99"/>
    <w:unhideWhenUsed/>
    <w:pPr>
      <w:pBdr/>
      <w:spacing w:after="120"/>
      <w:ind w:left="720"/>
      <w:contextualSpacing w:val="true"/>
    </w:pPr>
  </w:style>
  <w:style w:type="paragraph" w:styleId="746">
    <w:name w:val="List Continue 3"/>
    <w:basedOn w:val="703"/>
    <w:uiPriority w:val="99"/>
    <w:unhideWhenUsed/>
    <w:pPr>
      <w:pBdr/>
      <w:spacing w:after="120"/>
      <w:ind w:left="1080"/>
      <w:contextualSpacing w:val="true"/>
    </w:pPr>
  </w:style>
  <w:style w:type="paragraph" w:styleId="747">
    <w:name w:val="macro"/>
    <w:link w:val="74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8" w:customStyle="1">
    <w:name w:val="Macro Text Char"/>
    <w:basedOn w:val="717"/>
    <w:link w:val="747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9">
    <w:name w:val="Quote"/>
    <w:basedOn w:val="703"/>
    <w:next w:val="703"/>
    <w:link w:val="750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0" w:customStyle="1">
    <w:name w:val="Quote Char"/>
    <w:basedOn w:val="717"/>
    <w:link w:val="749"/>
    <w:uiPriority w:val="29"/>
    <w:pPr>
      <w:pBdr/>
      <w:spacing/>
      <w:ind/>
    </w:pPr>
    <w:rPr>
      <w:i/>
      <w:iCs/>
      <w:color w:val="000000" w:themeColor="text1"/>
    </w:rPr>
  </w:style>
  <w:style w:type="character" w:styleId="751" w:customStyle="1">
    <w:name w:val="Heading 4 Char"/>
    <w:basedOn w:val="717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2" w:customStyle="1">
    <w:name w:val="Heading 5 Char"/>
    <w:basedOn w:val="717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3" w:customStyle="1">
    <w:name w:val="Heading 6 Char"/>
    <w:basedOn w:val="717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4" w:customStyle="1">
    <w:name w:val="Heading 7 Char"/>
    <w:basedOn w:val="717"/>
    <w:link w:val="71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5" w:customStyle="1">
    <w:name w:val="Heading 8 Char"/>
    <w:basedOn w:val="717"/>
    <w:link w:val="71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6" w:customStyle="1">
    <w:name w:val="Heading 9 Char"/>
    <w:basedOn w:val="717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7">
    <w:name w:val="Caption"/>
    <w:basedOn w:val="703"/>
    <w:next w:val="703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8">
    <w:name w:val="Strong"/>
    <w:basedOn w:val="717"/>
    <w:uiPriority w:val="22"/>
    <w:qFormat/>
    <w:pPr>
      <w:pBdr/>
      <w:spacing/>
      <w:ind/>
    </w:pPr>
    <w:rPr>
      <w:b/>
      <w:bCs/>
    </w:rPr>
  </w:style>
  <w:style w:type="character" w:styleId="759">
    <w:name w:val="Emphasis"/>
    <w:basedOn w:val="717"/>
    <w:uiPriority w:val="20"/>
    <w:qFormat/>
    <w:pPr>
      <w:pBdr/>
      <w:spacing/>
      <w:ind/>
    </w:pPr>
    <w:rPr>
      <w:i/>
      <w:iCs/>
    </w:rPr>
  </w:style>
  <w:style w:type="paragraph" w:styleId="760">
    <w:name w:val="Intense Quote"/>
    <w:basedOn w:val="703"/>
    <w:next w:val="703"/>
    <w:link w:val="761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1" w:customStyle="1">
    <w:name w:val="Intense Quote Char"/>
    <w:basedOn w:val="717"/>
    <w:link w:val="760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2">
    <w:name w:val="Subtle Emphasis"/>
    <w:basedOn w:val="71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3">
    <w:name w:val="Intense Emphasis"/>
    <w:basedOn w:val="71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4">
    <w:name w:val="Subtle Reference"/>
    <w:basedOn w:val="71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5">
    <w:name w:val="Intense Reference"/>
    <w:basedOn w:val="71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6">
    <w:name w:val="Book Title"/>
    <w:basedOn w:val="71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7">
    <w:name w:val="TOC Heading"/>
    <w:basedOn w:val="708"/>
    <w:next w:val="703"/>
    <w:uiPriority w:val="39"/>
    <w:semiHidden/>
    <w:unhideWhenUsed/>
    <w:qFormat/>
    <w:pPr>
      <w:pBdr/>
      <w:spacing/>
      <w:ind/>
      <w:outlineLvl w:val="9"/>
    </w:pPr>
  </w:style>
  <w:style w:type="table" w:styleId="768">
    <w:name w:val="Table Grid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"/>
    <w:basedOn w:val="71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1"/>
    <w:basedOn w:val="71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2"/>
    <w:basedOn w:val="71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3"/>
    <w:basedOn w:val="71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Shading Accent 4"/>
    <w:basedOn w:val="71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 Accent 5"/>
    <w:basedOn w:val="71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6"/>
    <w:basedOn w:val="71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1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2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3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List Accent 4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 Accent 5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6"/>
    <w:basedOn w:val="7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1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2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3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Grid Accent 4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 Accent 5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6"/>
    <w:basedOn w:val="7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1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2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3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1 Accent 4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 Accent 5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6"/>
    <w:basedOn w:val="7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1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2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3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2 Accent 4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 Accent 5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6"/>
    <w:basedOn w:val="7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1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2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3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1 Accent 4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 Accent 5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6"/>
    <w:basedOn w:val="7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1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2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3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2 Accent 4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 Accent 5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6"/>
    <w:basedOn w:val="7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1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2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3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1 Accent 4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 Accent 5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6"/>
    <w:basedOn w:val="7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1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2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3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2 Accent 4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 Accent 5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6"/>
    <w:basedOn w:val="7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1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2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3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3 Accent 4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 Accent 5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6"/>
    <w:basedOn w:val="7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1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2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3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Dark List Accent 4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 Accent 5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6"/>
    <w:basedOn w:val="7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1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2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3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Shading Accent 4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 Accent 5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6"/>
    <w:basedOn w:val="7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1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2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3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List Accent 4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 Accent 5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6"/>
    <w:basedOn w:val="7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1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2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3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Grid Accent 4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 Accent 5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6"/>
    <w:basedOn w:val="7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2026-05-25T12:05:15Z</dcterms:modified>
  <cp:category/>
</cp:coreProperties>
</file>