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МИНОБРНАУКИ РОССИИ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Федеральное государственное бюджетное образовательное учреждение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высшего образования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«МИРЭА — Российский технологический университет»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РТУ МИРЭА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Институт кибербезопасности и цифровых технологий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Кафедра КБ-4 «Интеллектуальные системы информационной безопасности»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12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32"/>
        </w:rPr>
        <w:t xml:space="preserve">Практическое задание №9</w:t>
      </w:r>
      <w:r/>
    </w:p>
    <w:p>
      <w:pPr>
        <w:pBdr/>
        <w:spacing w:after="12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по дисциплине: «Методы сбора и обработки данных из открытых источников»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тема: «OSINT-мониторинг изменений цифровой экспозиции»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Выполнил: студент группы ББМО-01-25</w:t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Мухаметшин Александр Ринатович</w:t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Проверил: ____________________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Москва,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" w:name="X7f0cfeed408a49389b0810323bd741901e19703"/>
      <w:r>
        <w:rPr>
          <w:rFonts w:ascii="Times New Roman" w:hAnsi="Times New Roman" w:eastAsia="Times New Roman" w:cs="Times New Roman"/>
        </w:rPr>
        <w:t xml:space="preserve">1. Паспорт мониторинга</w:t>
      </w:r>
      <w:bookmarkEnd w:id="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" w:name="форма-1-паспорт-мониторинга"/>
      <w:r>
        <w:rPr>
          <w:rFonts w:ascii="Times New Roman" w:hAnsi="Times New Roman" w:eastAsia="Times New Roman" w:cs="Times New Roman"/>
        </w:rPr>
        <w:t xml:space="preserve">Форма 1. Паспорт мониторинга</w:t>
      </w:r>
      <w:bookmarkEnd w:id="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Объект мониторинга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 (Yandex) — SaaS-технологическая платформа / экосистема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Отрасль / тип объекта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Технологическая платформа, SaaS-сервис, интернет-экосистема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Цель мониторинга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Спроектировать учебную модель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регулярного OSINT-мониторинга изменений цифровой экспозиции Яндекса: зафиксировать базовую линию, разработать каталог индикаторов, собрать журнал наблюдений, выделить значимые сигналы, оформить карточки предупреждений, сформулировать защитные рекомендации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Период наблюдения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Базовая линия — май 2026 г. (агрегация данных практик 1–8); мониторинг — отслеживание изменений от базовой линии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Исходные материалы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Дан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ные практик 1–8: WHOIS, DNS, TLS-сертификаты (crt.sh), ASN-реестры (bgp.he.net), OAuth-spec, HTTP-заголовки (CSP, NEL), публичная документация, GitHub OSS (65K+ звёзд), вакансии (hh.ru), архивные копии (web.archive.org), пресс-релизы, технологические блоги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Границы мониторинга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Включено: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домены, сервисные контуры, документация, вакансии, help-центры, технологические публикации, OSS-репозитории, архивные следы, HTTP-заголовки, TLS-сертификаты, события. /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Не включено: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активная проверка инфраструктуры, непубличные API, персональные данные, мобильные приложения.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Исходные гипотезы мониторинга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Г1: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Вакансии и технологические публикации содержат наиболее динамичную часть цифровой экспозиции — изменения появляются ежеквартально. —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Г2: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OSS-документация и developer-контур систематически расширяются, что повышает наблюдаемость внутренней архитектуры. —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Г3: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Исторические архивные следы (web.archive.org) содержат изменения, которые формально не являются текущими, но влияют на общую картину экспозиции.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0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5" w:name="X29b7c8e43e3a12a21fed662040c7f5820599f05"/>
      <w:r>
        <w:rPr>
          <w:rFonts w:ascii="Times New Roman" w:hAnsi="Times New Roman" w:eastAsia="Times New Roman" w:cs="Times New Roman"/>
        </w:rPr>
        <w:t xml:space="preserve">2. Границы наблюдения и классы источников</w:t>
      </w:r>
      <w:bookmarkEnd w:id="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6" w:name="Xf29c8e228bd9a530d474d3b9ccd4abb7b705996"/>
      <w:r>
        <w:rPr>
          <w:rFonts w:ascii="Times New Roman" w:hAnsi="Times New Roman" w:eastAsia="Times New Roman" w:cs="Times New Roman"/>
        </w:rPr>
        <w:t xml:space="preserve">Форма 2. Карта классов источников наблюдения</w:t>
      </w:r>
      <w:bookmarkEnd w:id="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Style w:val="766"/>
        <w:tblInd w:w="0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077"/>
        <w:gridCol w:w="3085"/>
        <w:gridCol w:w="2054"/>
        <w:gridCol w:w="1396"/>
        <w:gridCol w:w="1293"/>
      </w:tblGrid>
      <w:tr>
        <w:trPr/>
        <w:tc>
          <w:tcPr>
            <w:tcBorders/>
            <w:tcW w:w="2077" w:type="dxa"/>
            <w:textDirection w:val="lrTb"/>
            <w:noWrap w:val="false"/>
          </w:tcPr>
          <w:p w14:paraId="250663ED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Класс источника</w:t>
            </w:r>
            <w:r/>
          </w:p>
        </w:tc>
        <w:tc>
          <w:tcPr>
            <w:tcBorders/>
            <w:tcW w:w="3085" w:type="dxa"/>
            <w:textDirection w:val="lrTb"/>
            <w:noWrap w:val="false"/>
          </w:tcPr>
          <w:p w14:paraId="4BF475B4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Примеры URL / инструментов</w:t>
            </w:r>
            <w:r/>
          </w:p>
        </w:tc>
        <w:tc>
          <w:tcPr>
            <w:tcBorders/>
            <w:tcW w:w="2054" w:type="dxa"/>
            <w:textDirection w:val="lrTb"/>
            <w:noWrap w:val="false"/>
          </w:tcPr>
          <w:p w14:paraId="17D7B4BD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Что отслеживаем</w:t>
            </w:r>
            <w:r/>
          </w:p>
        </w:tc>
        <w:tc>
          <w:tcPr>
            <w:tcBorders/>
            <w:tcW w:w="1396" w:type="dxa"/>
            <w:textDirection w:val="lrTb"/>
            <w:noWrap w:val="false"/>
          </w:tcPr>
          <w:p w14:paraId="243E7A7F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Частота проверки</w:t>
            </w:r>
            <w:r/>
          </w:p>
        </w:tc>
        <w:tc>
          <w:tcPr>
            <w:tcBorders/>
            <w:tcW w:w="1293" w:type="dxa"/>
            <w:textDirection w:val="lrTb"/>
            <w:noWrap w:val="false"/>
          </w:tcPr>
          <w:p w14:paraId="48971348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Доверие</w:t>
            </w:r>
            <w:r/>
          </w:p>
        </w:tc>
      </w:tr>
      <w:tr>
        <w:trPr/>
        <w:tc>
          <w:tcPr>
            <w:tcBorders/>
            <w:tcW w:w="2077" w:type="dxa"/>
            <w:textDirection w:val="lrTb"/>
            <w:noWrap w:val="false"/>
          </w:tcPr>
          <w:p w14:paraId="2194AECD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Официальный сайт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/>
            <w:tcW w:w="3085" w:type="dxa"/>
            <w:textDirection w:val="lrTb"/>
            <w:noWrap w:val="false"/>
          </w:tcPr>
          <w:p w14:paraId="3B71081D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ya.ru, yandex.ru</w:t>
            </w:r>
            <w:r/>
          </w:p>
        </w:tc>
        <w:tc>
          <w:tcPr>
            <w:tcBorders/>
            <w:tcW w:w="2054" w:type="dxa"/>
            <w:textDirection w:val="lrTb"/>
            <w:noWrap w:val="false"/>
          </w:tcPr>
          <w:p w14:paraId="453AEC9C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Главная страница, навигация, скрытые разделы</w:t>
            </w:r>
            <w:r/>
          </w:p>
        </w:tc>
        <w:tc>
          <w:tcPr>
            <w:tcBorders/>
            <w:tcW w:w="1396" w:type="dxa"/>
            <w:textDirection w:val="lrTb"/>
            <w:noWrap w:val="false"/>
          </w:tcPr>
          <w:p w14:paraId="00B1670E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Еженедельно</w:t>
            </w:r>
            <w:r/>
          </w:p>
        </w:tc>
        <w:tc>
          <w:tcPr>
            <w:tcBorders/>
            <w:tcW w:w="1293" w:type="dxa"/>
            <w:textDirection w:val="lrTb"/>
            <w:noWrap w:val="false"/>
          </w:tcPr>
          <w:p w14:paraId="40BA9E8D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Высокое</w:t>
            </w:r>
            <w:r/>
          </w:p>
        </w:tc>
      </w:tr>
      <w:tr>
        <w:trPr/>
        <w:tc>
          <w:tcPr>
            <w:tcBorders/>
            <w:tcW w:w="2077" w:type="dxa"/>
            <w:textDirection w:val="lrTb"/>
            <w:noWrap w:val="false"/>
          </w:tcPr>
          <w:p w14:paraId="068C6D29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Доменная инфраструктура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/>
            <w:tcW w:w="3085" w:type="dxa"/>
            <w:textDirection w:val="lrTb"/>
            <w:noWrap w:val="false"/>
          </w:tcPr>
          <w:p w14:paraId="4D14DCE5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whois.domaintools.com, dnschecker.org, crt.sh</w:t>
            </w:r>
            <w:r/>
          </w:p>
        </w:tc>
        <w:tc>
          <w:tcPr>
            <w:tcBorders/>
            <w:tcW w:w="2054" w:type="dxa"/>
            <w:textDirection w:val="lrTb"/>
            <w:noWrap w:val="false"/>
          </w:tcPr>
          <w:p w14:paraId="4604DB51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Новые домены, DNS-записи, TLS-сертификаты</w:t>
            </w:r>
            <w:r/>
          </w:p>
        </w:tc>
        <w:tc>
          <w:tcPr>
            <w:tcBorders/>
            <w:tcW w:w="1396" w:type="dxa"/>
            <w:textDirection w:val="lrTb"/>
            <w:noWrap w:val="false"/>
          </w:tcPr>
          <w:p w14:paraId="4C19312E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Ежемесячно</w:t>
            </w:r>
            <w:r/>
          </w:p>
        </w:tc>
        <w:tc>
          <w:tcPr>
            <w:tcBorders/>
            <w:tcW w:w="1293" w:type="dxa"/>
            <w:textDirection w:val="lrTb"/>
            <w:noWrap w:val="false"/>
          </w:tcPr>
          <w:p w14:paraId="230AC855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Высокое</w:t>
            </w:r>
            <w:r/>
          </w:p>
        </w:tc>
      </w:tr>
      <w:tr>
        <w:trPr/>
        <w:tc>
          <w:tcPr>
            <w:tcBorders/>
            <w:tcW w:w="2077" w:type="dxa"/>
            <w:textDirection w:val="lrTb"/>
            <w:noWrap w:val="false"/>
          </w:tcPr>
          <w:p w14:paraId="6B79DFBE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Документация и help-центр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/>
            <w:tcW w:w="3085" w:type="dxa"/>
            <w:textDirection w:val="lrTb"/>
            <w:noWrap w:val="false"/>
          </w:tcPr>
          <w:p w14:paraId="761799A3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tech.yandex.ru, cloud.yandex.net/docs, developer.yandex.ru</w:t>
            </w:r>
            <w:r/>
          </w:p>
        </w:tc>
        <w:tc>
          <w:tcPr>
            <w:tcBorders/>
            <w:tcW w:w="2054" w:type="dxa"/>
            <w:textDirection w:val="lrTb"/>
            <w:noWrap w:val="false"/>
          </w:tcPr>
          <w:p w14:paraId="6CD36161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Новые страницы, changelog, обновления документации</w:t>
            </w:r>
            <w:r/>
          </w:p>
        </w:tc>
        <w:tc>
          <w:tcPr>
            <w:tcBorders/>
            <w:tcW w:w="1396" w:type="dxa"/>
            <w:textDirection w:val="lrTb"/>
            <w:noWrap w:val="false"/>
          </w:tcPr>
          <w:p w14:paraId="48BE1386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Ежемесячно</w:t>
            </w:r>
            <w:r/>
          </w:p>
        </w:tc>
        <w:tc>
          <w:tcPr>
            <w:tcBorders/>
            <w:tcW w:w="1293" w:type="dxa"/>
            <w:textDirection w:val="lrTb"/>
            <w:noWrap w:val="false"/>
          </w:tcPr>
          <w:p w14:paraId="01FB1BFE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Высокое</w:t>
            </w:r>
            <w:r/>
          </w:p>
        </w:tc>
      </w:tr>
      <w:tr>
        <w:trPr/>
        <w:tc>
          <w:tcPr>
            <w:tcBorders/>
            <w:tcW w:w="2077" w:type="dxa"/>
            <w:textDirection w:val="lrTb"/>
            <w:noWrap w:val="false"/>
          </w:tcPr>
          <w:p w14:paraId="767CB87C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Вакансии и карьера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/>
            <w:tcW w:w="3085" w:type="dxa"/>
            <w:textDirection w:val="lrTb"/>
            <w:noWrap w:val="false"/>
          </w:tcPr>
          <w:p w14:paraId="534D8AB2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hh.ru/employer/yandex, tech.yandex.ru/career</w:t>
            </w:r>
            <w:r/>
          </w:p>
        </w:tc>
        <w:tc>
          <w:tcPr>
            <w:tcBorders/>
            <w:tcW w:w="2054" w:type="dxa"/>
            <w:textDirection w:val="lrTb"/>
            <w:noWrap w:val="false"/>
          </w:tcPr>
          <w:p w14:paraId="651FCC63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Новые роли, изменение требований, новые подразделения</w:t>
            </w:r>
            <w:r/>
          </w:p>
        </w:tc>
        <w:tc>
          <w:tcPr>
            <w:tcBorders/>
            <w:tcW w:w="1396" w:type="dxa"/>
            <w:textDirection w:val="lrTb"/>
            <w:noWrap w:val="false"/>
          </w:tcPr>
          <w:p w14:paraId="654C8A99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Еженедельно</w:t>
            </w:r>
            <w:r/>
          </w:p>
        </w:tc>
        <w:tc>
          <w:tcPr>
            <w:tcBorders/>
            <w:tcW w:w="1293" w:type="dxa"/>
            <w:textDirection w:val="lrTb"/>
            <w:noWrap w:val="false"/>
          </w:tcPr>
          <w:p w14:paraId="58CFA756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Среднее</w:t>
            </w:r>
            <w:r/>
          </w:p>
        </w:tc>
      </w:tr>
      <w:tr>
        <w:trPr/>
        <w:tc>
          <w:tcPr>
            <w:tcBorders/>
            <w:tcW w:w="2077" w:type="dxa"/>
            <w:textDirection w:val="lrTb"/>
            <w:noWrap w:val="false"/>
          </w:tcPr>
          <w:p w14:paraId="4FD9E130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Официальные публикации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/>
            <w:tcW w:w="3085" w:type="dxa"/>
            <w:textDirection w:val="lrTb"/>
            <w:noWrap w:val="false"/>
          </w:tcPr>
          <w:p w14:paraId="3EEC88E5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tech.yandex.ru, press.yandex.ru, habr.com/ru/company/yandex</w:t>
            </w:r>
            <w:r/>
          </w:p>
        </w:tc>
        <w:tc>
          <w:tcPr>
            <w:tcBorders/>
            <w:tcW w:w="2054" w:type="dxa"/>
            <w:textDirection w:val="lrTb"/>
            <w:noWrap w:val="false"/>
          </w:tcPr>
          <w:p w14:paraId="6267273D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Новые статьи, презентации, технические блоги</w:t>
            </w:r>
            <w:r/>
          </w:p>
        </w:tc>
        <w:tc>
          <w:tcPr>
            <w:tcBorders/>
            <w:tcW w:w="1396" w:type="dxa"/>
            <w:textDirection w:val="lrTb"/>
            <w:noWrap w:val="false"/>
          </w:tcPr>
          <w:p w14:paraId="641B7203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Ежемесячно</w:t>
            </w:r>
            <w:r/>
          </w:p>
        </w:tc>
        <w:tc>
          <w:tcPr>
            <w:tcBorders/>
            <w:tcW w:w="1293" w:type="dxa"/>
            <w:textDirection w:val="lrTb"/>
            <w:noWrap w:val="false"/>
          </w:tcPr>
          <w:p w14:paraId="43A53B72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Среднее</w:t>
            </w:r>
            <w:r/>
          </w:p>
        </w:tc>
      </w:tr>
      <w:tr>
        <w:trPr/>
        <w:tc>
          <w:tcPr>
            <w:tcBorders/>
            <w:tcW w:w="2077" w:type="dxa"/>
            <w:textDirection w:val="lrTb"/>
            <w:noWrap w:val="false"/>
          </w:tcPr>
          <w:p w14:paraId="60895103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OSS-репозитории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/>
            <w:tcW w:w="3085" w:type="dxa"/>
            <w:textDirection w:val="lrTb"/>
            <w:noWrap w:val="false"/>
          </w:tcPr>
          <w:p w14:paraId="07440BF1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github.com/yandex, ydb.tech, diplodoc.tech, catboost.ai</w:t>
            </w:r>
            <w:r/>
          </w:p>
        </w:tc>
        <w:tc>
          <w:tcPr>
            <w:tcBorders/>
            <w:tcW w:w="2054" w:type="dxa"/>
            <w:textDirection w:val="lrTb"/>
            <w:noWrap w:val="false"/>
          </w:tcPr>
          <w:p w14:paraId="08208A41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Новые репозитории, обновления docs, изменения CI/CD</w:t>
            </w:r>
            <w:r/>
          </w:p>
        </w:tc>
        <w:tc>
          <w:tcPr>
            <w:tcBorders/>
            <w:tcW w:w="1396" w:type="dxa"/>
            <w:textDirection w:val="lrTb"/>
            <w:noWrap w:val="false"/>
          </w:tcPr>
          <w:p w14:paraId="0892DACC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Ежемесячно</w:t>
            </w:r>
            <w:r/>
          </w:p>
        </w:tc>
        <w:tc>
          <w:tcPr>
            <w:tcBorders/>
            <w:tcW w:w="1293" w:type="dxa"/>
            <w:textDirection w:val="lrTb"/>
            <w:noWrap w:val="false"/>
          </w:tcPr>
          <w:p w14:paraId="39525B4B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Высокое</w:t>
            </w:r>
            <w:r/>
          </w:p>
        </w:tc>
      </w:tr>
      <w:tr>
        <w:trPr/>
        <w:tc>
          <w:tcPr>
            <w:tcBorders/>
            <w:tcW w:w="2077" w:type="dxa"/>
            <w:textDirection w:val="lrTb"/>
            <w:noWrap w:val="false"/>
          </w:tcPr>
          <w:p w14:paraId="01597E50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Веб-архив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/>
            <w:tcW w:w="3085" w:type="dxa"/>
            <w:textDirection w:val="lrTb"/>
            <w:noWrap w:val="false"/>
          </w:tcPr>
          <w:p w14:paraId="11E01E6E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web.archive.org</w:t>
            </w:r>
            <w:r/>
          </w:p>
        </w:tc>
        <w:tc>
          <w:tcPr>
            <w:tcBorders/>
            <w:tcW w:w="2054" w:type="dxa"/>
            <w:textDirection w:val="lrTb"/>
            <w:noWrap w:val="false"/>
          </w:tcPr>
          <w:p w14:paraId="78789597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Новые/удалённые страницы, изменения контента</w:t>
            </w:r>
            <w:r/>
          </w:p>
        </w:tc>
        <w:tc>
          <w:tcPr>
            <w:tcBorders/>
            <w:tcW w:w="1396" w:type="dxa"/>
            <w:textDirection w:val="lrTb"/>
            <w:noWrap w:val="false"/>
          </w:tcPr>
          <w:p w14:paraId="014EEB5B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 запросу</w:t>
            </w:r>
            <w:r/>
          </w:p>
        </w:tc>
        <w:tc>
          <w:tcPr>
            <w:tcBorders/>
            <w:tcW w:w="1293" w:type="dxa"/>
            <w:textDirection w:val="lrTb"/>
            <w:noWrap w:val="false"/>
          </w:tcPr>
          <w:p w14:paraId="1493C1C3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Среднее</w:t>
            </w:r>
            <w:r/>
          </w:p>
        </w:tc>
      </w:tr>
      <w:tr>
        <w:trPr/>
        <w:tc>
          <w:tcPr>
            <w:tcBorders/>
            <w:tcW w:w="2077" w:type="dxa"/>
            <w:textDirection w:val="lrTb"/>
            <w:noWrap w:val="false"/>
          </w:tcPr>
          <w:p w14:paraId="4E4B01C3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Почтовые индикаторы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/>
            <w:tcW w:w="3085" w:type="dxa"/>
            <w:textDirection w:val="lrTb"/>
            <w:noWrap w:val="false"/>
          </w:tcPr>
          <w:p w14:paraId="166A2175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DNS TXT (SPF, DKIM, DMARC), mx.yandex.ru</w:t>
            </w:r>
            <w:r/>
          </w:p>
        </w:tc>
        <w:tc>
          <w:tcPr>
            <w:tcBorders/>
            <w:tcW w:w="2054" w:type="dxa"/>
            <w:textDirection w:val="lrTb"/>
            <w:noWrap w:val="false"/>
          </w:tcPr>
          <w:p w14:paraId="0694B00A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Изменения SPF-политик, новые DKIM-записи</w:t>
            </w:r>
            <w:r/>
          </w:p>
        </w:tc>
        <w:tc>
          <w:tcPr>
            <w:tcBorders/>
            <w:tcW w:w="1396" w:type="dxa"/>
            <w:textDirection w:val="lrTb"/>
            <w:noWrap w:val="false"/>
          </w:tcPr>
          <w:p w14:paraId="72A087F9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Ежемесячно</w:t>
            </w:r>
            <w:r/>
          </w:p>
        </w:tc>
        <w:tc>
          <w:tcPr>
            <w:tcBorders/>
            <w:tcW w:w="1293" w:type="dxa"/>
            <w:textDirection w:val="lrTb"/>
            <w:noWrap w:val="false"/>
          </w:tcPr>
          <w:p w14:paraId="5B32787B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Высокое</w:t>
            </w:r>
            <w:r/>
          </w:p>
        </w:tc>
      </w:tr>
      <w:tr>
        <w:trPr/>
        <w:tc>
          <w:tcPr>
            <w:tcBorders/>
            <w:tcW w:w="2077" w:type="dxa"/>
            <w:textDirection w:val="lrTb"/>
            <w:noWrap w:val="false"/>
          </w:tcPr>
          <w:p w14:paraId="551352C3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Пресс-релизы и события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/>
            <w:tcW w:w="3085" w:type="dxa"/>
            <w:textDirection w:val="lrTb"/>
            <w:noWrap w:val="false"/>
          </w:tcPr>
          <w:p w14:paraId="2CDDFED9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press.yandex.ru, infraevents.yandex.ru</w:t>
            </w:r>
            <w:r/>
          </w:p>
        </w:tc>
        <w:tc>
          <w:tcPr>
            <w:tcBorders/>
            <w:tcW w:w="2054" w:type="dxa"/>
            <w:textDirection w:val="lrTb"/>
            <w:noWrap w:val="false"/>
          </w:tcPr>
          <w:p w14:paraId="5DFA17E1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Новые анонсы, конференции, выделения</w:t>
            </w:r>
            <w:r/>
          </w:p>
        </w:tc>
        <w:tc>
          <w:tcPr>
            <w:tcBorders/>
            <w:tcW w:w="1396" w:type="dxa"/>
            <w:textDirection w:val="lrTb"/>
            <w:noWrap w:val="false"/>
          </w:tcPr>
          <w:p w14:paraId="4825F0B8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 запросу</w:t>
            </w:r>
            <w:r/>
          </w:p>
        </w:tc>
        <w:tc>
          <w:tcPr>
            <w:tcBorders/>
            <w:tcW w:w="1293" w:type="dxa"/>
            <w:textDirection w:val="lrTb"/>
            <w:noWrap w:val="false"/>
          </w:tcPr>
          <w:p w14:paraId="78F41A5E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Среднее</w:t>
            </w:r>
            <w:r/>
          </w:p>
        </w:tc>
      </w:tr>
      <w:tr>
        <w:trPr/>
        <w:tc>
          <w:tcPr>
            <w:tcBorders/>
            <w:tcW w:w="2077" w:type="dxa"/>
            <w:textDirection w:val="lrTb"/>
            <w:noWrap w:val="false"/>
          </w:tcPr>
          <w:p w14:paraId="195327D7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Сервисные заголовки</w:t>
            </w:r>
            <w:r/>
          </w:p>
        </w:tc>
        <w:tc>
          <w:tcPr>
            <w:tcBorders/>
            <w:tcW w:w="3085" w:type="dxa"/>
            <w:textDirection w:val="lrTb"/>
            <w:noWrap w:val="false"/>
          </w:tcPr>
          <w:p w14:paraId="20722FD2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curl / DevTools (CSP, NEL, x-yandex-req-id)</w:t>
            </w:r>
            <w:r/>
          </w:p>
        </w:tc>
        <w:tc>
          <w:tcPr>
            <w:tcBorders/>
            <w:tcW w:w="2054" w:type="dxa"/>
            <w:textDirection w:val="lrTb"/>
            <w:noWrap w:val="false"/>
          </w:tcPr>
          <w:p w14:paraId="119A6364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Новые заголовки, изменения политик</w:t>
            </w:r>
            <w:r/>
          </w:p>
        </w:tc>
        <w:tc>
          <w:tcPr>
            <w:tcBorders/>
            <w:tcW w:w="1396" w:type="dxa"/>
            <w:textDirection w:val="lrTb"/>
            <w:noWrap w:val="false"/>
          </w:tcPr>
          <w:p w14:paraId="1E968D50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 запросу</w:t>
            </w:r>
            <w:r/>
          </w:p>
        </w:tc>
        <w:tc>
          <w:tcPr>
            <w:tcBorders/>
            <w:tcW w:w="1293" w:type="dxa"/>
            <w:textDirection w:val="lrTb"/>
            <w:noWrap w:val="false"/>
          </w:tcPr>
          <w:p w14:paraId="61EEDFEA">
            <w:pPr>
              <w:pBdr/>
              <w:spacing w:after="0" w:before="0" w:line="240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Среднее</w:t>
            </w:r>
            <w:r/>
          </w:p>
        </w:tc>
      </w:tr>
    </w:tbl>
    <w:p>
      <w:pPr>
        <w:pStyle w:val="70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7" w:name="Xd0a6dcf8e374800538d9511706f318c96e5de8e"/>
      <w:r>
        <w:rPr>
          <w:rFonts w:ascii="Times New Roman" w:hAnsi="Times New Roman" w:eastAsia="Times New Roman" w:cs="Times New Roman"/>
        </w:rPr>
        <w:t xml:space="preserve">3. Базовая линия цифровой экспозиции</w:t>
      </w:r>
      <w:bookmarkEnd w:id="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8" w:name="Xb94a7049a6eb4ddccb3cb730062ba57c73764ba"/>
      <w:r>
        <w:rPr>
          <w:rFonts w:ascii="Times New Roman" w:hAnsi="Times New Roman" w:eastAsia="Times New Roman" w:cs="Times New Roman"/>
        </w:rPr>
        <w:t xml:space="preserve">Форма 3. Базовая линия цифровой экспозиции (на основе практик 1–8)</w:t>
      </w:r>
      <w:bookmarkEnd w:id="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Элемент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Состояние на момент базовой линии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Источник практики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Основной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ya.ru (HTTP 302 → yandex.ru); yandex.ru — исторический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Практика 1 (WHOIS)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Доменные контуры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6+ функциональных контуров: поиск, облако (AS200350), OAuth, CDN (yastatic.net), OSS-продукты, медиа (dzen.ru)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Практика 1, 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Облачная платформа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 + cloud.yandex.ru, ASN AS200350, CloudAPI gRPC/REST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Практика 1, 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OAuth-контур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 — OAuth 2.0 PKCE S256 (RFC 8252), единый для всех продуктов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Практика 2,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OSS-экосистема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 (65K+ звёзд); ydb.tech, ytsaurus.tech, diplodoc.tech, catboost.ai — все с документацией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Практика 4, 5, 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Технологический блог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 — 12+ категорий контента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Практика 2,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Почтовая инфраструктура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mx.yandex.ru (pri 10); SPF (redirect); DKIM; mail.yandex.ru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Практика 1, 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CDN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 (37.9.64.225) — единая CDN с CSP-интеграцией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Практика 1, 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Вакансии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hh.ru/employer/yandex — 600+ developer, 150+ ML позиции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Практика 2, 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Исторические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 (web.archive.org); career.yandex.ru (HTTP 404); устаревшие OAuth-эндпоинты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Практика 3, 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Публикации и события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infraevents.yandex.ru, press.yandex.ru, Habr, Яндекс.Субботник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Практика 4, 6, 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Внешние интеграции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google-site-verification (TXT), facebook-domain-verification (TXT)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Практика 3,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Сервисные заголовки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x-yandex-req-id (HTTP); NEL-эндпоинты dr.yandex.net, dr2.yandex.net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Практика 2,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SSL/Сертификаты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GlobalSign — основной CA; множество сертификатов через crt.sh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Практика 1, 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0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5" w:name="X7b5dd922a19eb44bb1d0b9c8ab9b673e1008bfa"/>
      <w:r>
        <w:rPr>
          <w:rFonts w:ascii="Times New Roman" w:hAnsi="Times New Roman" w:eastAsia="Times New Roman" w:cs="Times New Roman"/>
          <w:lang w:val="ru-RU"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. Фильтрация: сигнал vs шум</w:t>
      </w:r>
      <w:bookmarkEnd w:id="1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6" w:name="форма-7-фильтрация-сигнал-vs-шум"/>
      <w:r>
        <w:rPr>
          <w:rFonts w:ascii="Times New Roman" w:hAnsi="Times New Roman" w:eastAsia="Times New Roman" w:cs="Times New Roman"/>
        </w:rPr>
        <w:t xml:space="preserve">Форма</w:t>
      </w:r>
      <w:r>
        <w:rPr>
          <w:rFonts w:ascii="Times New Roman" w:hAnsi="Times New Roman" w:eastAsia="Times New Roman" w:cs="Times New Roman"/>
          <w:lang w:val="ru-RU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7. Фильтрация: сигнал vs шум</w:t>
      </w:r>
      <w:bookmarkEnd w:id="1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7" w:name="X9a307e6794604e431c2e351dd716a8fcbd523a3"/>
      <w:r>
        <w:rPr>
          <w:rFonts w:ascii="Times New Roman" w:hAnsi="Times New Roman" w:eastAsia="Times New Roman" w:cs="Times New Roman"/>
        </w:rPr>
        <w:t xml:space="preserve">Наблюдения, отнесённые к информационному шуму</w:t>
      </w:r>
      <w:bookmarkEnd w:id="1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Критерий шума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Наблюдения, отнесённые к шуму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Обоснование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Дублирующиеся публикации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OBS-15 (press.yandex.ru + Habr — одни и те же анонсы)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Публикация дублируется на разных площадках; не добавляет новой информации об экспозиции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Маркетинговые сообщения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OBS-12 (Яндекс.Субботник — ивент, не меняет цифровую экспозицию)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Событийный контент ≠ изменение инфраструктуры; относится к публичной коммуникации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Общие формулировки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OBS-13 (google-site-verification — стандартная интеграция, без изменений)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Стандартная практика для всех сайтов; не указывает на специфические изменения экспозиции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Материалы без отношения к экспозиции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OBS-10 (career.yandex.ru HTTP 404 — переезд, не новое изменение)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Переезд на hh.ru — стандартная практика HR; не меняет цифровой 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Устаревшие следы без текущего значения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OBS-09 (dzen.yandex.net — исторический, более не актуален)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Отделён от Яндекса в 2022; шум для текущего контура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0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8" w:name="X27ff2966c7c1f06effcbab6270c4abe95120e42"/>
      <w:r>
        <w:rPr>
          <w:rFonts w:ascii="Times New Roman" w:hAnsi="Times New Roman" w:eastAsia="Times New Roman" w:cs="Times New Roman"/>
        </w:rPr>
        <w:t xml:space="preserve">Наблюдения, отнесённые к значимым сигналам</w:t>
      </w:r>
      <w:bookmarkEnd w:id="1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Критерий сигнала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Наблюдения, отнесённые к сигналам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Обоснование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Связь с инфраструктурой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OBS-02 (ASN AS200350), OBS-06 (OSS-домены), OBS-14 (CDN)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Меняет карту цифрового контура; подтверждено DNS + WHOIS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Степень детализации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OBS-05 (65K+ звёзд), OBS-07 (600+ dev)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Высокая информативность для внешнего наблюдателя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Повторяемость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OBS-05, OBS-06, OBS-07 (характерно для технологических компаний)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Паттерн воспроизводим; типично для отрасли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Подтверждение несколькими источниками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OBS-05 (GitHub + tech.yandex.ru/career), OBS-06 (ydb.tech + ytsaurus.tech)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Независимое подтверждение повышает уровень уверенности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Потенциальная полезность для внешнего наблюдателя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OBS-05, OBS-06, OBS-07 (технологический стек, архитектура)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Повышает информированность о системе; значимый сигнал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0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1" w:name="Xbd3f682d864d44f7ca1ad56d875704c7177a286"/>
      <w:r>
        <w:rPr>
          <w:rFonts w:ascii="Times New Roman" w:hAnsi="Times New Roman" w:eastAsia="Times New Roman" w:cs="Times New Roman"/>
          <w:lang w:val="ru-RU"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. Карточки предупреждений</w:t>
      </w:r>
      <w:bookmarkEnd w:id="2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2" w:name="форма-9-карточка-предупреждения-1"/>
      <w:r>
        <w:rPr>
          <w:rFonts w:ascii="Times New Roman" w:hAnsi="Times New Roman" w:eastAsia="Times New Roman" w:cs="Times New Roman"/>
        </w:rPr>
        <w:t xml:space="preserve">Форма 9. Карточка предупреждения 1</w:t>
      </w:r>
      <w:bookmarkEnd w:id="2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Название сигнала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SIG-1: Расширение OSS-экосистемы — избыточная детализация архитектуры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OSS-продукты Яндекса (ydb.tech, ytsaurus.tech, diplodoc.tech) функционируют как самостоятельные контуры с собственной документацией, что расширяет наблюдаемость внутренней архитектуры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 (65K+ звёзд); ydb.tech/docs/en/; ytsaurus.tech/docs/en/; diplodoc.tech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Что изменилось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Каждый OSS-продукт получил собственный .tech-домен с полной документацией — это увеличивает цифровую экспозицию за счёт детализированной открытой информации об архитектуре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Почему это важно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OSS-документация содержит: внутренние API-эндпоинты, примеры кода, CI/CD-паттерны, тестовые конфигурации. Для внешнего наблюдателя это наиболее информативный источник о внутренней структуре организации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Уровень уверенности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подтверждён прямым доступом к documentation-ресурсам (HTTP 200, полный контент), github.com/yandex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Приоритет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наиболее информативная экспозиция из всех наблюдаемых категорий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Возможное защитное действие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Аудит OSS-репозиториев; удаление примеров с внутренними API; pre-commit хуки для проверки на чувствительные паттерны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Ограничения вывода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OSS-продукты могут быть ориентированы на публичное использование; не все документы содержат конфиденциальную информацию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3" w:name="форма-10-карточка-предупреждения-2"/>
      <w:r>
        <w:rPr>
          <w:rFonts w:ascii="Times New Roman" w:hAnsi="Times New Roman" w:eastAsia="Times New Roman" w:cs="Times New Roman"/>
        </w:rPr>
        <w:t xml:space="preserve">Форма 10. Карточка предупреждения 2</w:t>
      </w:r>
      <w:bookmarkEnd w:id="2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Название сигнала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SIG-2: Кадровая экспозиция — технологический стек через вакансии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hh.ru/employer/yandex содержит 600+ developer и 150+ ML вакансий с детализацией технологического стека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hh.ru/employer/yandex; tech.yandex.ru/career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Что изменилось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Вакансии стабильно раскрывают конкретные технологии (C++, Python, Java, Kubernetes, ClickHouse, YDB), что позволяет восстановить актуальный и планируемый технологический ландшафт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Почему это важно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Вакансии — наиболее динамичная часть цифровой экспозиции. Детализация требований позволяет внешнему наблюдателю определить: используемые платформы, создаваемые команды, планируемые проекты. Это снижает стоимость подготовки целенаправленной атаки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Уровень уверенности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HR-данные подтверждены tech.yandex.ru/career; не проверялись активными методами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Приоритет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высокодинамичный источник с высокой информативностью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Возможное защитное действие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Обобщение формулировок в вакансиях; исключение конкретных версий библиотек и кодовых названий проектов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Ограничения вывода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Вакансии ≠ текущая инфраструктура; требования могут опережать фактическое использование технологий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4" w:name="форма-11-карточка-предупреждения-3"/>
      <w:r>
        <w:rPr>
          <w:rFonts w:ascii="Times New Roman" w:hAnsi="Times New Roman" w:eastAsia="Times New Roman" w:cs="Times New Roman"/>
        </w:rPr>
        <w:t xml:space="preserve">Форма 11. Карточка предупреждения 3</w:t>
      </w:r>
      <w:bookmarkEnd w:id="2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Название сигнала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SIG-6: Исторические следы — цифровой шум из архивов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web.archive.org сохраняет исторические копии страниц Яндекса, которые повышают информированность внешнего наблюдателя об устаревшем сервисном контуре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web.archive.org; dzen.yandex.net (исторический); career.yandex.ru (HTTP 404)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Что изменилось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Исторические страницы сохраняются в архивах и могут быть использованы для реконструкции прошлых конфигураций безопасности, архитектуры сервисов и процессов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Почему это важно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Исторические данные могут включать: старые SPF/DKIM/DMARC записи, устаревшие OAuth-эндпоинты, незакрытые внутренние URL, имена сотрудников. Особенно опасно, когда исторические данные смешиваются с текущими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Уровень уверенности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web.archive.org подтверждает наличие артефактов; неясна актуальность для текущего контура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Приоритет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требует периодического аудита архивных страниц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Возможное защитное действие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Аудит архивных страниц; HTTP 410 (Gone) для устаревших эндпоинтов; запрос на удаление неактуальных страниц из archive.org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Ограничения вывода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Некоторые исторические данные могут быть релевантны для аудита compliance; полный контроль над архивами невозможен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5" w:name="форма-12-карточка-предупреждения-4"/>
      <w:r>
        <w:rPr>
          <w:rFonts w:ascii="Times New Roman" w:hAnsi="Times New Roman" w:eastAsia="Times New Roman" w:cs="Times New Roman"/>
        </w:rPr>
        <w:t xml:space="preserve">Форма 12. Карточка предупреждения 4</w:t>
      </w:r>
      <w:bookmarkEnd w:id="2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Название сигнала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SIG-4: Единый OAuth-контур — correlation рисков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OAuth-контур oauth.yandex.com является единой точкой аутентификации для всей экосистемы Яндекса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 (OAuth 2.0 PKCE S256); x-yandex-req-id (HTTP-заголовок)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Что изменилось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OAuth-контур остаётся стабильным, но каждая интеграция с OAuth повышает наблюдаемость пользовательских сессий и позволяет коррелировать действия across сервисов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Почему это важно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Единый OAuth позволяет внешнему наблюдателю: определить все сервисы, использующие OAuth; через x-yandex-req-id коррелировать действия пользователя; обнаружить паттерны авторизации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Уровень уверенности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OAuth-spec подтверждён прямым анализом спецификации; DevTools подтверждает x-yandex-req-id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Приоритет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— OAuth архитектурно оправдан, но требует мониторинга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Возможное защитное действие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Ограничение списка сторонних клиентов в OAuth-настройках; мониторинг аномальных авторизаций; ограничение информации в x-yandex-req-id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Ограничения вывода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Единый OAuth — стандартизированный паттерн для SaaS-платформ; полностью устранить correlation невозможно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0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6" w:name="X3b18394742d19db072c17bc4467b8263dc9eccb"/>
      <w:r>
        <w:rPr>
          <w:rFonts w:ascii="Times New Roman" w:hAnsi="Times New Roman" w:eastAsia="Times New Roman" w:cs="Times New Roman"/>
          <w:lang w:val="ru-RU"/>
        </w:rPr>
        <w:t xml:space="preserve">5</w:t>
      </w:r>
      <w:r>
        <w:rPr>
          <w:rFonts w:ascii="Times New Roman" w:hAnsi="Times New Roman" w:eastAsia="Times New Roman" w:cs="Times New Roman"/>
        </w:rPr>
        <w:t xml:space="preserve">. Мониторинговая сводка и визуализация</w:t>
      </w:r>
      <w:bookmarkEnd w:id="2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7" w:name="X97a8938d8287409ebad18724e8320064611cc1a"/>
      <w:r>
        <w:rPr>
          <w:rFonts w:ascii="Times New Roman" w:hAnsi="Times New Roman" w:eastAsia="Times New Roman" w:cs="Times New Roman"/>
        </w:rPr>
        <w:t xml:space="preserve">Форма 13. Распределение сигналов по категориям</w:t>
      </w:r>
      <w:bookmarkEnd w:id="2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Категория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Количество сигналов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Приоритеты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Доменные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OSS-следы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Кадровые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Сервисные следы (OAuth, CDN)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SIG-4, SIG-5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Исторические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Контактные следы (почта)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8" w:name="форма-14-распределение-по-приоритетам"/>
      <w:r>
        <w:rPr>
          <w:rFonts w:ascii="Times New Roman" w:hAnsi="Times New Roman" w:eastAsia="Times New Roman" w:cs="Times New Roman"/>
        </w:rPr>
        <w:t xml:space="preserve">Форма 14. Распределение по приоритетам</w:t>
      </w:r>
      <w:bookmarkEnd w:id="2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Приоритет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Количество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Сигналы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SIG-1 (OSS), SIG-2 (вакансии)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SIG-3 (домены), SIG-4 (OAuth), SIG-5 (CDN), SIG-6 (архивы), SIG-7 (почта)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Низкий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9" w:name="форма-15-распределение-по-источникам"/>
      <w:r>
        <w:rPr>
          <w:rFonts w:ascii="Times New Roman" w:hAnsi="Times New Roman" w:eastAsia="Times New Roman" w:cs="Times New Roman"/>
        </w:rPr>
        <w:t xml:space="preserve">Форма 15. Распределение по источникам</w:t>
      </w:r>
      <w:bookmarkEnd w:id="2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Класс источника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Количество наблюдений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Значимые сигналы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OSS-репозитории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Вакансии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Доменная инфраструктура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SIG-3, SIG-5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 / сервисные заголовки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Веб-архив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Почтовые DNS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0" w:name="X05b751bc41a68f4588e9a844e2fe4b14bce10f5"/>
      <w:r>
        <w:rPr>
          <w:rFonts w:ascii="Times New Roman" w:hAnsi="Times New Roman" w:eastAsia="Times New Roman" w:cs="Times New Roman"/>
        </w:rPr>
        <w:t xml:space="preserve">Форма 16. Распределение по уровням уверенности</w:t>
      </w:r>
      <w:bookmarkEnd w:id="3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Уровень уверенности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Количество сигналов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Сигналы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SIG-1, SIG-3, SIG-4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SIG-2, SIG-5, SIG-6, SIG-7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Низкий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1" w:name="X1ee5f2ff48fa55765010895818630a36fdc0023"/>
      <w:r>
        <w:rPr>
          <w:rFonts w:ascii="Times New Roman" w:hAnsi="Times New Roman" w:eastAsia="Times New Roman" w:cs="Times New Roman"/>
        </w:rPr>
        <w:t xml:space="preserve">Форма 17. Визуализация — схема мониторинговой модели</w:t>
      </w:r>
      <w:bookmarkEnd w:id="3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7269963"/>
                <wp:effectExtent l="0" t="0" r="0" b="0"/>
                <wp:docPr id="2" name="Picture" descr="Схема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" descr="/sessions/happy-magical-gauss/mnt/outputs/diagrams/prac9_baseline_monitoring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00000" cy="72699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5.20pt;height:572.44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0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2" w:name="X034d2b7f92ef54d0c5647774d1aef5709265d08"/>
      <w:r>
        <w:rPr>
          <w:rFonts w:ascii="Times New Roman" w:hAnsi="Times New Roman" w:eastAsia="Times New Roman" w:cs="Times New Roman"/>
          <w:lang w:val="ru-RU"/>
        </w:rPr>
        <w:t xml:space="preserve">6</w:t>
      </w:r>
      <w:r>
        <w:rPr>
          <w:rFonts w:ascii="Times New Roman" w:hAnsi="Times New Roman" w:eastAsia="Times New Roman" w:cs="Times New Roman"/>
        </w:rPr>
        <w:t xml:space="preserve">. Защитные рекомендации</w:t>
      </w:r>
      <w:bookmarkEnd w:id="3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3" w:name="форма-18-защитные-рекомендации"/>
      <w:r>
        <w:rPr>
          <w:rFonts w:ascii="Times New Roman" w:hAnsi="Times New Roman" w:eastAsia="Times New Roman" w:cs="Times New Roman"/>
        </w:rPr>
        <w:t xml:space="preserve">Форма 18. Защитные рекомендации</w:t>
      </w:r>
      <w:bookmarkEnd w:id="3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Рекомендация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Связь с сигналами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Приоритет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Провести аудит OSS-репозиториев и удалить примеры с внутренними API-эндпоинтами, секретными конфигурациями, CI/CD-паттернами. Внедрить pre-commit хуки для проверки на чувствительные паттерны.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SIG-1 (OSS)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Пересмотреть шаблон публикации вакансий: использовать обобщённые формулировки вместо конкретных версий библиотек и кодовых названий проектов.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SIG-2 (вакансии)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Провести аудит архивных страниц и установить HTTP 410 (Gone) для устаревших эндпоинтов. Запросить удаление неактуальных страниц из web.archive.org.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SIG-6 (архивы)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Ограничить список разрешённых сторонних клиентов в OAuth-настройках; внедрить мониторинг аномальных авторизаций; ограничить информацию в x-yandex-req-id.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SIG-4 (OAuth)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Разделить CDN-пулы для критических и некритических сервисов; ограничить кросс-доменные CSP-заголовки.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SIG-5 (CDN)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Низкий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Внедрить DMARC с политикой p=reject; ежегодно аудировать DNS-записи (SPF, DKIM) на соответствие принципам минимальной экспозиции.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SIG-7 (почта)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Установить регулярную (ежеквартальную) проверку открытых публикаций на наличие скриншотов с незакрытыми внутренними интерфейсами.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SIG-2 (вакансии)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0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4" w:name="X58569ed8ece4f6b71103b79b91a7dce5cc17423"/>
      <w:r>
        <w:rPr>
          <w:rFonts w:ascii="Times New Roman" w:hAnsi="Times New Roman" w:eastAsia="Times New Roman" w:cs="Times New Roman"/>
          <w:lang w:val="ru-RU"/>
        </w:rPr>
        <w:t xml:space="preserve">7</w:t>
      </w:r>
      <w:r>
        <w:rPr>
          <w:rFonts w:ascii="Times New Roman" w:hAnsi="Times New Roman" w:eastAsia="Times New Roman" w:cs="Times New Roman"/>
        </w:rPr>
        <w:t xml:space="preserve">. Ограничения исследования</w:t>
      </w:r>
      <w:bookmarkEnd w:id="3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5" w:name="X4c6815bd7b461d105a258d30d2d0c6ec725a084"/>
      <w:r>
        <w:rPr>
          <w:rFonts w:ascii="Times New Roman" w:hAnsi="Times New Roman" w:eastAsia="Times New Roman" w:cs="Times New Roman"/>
        </w:rPr>
        <w:t xml:space="preserve">Форма 19. Ограничения мониторинговой модели</w:t>
      </w:r>
      <w:bookmarkEnd w:id="3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Ограничение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Как влияет на выводы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Как компенсировалось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Мониторинг построен на агрегированных данных практик 1–8 (снимок на май 2026)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Нельзя отследить реальную динамику — изменения выведены из статического среза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Изменения формализованы как гипотетические сценарии мониторинга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Только пассивные методы OSINT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Не обнаружены непубличные изменения (внутренние сервисы, CI/CD, мониторинг)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Указан уровень уверенности; категоричные выводы избегаются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Часть данных историческая (web.archive.org, HTTP 404)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Неясно, какие артефакты актуальны для текущего контура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Исторические следы выделены в отдельную категорию (IND-09, SIG-6)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Некоторые связи подтверждены косвенно (DNS-паттерн, CSP)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Корреляция по индикаторам может быть неточной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Уровень уверенности снижен до «Среднего» для косвенных связей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Не оценивается экспозиция мобильных приложений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Мобильные SDK могут раскрывать дополнительные сведения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Ограничение явно указано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Не анализована динамика вакансий во времени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Вакансии могли измениться после сбора данных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Указан период; вакансии рассматриваются как динамичный 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0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6" w:name="Xeaf39944bcdf77e9e7da6081272e1f1174826ca"/>
      <w:r>
        <w:rPr>
          <w:rFonts w:ascii="Times New Roman" w:hAnsi="Times New Roman" w:eastAsia="Times New Roman" w:cs="Times New Roman"/>
          <w:lang w:val="ru-RU"/>
        </w:rPr>
        <w:t xml:space="preserve">8</w:t>
      </w:r>
      <w:r>
        <w:rPr>
          <w:rFonts w:ascii="Times New Roman" w:hAnsi="Times New Roman" w:eastAsia="Times New Roman" w:cs="Times New Roman"/>
        </w:rPr>
        <w:t xml:space="preserve">. Контрольные вопросы для мини-защиты</w:t>
      </w:r>
      <w:bookmarkEnd w:id="3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7" w:name="X8aeb5790a6728ba687607cc535066631f2487f1"/>
      <w:r>
        <w:rPr>
          <w:rFonts w:ascii="Times New Roman" w:hAnsi="Times New Roman" w:eastAsia="Times New Roman" w:cs="Times New Roman"/>
        </w:rPr>
        <w:t xml:space="preserve">Вопрос 1: Что в вашей работе является базовой линией?</w:t>
      </w:r>
      <w:bookmarkEnd w:id="3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Базовая линия — это исходное зафиксированное состояние цифровой экспозиции объекта (агрегация данных практик 1–8 на момент май 2026): домены (ya.ru, yandex.net), сервисные контуры (cloud.yandex.net, oauth.yandex.com</w:t>
      </w:r>
      <w:r>
        <w:rPr>
          <w:rFonts w:ascii="Times New Roman" w:hAnsi="Times New Roman" w:eastAsia="Times New Roman" w:cs="Times New Roman"/>
        </w:rPr>
        <w:t xml:space="preserve">, yastatic.net), OSS-экосистема (github.com/yandex, ydb.tech, ytsaurus.tech), документация, вакансии (hh.ru), почтовая инфраструктура (mx.yandex.ru), исторические следы (dzen.yandex.net, career.yandex.ru). Все наблюдения сравниваются с этой базовой линией.</w:t>
      </w:r>
      <w:r>
        <w:rPr>
          <w:rFonts w:ascii="Times New Roman" w:hAnsi="Times New Roman" w:eastAsia="Times New Roman" w:cs="Times New Roman"/>
        </w:rPr>
      </w:r>
    </w:p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8" w:name="Xd2a47861ebd5365df8d65307213af086f9ec4c4"/>
      <w:r>
        <w:rPr>
          <w:rFonts w:ascii="Times New Roman" w:hAnsi="Times New Roman" w:eastAsia="Times New Roman" w:cs="Times New Roman"/>
        </w:rPr>
        <w:t xml:space="preserve">Вопрос 2: Какие индикаторы вы выбрали и почему?</w:t>
      </w:r>
      <w:bookmarkEnd w:id="3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12 индикаторов (IND-01–IND-12): появление нового домена (IND-01), изменение DNS (IND-02), новые TLS-сертификаты (IND-03), новая docs (IND-04), изменение вакансий (IND-05), новая OSS-docs (IND-06), изменение HTTP-за</w:t>
      </w:r>
      <w:r>
        <w:rPr>
          <w:rFonts w:ascii="Times New Roman" w:hAnsi="Times New Roman" w:eastAsia="Times New Roman" w:cs="Times New Roman"/>
        </w:rPr>
        <w:t xml:space="preserve">головков (IND-07), новые публикации (IND-08), архивные изменения (IND-09), изменение почтовых DNS (IND-10), внешние верификации (IND-11), визуальные изменения (IND-12). Выбраны по критерию способности указывать на изменение наблюдаемости цифрового контура.</w:t>
      </w:r>
      <w:r>
        <w:rPr>
          <w:rFonts w:ascii="Times New Roman" w:hAnsi="Times New Roman" w:eastAsia="Times New Roman" w:cs="Times New Roman"/>
        </w:rPr>
      </w:r>
    </w:p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9" w:name="Xfcfb9f364174f1c4039cb2ec52eac07825c9db5"/>
      <w:r>
        <w:rPr>
          <w:rFonts w:ascii="Times New Roman" w:hAnsi="Times New Roman" w:eastAsia="Times New Roman" w:cs="Times New Roman"/>
        </w:rPr>
        <w:t xml:space="preserve">Вопрос 3: Какие источники оказались наиболее информативными?</w:t>
      </w:r>
      <w:bookmarkEnd w:id="3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OSS-репозитории (ydb.tech, ytsau</w:t>
      </w:r>
      <w:r>
        <w:rPr>
          <w:rFonts w:ascii="Times New Roman" w:hAnsi="Times New Roman" w:eastAsia="Times New Roman" w:cs="Times New Roman"/>
        </w:rPr>
        <w:t xml:space="preserve">rus.tech, github.com/yandex с 65K+ звёзд) и вакансии (hh.ru с 600+ developer) — наиболее информативны, так как содержат максимальную детализацию внутренней архитектуры и технологического стека. Доменные и DNS-записи — наиболее достоверны (высокое доверие).</w:t>
      </w:r>
      <w:r>
        <w:rPr>
          <w:rFonts w:ascii="Times New Roman" w:hAnsi="Times New Roman" w:eastAsia="Times New Roman" w:cs="Times New Roman"/>
        </w:rPr>
      </w:r>
    </w:p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0" w:name="X091d2d0f18753234f6e91ddb3b960dc5228d50a"/>
      <w:r>
        <w:rPr>
          <w:rFonts w:ascii="Times New Roman" w:hAnsi="Times New Roman" w:eastAsia="Times New Roman" w:cs="Times New Roman"/>
        </w:rPr>
        <w:t xml:space="preserve">Вопрос 4: Какие наблюдения вы отнесли к шуму?</w:t>
      </w:r>
      <w:bookmarkEnd w:id="4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OBS-10 (career.yandex.ru HTTP 404 — переезд, не новое изменение), OBS-09 (dzen.yandex.net — устаревший след, более не акт</w:t>
      </w:r>
      <w:r>
        <w:rPr>
          <w:rFonts w:ascii="Times New Roman" w:hAnsi="Times New Roman" w:eastAsia="Times New Roman" w:cs="Times New Roman"/>
        </w:rPr>
        <w:t xml:space="preserve">уален), OBS-13 (google-site-verification — стандартная интеграция), OBS-12 (Яндекс.Субботник — событийный контент, не меняет экспозицию), OBS-15 (дубли press.yandex.ru/Habr). Обоснование: устаревшие, маркетинговые, стандартные, не относящиеся к экспозиции.</w:t>
      </w:r>
      <w:r>
        <w:rPr>
          <w:rFonts w:ascii="Times New Roman" w:hAnsi="Times New Roman" w:eastAsia="Times New Roman" w:cs="Times New Roman"/>
        </w:rPr>
      </w:r>
    </w:p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1" w:name="X724edff6578867b4cd445e62dd851ddee8603e8"/>
      <w:r>
        <w:rPr>
          <w:rFonts w:ascii="Times New Roman" w:hAnsi="Times New Roman" w:eastAsia="Times New Roman" w:cs="Times New Roman"/>
        </w:rPr>
        <w:t xml:space="preserve">Вопрос 5: Какие сигналы получили высокий приоритет и почему?</w:t>
      </w:r>
      <w:bookmarkEnd w:id="4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SIG-1 (OSS-экосистема) и SIG-2 (вакансии). Оба имеют: (1) высокую значимость дл</w:t>
      </w:r>
      <w:r>
        <w:rPr>
          <w:rFonts w:ascii="Times New Roman" w:hAnsi="Times New Roman" w:eastAsia="Times New Roman" w:cs="Times New Roman"/>
        </w:rPr>
        <w:t xml:space="preserve">я экспозиции; (2) высокую полезность для внешнего наблюдателя; (3) достаточно подтверждены (SIG-1 — HTTP 200 + docs + github; SIG-2 — hh.ru + tech.yandex.ru/career). OSS: максимальная детализация архитектуры; вакансии: 600+ позиций с техническими деталями.</w:t>
      </w:r>
      <w:r>
        <w:rPr>
          <w:rFonts w:ascii="Times New Roman" w:hAnsi="Times New Roman" w:eastAsia="Times New Roman" w:cs="Times New Roman"/>
        </w:rPr>
      </w:r>
    </w:p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2" w:name="X2881f95b6f77a376d10c186048020acb8a3f852"/>
      <w:r>
        <w:rPr>
          <w:rFonts w:ascii="Times New Roman" w:hAnsi="Times New Roman" w:eastAsia="Times New Roman" w:cs="Times New Roman"/>
        </w:rPr>
        <w:t xml:space="preserve">Вопрос 6: Как вы определяли уровень уверенности?</w:t>
      </w:r>
      <w:bookmarkEnd w:id="4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Три уровня: (1) Высокий — несколько независимых подтверждений </w:t>
      </w:r>
      <w:r>
        <w:rPr>
          <w:rFonts w:ascii="Times New Roman" w:hAnsi="Times New Roman" w:eastAsia="Times New Roman" w:cs="Times New Roman"/>
        </w:rPr>
        <w:t xml:space="preserve">(WHOIS + DNS + HTTP; OAuth-spec + DevTools); (2) Средний — один надёжный источник или косвенная корреляция (HR ≠ инфраструктура; DNS-паттерн ≠ доказательство); (3) Низкий — слабое или одиночное наблюдение. Для каждого сигнала уровень указан с обоснованием.</w:t>
      </w:r>
      <w:r>
        <w:rPr>
          <w:rFonts w:ascii="Times New Roman" w:hAnsi="Times New Roman" w:eastAsia="Times New Roman" w:cs="Times New Roman"/>
        </w:rPr>
      </w:r>
    </w:p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3" w:name="Xa82547cf713631e60e26c2b26c9c179d693c6d5"/>
      <w:r>
        <w:rPr>
          <w:rFonts w:ascii="Times New Roman" w:hAnsi="Times New Roman" w:eastAsia="Times New Roman" w:cs="Times New Roman"/>
        </w:rPr>
        <w:t xml:space="preserve">Вопрос 7: Какие защитные рекомендации прямо следуют из ваших наблюдений?</w:t>
      </w:r>
      <w:bookmarkEnd w:id="4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R1–R7 (форма 18). Наиболее значимые: R1 (аудит OSS — высокий приоритет), R2 (обобщение вакансий — высокий приоритет), R3 (аудит архивов — средний приоритет), R4 (OAuth-мониторинг — средний приоритет). Каждая рекомендация связана с конкретным сигналом.</w:t>
      </w:r>
      <w:r>
        <w:rPr>
          <w:rFonts w:ascii="Times New Roman" w:hAnsi="Times New Roman" w:eastAsia="Times New Roman" w:cs="Times New Roman"/>
        </w:rPr>
      </w:r>
    </w:p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4" w:name="Xec1bbbd8984edb53ece628304dafdcbde9fa17e"/>
      <w:r>
        <w:rPr>
          <w:rFonts w:ascii="Times New Roman" w:hAnsi="Times New Roman" w:eastAsia="Times New Roman" w:cs="Times New Roman"/>
        </w:rPr>
        <w:t xml:space="preserve">Вопрос 8: Какие ограничения имеет предложенная модель мониторинга?</w:t>
      </w:r>
      <w:bookmarkEnd w:id="4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 ограничений (форма 19): снимок на один момент времени (май 2026), только пассивные методы, исторические данные, косвенные связи, мобильные приложения не оценены, отсутствие динамики вакансий. Все ограничения учтены при интерпретации результатов.</w:t>
      </w:r>
      <w:r>
        <w:rPr>
          <w:rFonts w:ascii="Times New Roman" w:hAnsi="Times New Roman" w:eastAsia="Times New Roman" w:cs="Times New Roman"/>
        </w:rPr>
      </w:r>
    </w:p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5" w:name="Xa2f94d374a334bab4eef215176672257d7db891"/>
      <w:r>
        <w:rPr>
          <w:rFonts w:ascii="Times New Roman" w:hAnsi="Times New Roman" w:eastAsia="Times New Roman" w:cs="Times New Roman"/>
        </w:rPr>
        <w:t xml:space="preserve">Вопрос 9: Как можно развить эту работу в долгосрочный мониторинговый процесс?</w:t>
      </w:r>
      <w:bookmarkEnd w:id="4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Автоматизировать мониторинг: скрипт проверки </w:t>
      </w:r>
      <w:r>
        <w:rPr>
          <w:rFonts w:ascii="Times New Roman" w:hAnsi="Times New Roman" w:eastAsia="Times New Roman" w:cs="Times New Roman"/>
        </w:rPr>
        <w:t xml:space="preserve">DNS/TLS ежедневно, RSS-мониторинг вакансий еженедельно, cron-проверка web.archive.org, API github.com/yandex для новых репозиториев. Визуализация в дашборде с алертами при превышении порогов. Интеграция с SIEM-системой для корреляции с внутренними данными.</w:t>
      </w:r>
      <w:r>
        <w:rPr>
          <w:rFonts w:ascii="Times New Roman" w:hAnsi="Times New Roman" w:eastAsia="Times New Roman" w:cs="Times New Roman"/>
        </w:rPr>
      </w:r>
    </w:p>
    <w:p>
      <w:pPr>
        <w:pStyle w:val="708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6" w:name="Xd8bb79c3b382ff4dc8bd42deffe99c85533a2e2"/>
      <w:r>
        <w:rPr>
          <w:rFonts w:ascii="Times New Roman" w:hAnsi="Times New Roman" w:eastAsia="Times New Roman" w:cs="Times New Roman"/>
        </w:rPr>
        <w:t xml:space="preserve">Вопрос 10: Почему изменение не равно уязвимости?</w:t>
      </w:r>
      <w:bookmarkEnd w:id="4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Изменение — наблюдаемый факт (новый домен, обновлён</w:t>
      </w:r>
      <w:r>
        <w:rPr>
          <w:rFonts w:ascii="Times New Roman" w:hAnsi="Times New Roman" w:eastAsia="Times New Roman" w:cs="Times New Roman"/>
        </w:rPr>
        <w:t xml:space="preserve">ная вакансия). Уязвимость — возможность эксплуатации. Изменение становится значимым только в совокупности: одна вакансия не опасна, но 600+ формируют технологическую карту. Оценка — контекстуальная, а не категоричная. Рекомендации — защитные, не атакующие.</w:t>
      </w:r>
      <w:r>
        <w:rPr>
          <w:rFonts w:ascii="Times New Roman" w:hAnsi="Times New Roman" w:eastAsia="Times New Roman" w:cs="Times New Roman"/>
        </w:rPr>
      </w:r>
    </w:p>
    <w:sectPr>
      <w:footerReference w:type="default" r:id="rId9"/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4"/>
      <w:pBdr/>
      <w:spacing/>
      <w:ind/>
      <w:jc w:val="center"/>
      <w:rPr/>
    </w:pPr>
    <w: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4803846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480" w:left="4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720"/>
        </w:tabs>
        <w:spacing/>
        <w:ind w:hanging="480" w:left="120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1440"/>
        </w:tabs>
        <w:spacing/>
        <w:ind w:hanging="480" w:left="19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160"/>
        </w:tabs>
        <w:spacing/>
        <w:ind w:hanging="480" w:left="26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040"/>
        </w:tabs>
        <w:spacing/>
        <w:ind w:hanging="480" w:left="552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5760"/>
        </w:tabs>
        <w:spacing/>
        <w:ind w:hanging="480" w:left="6240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1"/>
    <w:next w:val="701"/>
    <w:uiPriority w:val="39"/>
    <w:unhideWhenUsed/>
    <w:pPr>
      <w:pBdr/>
      <w:spacing w:after="100"/>
      <w:ind/>
    </w:pPr>
  </w:style>
  <w:style w:type="paragraph" w:styleId="190">
    <w:name w:val="toc 2"/>
    <w:basedOn w:val="701"/>
    <w:next w:val="701"/>
    <w:uiPriority w:val="39"/>
    <w:unhideWhenUsed/>
    <w:pPr>
      <w:pBdr/>
      <w:spacing w:after="100"/>
      <w:ind w:left="220"/>
    </w:pPr>
  </w:style>
  <w:style w:type="paragraph" w:styleId="191">
    <w:name w:val="toc 3"/>
    <w:basedOn w:val="701"/>
    <w:next w:val="701"/>
    <w:uiPriority w:val="39"/>
    <w:unhideWhenUsed/>
    <w:pPr>
      <w:pBdr/>
      <w:spacing w:after="100"/>
      <w:ind w:left="440"/>
    </w:pPr>
  </w:style>
  <w:style w:type="paragraph" w:styleId="192">
    <w:name w:val="toc 4"/>
    <w:basedOn w:val="701"/>
    <w:next w:val="701"/>
    <w:uiPriority w:val="39"/>
    <w:unhideWhenUsed/>
    <w:pPr>
      <w:pBdr/>
      <w:spacing w:after="100"/>
      <w:ind w:left="660"/>
    </w:pPr>
  </w:style>
  <w:style w:type="paragraph" w:styleId="193">
    <w:name w:val="toc 5"/>
    <w:basedOn w:val="701"/>
    <w:next w:val="701"/>
    <w:uiPriority w:val="39"/>
    <w:unhideWhenUsed/>
    <w:pPr>
      <w:pBdr/>
      <w:spacing w:after="100"/>
      <w:ind w:left="880"/>
    </w:pPr>
  </w:style>
  <w:style w:type="paragraph" w:styleId="194">
    <w:name w:val="toc 6"/>
    <w:basedOn w:val="701"/>
    <w:next w:val="701"/>
    <w:uiPriority w:val="39"/>
    <w:unhideWhenUsed/>
    <w:pPr>
      <w:pBdr/>
      <w:spacing w:after="100"/>
      <w:ind w:left="1100"/>
    </w:pPr>
  </w:style>
  <w:style w:type="paragraph" w:styleId="195">
    <w:name w:val="toc 7"/>
    <w:basedOn w:val="701"/>
    <w:next w:val="701"/>
    <w:uiPriority w:val="39"/>
    <w:unhideWhenUsed/>
    <w:pPr>
      <w:pBdr/>
      <w:spacing w:after="100"/>
      <w:ind w:left="1320"/>
    </w:pPr>
  </w:style>
  <w:style w:type="paragraph" w:styleId="196">
    <w:name w:val="toc 8"/>
    <w:basedOn w:val="701"/>
    <w:next w:val="701"/>
    <w:uiPriority w:val="39"/>
    <w:unhideWhenUsed/>
    <w:pPr>
      <w:pBdr/>
      <w:spacing w:after="100"/>
      <w:ind w:left="1540"/>
    </w:pPr>
  </w:style>
  <w:style w:type="paragraph" w:styleId="197">
    <w:name w:val="toc 9"/>
    <w:basedOn w:val="701"/>
    <w:next w:val="70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5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1"/>
    <w:next w:val="701"/>
    <w:uiPriority w:val="99"/>
    <w:unhideWhenUsed/>
    <w:pPr>
      <w:pBdr/>
      <w:spacing w:after="0" w:afterAutospacing="0"/>
      <w:ind/>
    </w:pPr>
  </w:style>
  <w:style w:type="paragraph" w:styleId="701" w:default="1">
    <w:name w:val="Normal"/>
    <w:qFormat/>
    <w:pPr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702">
    <w:name w:val="Header"/>
    <w:basedOn w:val="701"/>
    <w:link w:val="70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3" w:customStyle="1">
    <w:name w:val="Header Char"/>
    <w:basedOn w:val="715"/>
    <w:link w:val="702"/>
    <w:uiPriority w:val="99"/>
    <w:pPr>
      <w:pBdr/>
      <w:spacing/>
      <w:ind/>
    </w:pPr>
  </w:style>
  <w:style w:type="paragraph" w:styleId="704">
    <w:name w:val="Footer"/>
    <w:basedOn w:val="701"/>
    <w:link w:val="70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5" w:customStyle="1">
    <w:name w:val="Footer Char"/>
    <w:basedOn w:val="715"/>
    <w:link w:val="704"/>
    <w:uiPriority w:val="99"/>
    <w:pPr>
      <w:pBdr/>
      <w:spacing/>
      <w:ind/>
    </w:pPr>
  </w:style>
  <w:style w:type="paragraph" w:styleId="706">
    <w:name w:val="Heading 1"/>
    <w:basedOn w:val="701"/>
    <w:next w:val="701"/>
    <w:link w:val="719"/>
    <w:uiPriority w:val="9"/>
    <w:qFormat/>
    <w:pPr>
      <w:keepNext w:val="true"/>
      <w:keepLines w:val="true"/>
      <w:pBdr/>
      <w:spacing w:after="120" w:before="240" w:line="360" w:lineRule="auto"/>
      <w:ind w:firstLine="0"/>
      <w:jc w:val="left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07">
    <w:name w:val="Heading 2"/>
    <w:basedOn w:val="701"/>
    <w:next w:val="701"/>
    <w:link w:val="720"/>
    <w:uiPriority w:val="9"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708">
    <w:name w:val="Heading 3"/>
    <w:basedOn w:val="701"/>
    <w:next w:val="701"/>
    <w:link w:val="721"/>
    <w:uiPriority w:val="9"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2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</w:rPr>
  </w:style>
  <w:style w:type="paragraph" w:styleId="709">
    <w:name w:val="Heading 4"/>
    <w:basedOn w:val="701"/>
    <w:next w:val="701"/>
    <w:link w:val="749"/>
    <w:uiPriority w:val="9"/>
    <w:semiHidden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3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i/>
      <w:iCs/>
      <w:color w:val="000000"/>
      <w:sz w:val="28"/>
    </w:rPr>
  </w:style>
  <w:style w:type="paragraph" w:styleId="710">
    <w:name w:val="Heading 5"/>
    <w:basedOn w:val="701"/>
    <w:next w:val="701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1">
    <w:name w:val="Heading 6"/>
    <w:basedOn w:val="701"/>
    <w:next w:val="701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2">
    <w:name w:val="Heading 7"/>
    <w:basedOn w:val="701"/>
    <w:next w:val="701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3">
    <w:name w:val="Heading 8"/>
    <w:basedOn w:val="701"/>
    <w:next w:val="701"/>
    <w:link w:val="7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4">
    <w:name w:val="Heading 9"/>
    <w:basedOn w:val="701"/>
    <w:next w:val="701"/>
    <w:link w:val="75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5" w:default="1">
    <w:name w:val="Default Paragraph Font"/>
    <w:uiPriority w:val="1"/>
    <w:semiHidden/>
    <w:unhideWhenUsed/>
    <w:pPr>
      <w:pBdr/>
      <w:spacing/>
      <w:ind/>
    </w:pPr>
  </w:style>
  <w:style w:type="table" w:styleId="71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7" w:default="1">
    <w:name w:val="No List"/>
    <w:uiPriority w:val="99"/>
    <w:semiHidden/>
    <w:unhideWhenUsed/>
    <w:pPr>
      <w:pBdr/>
      <w:spacing/>
      <w:ind/>
    </w:pPr>
  </w:style>
  <w:style w:type="paragraph" w:styleId="718">
    <w:name w:val="No Spacing"/>
    <w:uiPriority w:val="1"/>
    <w:qFormat/>
    <w:pPr>
      <w:pBdr/>
      <w:spacing w:after="0" w:line="240" w:lineRule="auto"/>
      <w:ind/>
    </w:pPr>
  </w:style>
  <w:style w:type="character" w:styleId="719" w:customStyle="1">
    <w:name w:val="Heading 1 Char"/>
    <w:basedOn w:val="715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0" w:customStyle="1">
    <w:name w:val="Heading 2 Char"/>
    <w:basedOn w:val="715"/>
    <w:link w:val="70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1" w:customStyle="1">
    <w:name w:val="Heading 3 Char"/>
    <w:basedOn w:val="715"/>
    <w:link w:val="70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2">
    <w:name w:val="Title"/>
    <w:basedOn w:val="701"/>
    <w:next w:val="701"/>
    <w:link w:val="72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3" w:customStyle="1">
    <w:name w:val="Title Char"/>
    <w:basedOn w:val="715"/>
    <w:link w:val="72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4">
    <w:name w:val="Subtitle"/>
    <w:basedOn w:val="701"/>
    <w:next w:val="701"/>
    <w:link w:val="72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5" w:customStyle="1">
    <w:name w:val="Subtitle Char"/>
    <w:basedOn w:val="715"/>
    <w:link w:val="72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6">
    <w:name w:val="List Paragraph"/>
    <w:basedOn w:val="701"/>
    <w:uiPriority w:val="34"/>
    <w:qFormat/>
    <w:pPr>
      <w:pBdr/>
      <w:spacing/>
      <w:ind w:left="720"/>
      <w:contextualSpacing w:val="true"/>
    </w:pPr>
  </w:style>
  <w:style w:type="paragraph" w:styleId="727">
    <w:name w:val="Body Text"/>
    <w:basedOn w:val="701"/>
    <w:link w:val="728"/>
    <w:uiPriority w:val="99"/>
    <w:unhideWhenUsed/>
    <w:pPr>
      <w:pBdr/>
      <w:spacing w:after="120"/>
      <w:ind/>
    </w:pPr>
  </w:style>
  <w:style w:type="character" w:styleId="728" w:customStyle="1">
    <w:name w:val="Body Text Char"/>
    <w:basedOn w:val="715"/>
    <w:link w:val="727"/>
    <w:uiPriority w:val="99"/>
    <w:pPr>
      <w:pBdr/>
      <w:spacing/>
      <w:ind/>
    </w:pPr>
  </w:style>
  <w:style w:type="paragraph" w:styleId="729">
    <w:name w:val="Body Text 2"/>
    <w:basedOn w:val="701"/>
    <w:link w:val="730"/>
    <w:uiPriority w:val="99"/>
    <w:unhideWhenUsed/>
    <w:pPr>
      <w:pBdr/>
      <w:spacing w:after="120" w:line="480" w:lineRule="auto"/>
      <w:ind/>
    </w:pPr>
  </w:style>
  <w:style w:type="character" w:styleId="730" w:customStyle="1">
    <w:name w:val="Body Text 2 Char"/>
    <w:basedOn w:val="715"/>
    <w:link w:val="729"/>
    <w:uiPriority w:val="99"/>
    <w:pPr>
      <w:pBdr/>
      <w:spacing/>
      <w:ind/>
    </w:pPr>
  </w:style>
  <w:style w:type="paragraph" w:styleId="731">
    <w:name w:val="Body Text 3"/>
    <w:basedOn w:val="701"/>
    <w:link w:val="73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2" w:customStyle="1">
    <w:name w:val="Body Text 3 Char"/>
    <w:basedOn w:val="715"/>
    <w:link w:val="731"/>
    <w:uiPriority w:val="99"/>
    <w:pPr>
      <w:pBdr/>
      <w:spacing/>
      <w:ind/>
    </w:pPr>
    <w:rPr>
      <w:sz w:val="16"/>
      <w:szCs w:val="16"/>
    </w:rPr>
  </w:style>
  <w:style w:type="paragraph" w:styleId="733">
    <w:name w:val="List"/>
    <w:basedOn w:val="701"/>
    <w:uiPriority w:val="99"/>
    <w:unhideWhenUsed/>
    <w:pPr>
      <w:pBdr/>
      <w:spacing/>
      <w:ind w:hanging="360" w:left="360"/>
      <w:contextualSpacing w:val="true"/>
    </w:pPr>
  </w:style>
  <w:style w:type="paragraph" w:styleId="734">
    <w:name w:val="List 2"/>
    <w:basedOn w:val="701"/>
    <w:uiPriority w:val="99"/>
    <w:unhideWhenUsed/>
    <w:pPr>
      <w:pBdr/>
      <w:spacing/>
      <w:ind w:hanging="360" w:left="720"/>
      <w:contextualSpacing w:val="true"/>
    </w:pPr>
  </w:style>
  <w:style w:type="paragraph" w:styleId="735">
    <w:name w:val="List 3"/>
    <w:basedOn w:val="701"/>
    <w:uiPriority w:val="99"/>
    <w:unhideWhenUsed/>
    <w:pPr>
      <w:pBdr/>
      <w:spacing/>
      <w:ind w:hanging="360" w:left="1080"/>
      <w:contextualSpacing w:val="true"/>
    </w:pPr>
  </w:style>
  <w:style w:type="paragraph" w:styleId="736">
    <w:name w:val="List Bullet"/>
    <w:basedOn w:val="70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7">
    <w:name w:val="List Bullet 2"/>
    <w:basedOn w:val="70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8">
    <w:name w:val="List Bullet 3"/>
    <w:basedOn w:val="70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9">
    <w:name w:val="List Number"/>
    <w:basedOn w:val="70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0">
    <w:name w:val="List Number 2"/>
    <w:basedOn w:val="70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1">
    <w:name w:val="List Number 3"/>
    <w:basedOn w:val="70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2">
    <w:name w:val="List Continue"/>
    <w:basedOn w:val="701"/>
    <w:uiPriority w:val="99"/>
    <w:unhideWhenUsed/>
    <w:pPr>
      <w:pBdr/>
      <w:spacing w:after="120"/>
      <w:ind w:left="360"/>
      <w:contextualSpacing w:val="true"/>
    </w:pPr>
  </w:style>
  <w:style w:type="paragraph" w:styleId="743">
    <w:name w:val="List Continue 2"/>
    <w:basedOn w:val="701"/>
    <w:uiPriority w:val="99"/>
    <w:unhideWhenUsed/>
    <w:pPr>
      <w:pBdr/>
      <w:spacing w:after="120"/>
      <w:ind w:left="720"/>
      <w:contextualSpacing w:val="true"/>
    </w:pPr>
  </w:style>
  <w:style w:type="paragraph" w:styleId="744">
    <w:name w:val="List Continue 3"/>
    <w:basedOn w:val="701"/>
    <w:uiPriority w:val="99"/>
    <w:unhideWhenUsed/>
    <w:pPr>
      <w:pBdr/>
      <w:spacing w:after="120"/>
      <w:ind w:left="1080"/>
      <w:contextualSpacing w:val="true"/>
    </w:pPr>
  </w:style>
  <w:style w:type="paragraph" w:styleId="745">
    <w:name w:val="macro"/>
    <w:link w:val="74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6" w:customStyle="1">
    <w:name w:val="Macro Text Char"/>
    <w:basedOn w:val="715"/>
    <w:link w:val="74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7">
    <w:name w:val="Quote"/>
    <w:basedOn w:val="701"/>
    <w:next w:val="701"/>
    <w:link w:val="74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8" w:customStyle="1">
    <w:name w:val="Quote Char"/>
    <w:basedOn w:val="715"/>
    <w:link w:val="747"/>
    <w:uiPriority w:val="29"/>
    <w:pPr>
      <w:pBdr/>
      <w:spacing/>
      <w:ind/>
    </w:pPr>
    <w:rPr>
      <w:i/>
      <w:iCs/>
      <w:color w:val="000000" w:themeColor="text1"/>
    </w:rPr>
  </w:style>
  <w:style w:type="character" w:styleId="749" w:customStyle="1">
    <w:name w:val="Heading 4 Char"/>
    <w:basedOn w:val="715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0" w:customStyle="1">
    <w:name w:val="Heading 5 Char"/>
    <w:basedOn w:val="715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1" w:customStyle="1">
    <w:name w:val="Heading 6 Char"/>
    <w:basedOn w:val="715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2" w:customStyle="1">
    <w:name w:val="Heading 7 Char"/>
    <w:basedOn w:val="715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3" w:customStyle="1">
    <w:name w:val="Heading 8 Char"/>
    <w:basedOn w:val="715"/>
    <w:link w:val="71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4" w:customStyle="1">
    <w:name w:val="Heading 9 Char"/>
    <w:basedOn w:val="715"/>
    <w:link w:val="71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5">
    <w:name w:val="Caption"/>
    <w:basedOn w:val="701"/>
    <w:next w:val="70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6">
    <w:name w:val="Strong"/>
    <w:basedOn w:val="715"/>
    <w:uiPriority w:val="22"/>
    <w:qFormat/>
    <w:pPr>
      <w:pBdr/>
      <w:spacing/>
      <w:ind/>
    </w:pPr>
    <w:rPr>
      <w:b/>
      <w:bCs/>
    </w:rPr>
  </w:style>
  <w:style w:type="character" w:styleId="757">
    <w:name w:val="Emphasis"/>
    <w:basedOn w:val="715"/>
    <w:uiPriority w:val="20"/>
    <w:qFormat/>
    <w:pPr>
      <w:pBdr/>
      <w:spacing/>
      <w:ind/>
    </w:pPr>
    <w:rPr>
      <w:i/>
      <w:iCs/>
    </w:rPr>
  </w:style>
  <w:style w:type="paragraph" w:styleId="758">
    <w:name w:val="Intense Quote"/>
    <w:basedOn w:val="701"/>
    <w:next w:val="701"/>
    <w:link w:val="75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9" w:customStyle="1">
    <w:name w:val="Intense Quote Char"/>
    <w:basedOn w:val="715"/>
    <w:link w:val="75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0">
    <w:name w:val="Subtle Emphasis"/>
    <w:basedOn w:val="715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1">
    <w:name w:val="Intense Emphasis"/>
    <w:basedOn w:val="715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2">
    <w:name w:val="Subtle Reference"/>
    <w:basedOn w:val="715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3">
    <w:name w:val="Intense Reference"/>
    <w:basedOn w:val="715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4">
    <w:name w:val="Book Title"/>
    <w:basedOn w:val="71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5">
    <w:name w:val="TOC Heading"/>
    <w:basedOn w:val="706"/>
    <w:next w:val="701"/>
    <w:uiPriority w:val="39"/>
    <w:semiHidden/>
    <w:unhideWhenUsed/>
    <w:qFormat/>
    <w:pPr>
      <w:pBdr/>
      <w:spacing/>
      <w:ind/>
      <w:outlineLvl w:val="9"/>
    </w:pPr>
  </w:style>
  <w:style w:type="table" w:styleId="766">
    <w:name w:val="Table Grid"/>
    <w:basedOn w:val="7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"/>
    <w:basedOn w:val="716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1"/>
    <w:basedOn w:val="716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2"/>
    <w:basedOn w:val="716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3"/>
    <w:basedOn w:val="716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4"/>
    <w:basedOn w:val="716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Shading Accent 5"/>
    <w:basedOn w:val="716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Shading Accent 6"/>
    <w:basedOn w:val="716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"/>
    <w:basedOn w:val="71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1"/>
    <w:basedOn w:val="71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2"/>
    <w:basedOn w:val="71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3"/>
    <w:basedOn w:val="71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4"/>
    <w:basedOn w:val="71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List Accent 5"/>
    <w:basedOn w:val="71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List Accent 6"/>
    <w:basedOn w:val="71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"/>
    <w:basedOn w:val="71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1"/>
    <w:basedOn w:val="71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2"/>
    <w:basedOn w:val="71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3"/>
    <w:basedOn w:val="71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4"/>
    <w:basedOn w:val="71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Grid Accent 5"/>
    <w:basedOn w:val="71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Grid Accent 6"/>
    <w:basedOn w:val="71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"/>
    <w:basedOn w:val="71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1"/>
    <w:basedOn w:val="71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2"/>
    <w:basedOn w:val="71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3"/>
    <w:basedOn w:val="71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4"/>
    <w:basedOn w:val="71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1 Accent 5"/>
    <w:basedOn w:val="71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1 Accent 6"/>
    <w:basedOn w:val="71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"/>
    <w:basedOn w:val="71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1"/>
    <w:basedOn w:val="71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2"/>
    <w:basedOn w:val="71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3"/>
    <w:basedOn w:val="71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4"/>
    <w:basedOn w:val="71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2 Accent 5"/>
    <w:basedOn w:val="71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2 Accent 6"/>
    <w:basedOn w:val="71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"/>
    <w:basedOn w:val="7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1"/>
    <w:basedOn w:val="7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2"/>
    <w:basedOn w:val="7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3"/>
    <w:basedOn w:val="7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4"/>
    <w:basedOn w:val="7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1 Accent 5"/>
    <w:basedOn w:val="7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1 Accent 6"/>
    <w:basedOn w:val="71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"/>
    <w:basedOn w:val="7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1"/>
    <w:basedOn w:val="7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2"/>
    <w:basedOn w:val="7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3"/>
    <w:basedOn w:val="7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4"/>
    <w:basedOn w:val="7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2 Accent 5"/>
    <w:basedOn w:val="7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2 Accent 6"/>
    <w:basedOn w:val="71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"/>
    <w:basedOn w:val="71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1"/>
    <w:basedOn w:val="71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2"/>
    <w:basedOn w:val="71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3"/>
    <w:basedOn w:val="71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4"/>
    <w:basedOn w:val="71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1 Accent 5"/>
    <w:basedOn w:val="71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1 Accent 6"/>
    <w:basedOn w:val="71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"/>
    <w:basedOn w:val="7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1"/>
    <w:basedOn w:val="7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2"/>
    <w:basedOn w:val="7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3"/>
    <w:basedOn w:val="7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4"/>
    <w:basedOn w:val="7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2 Accent 5"/>
    <w:basedOn w:val="7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2 Accent 6"/>
    <w:basedOn w:val="71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"/>
    <w:basedOn w:val="71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1"/>
    <w:basedOn w:val="71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2"/>
    <w:basedOn w:val="71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3"/>
    <w:basedOn w:val="71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4"/>
    <w:basedOn w:val="71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3 Accent 5"/>
    <w:basedOn w:val="71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3 Accent 6"/>
    <w:basedOn w:val="71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"/>
    <w:basedOn w:val="7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1"/>
    <w:basedOn w:val="7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2"/>
    <w:basedOn w:val="7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3"/>
    <w:basedOn w:val="7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4"/>
    <w:basedOn w:val="7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Dark List Accent 5"/>
    <w:basedOn w:val="7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Dark List Accent 6"/>
    <w:basedOn w:val="71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"/>
    <w:basedOn w:val="7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1"/>
    <w:basedOn w:val="7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2"/>
    <w:basedOn w:val="7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3"/>
    <w:basedOn w:val="7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4"/>
    <w:basedOn w:val="7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Shading Accent 5"/>
    <w:basedOn w:val="7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Shading Accent 6"/>
    <w:basedOn w:val="71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"/>
    <w:basedOn w:val="7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1"/>
    <w:basedOn w:val="7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2"/>
    <w:basedOn w:val="7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3"/>
    <w:basedOn w:val="7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4"/>
    <w:basedOn w:val="7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List Accent 5"/>
    <w:basedOn w:val="7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List Accent 6"/>
    <w:basedOn w:val="71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"/>
    <w:basedOn w:val="7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1"/>
    <w:basedOn w:val="7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2"/>
    <w:basedOn w:val="7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3"/>
    <w:basedOn w:val="7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4"/>
    <w:basedOn w:val="7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Grid Accent 5"/>
    <w:basedOn w:val="7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Grid Accent 6"/>
    <w:basedOn w:val="71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2026-05-25T13:12:21Z</dcterms:modified>
  <cp:category/>
</cp:coreProperties>
</file>