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360" w:lineRule="auto"/>
        <w:ind/>
        <w:jc w:val="center"/>
        <w:rPr/>
      </w:pPr>
      <w:r>
        <w:rPr>
          <w:rFonts w:ascii="Times New Roman" w:hAnsi="Times New Roman" w:eastAsia="Times New Roman" w:cs="Times New Roman"/>
          <w:b w:val="0"/>
          <w:bCs w:val="0"/>
          <w:sz w:val="24"/>
          <w:szCs w:val="24"/>
        </w:rPr>
        <w:t xml:space="preserve">Министерство науки и высшего образования Российской Федерации</w:t>
      </w:r>
      <w:r/>
    </w:p>
    <w:p>
      <w:pPr>
        <w:pBdr/>
        <w:spacing w:after="0" w:line="360" w:lineRule="auto"/>
        <w:ind/>
        <w:jc w:val="center"/>
        <w:rPr/>
      </w:pPr>
      <w:r>
        <w:rPr>
          <w:rFonts w:ascii="Times New Roman" w:hAnsi="Times New Roman" w:eastAsia="Times New Roman" w:cs="Times New Roman"/>
          <w:b w:val="0"/>
          <w:bCs w:val="0"/>
          <w:sz w:val="24"/>
          <w:szCs w:val="24"/>
        </w:rPr>
        <w:t xml:space="preserve">Федеральное государственное бюджетное образовательное учреждение</w:t>
      </w:r>
      <w:r/>
    </w:p>
    <w:p>
      <w:pPr>
        <w:pBdr/>
        <w:spacing w:after="0" w:line="360" w:lineRule="auto"/>
        <w:ind/>
        <w:jc w:val="center"/>
        <w:rPr/>
      </w:pPr>
      <w:r>
        <w:rPr>
          <w:rFonts w:ascii="Times New Roman" w:hAnsi="Times New Roman" w:eastAsia="Times New Roman" w:cs="Times New Roman"/>
          <w:b w:val="0"/>
          <w:bCs w:val="0"/>
          <w:sz w:val="24"/>
          <w:szCs w:val="24"/>
        </w:rPr>
        <w:t xml:space="preserve">высшего образования</w:t>
      </w:r>
      <w:r/>
    </w:p>
    <w:p>
      <w:pPr>
        <w:pBdr/>
        <w:spacing w:after="0" w:line="360" w:lineRule="auto"/>
        <w:ind/>
        <w:jc w:val="center"/>
        <w:rPr/>
      </w:pPr>
      <w:r>
        <w:rPr>
          <w:rFonts w:ascii="Times New Roman" w:hAnsi="Times New Roman" w:eastAsia="Times New Roman" w:cs="Times New Roman"/>
          <w:b/>
          <w:bCs/>
          <w:sz w:val="24"/>
          <w:szCs w:val="24"/>
        </w:rPr>
        <w:t xml:space="preserve">«МИРЭА – Российский технологический университет»</w:t>
      </w:r>
      <w:r/>
    </w:p>
    <w:p>
      <w:pPr>
        <w:pBdr/>
        <w:spacing w:after="480" w:line="360" w:lineRule="auto"/>
        <w:ind/>
        <w:jc w:val="center"/>
        <w:rPr/>
      </w:pPr>
      <w:r>
        <w:rPr>
          <w:rFonts w:ascii="Times New Roman" w:hAnsi="Times New Roman" w:eastAsia="Times New Roman" w:cs="Times New Roman"/>
          <w:b w:val="0"/>
          <w:bCs w:val="0"/>
          <w:sz w:val="24"/>
          <w:szCs w:val="24"/>
        </w:rPr>
        <w:t xml:space="preserve">(РТУ МИРЭА)</w:t>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after="240" w:line="360" w:lineRule="auto"/>
        <w:ind/>
        <w:jc w:val="center"/>
        <w:rPr/>
      </w:pPr>
      <w:r>
        <w:rPr>
          <w:rFonts w:ascii="Times New Roman" w:hAnsi="Times New Roman" w:eastAsia="Times New Roman" w:cs="Times New Roman"/>
          <w:b/>
          <w:bCs/>
          <w:sz w:val="32"/>
          <w:szCs w:val="32"/>
        </w:rPr>
        <w:t xml:space="preserve">ЭССЕ</w:t>
      </w:r>
      <w:r/>
    </w:p>
    <w:p>
      <w:pPr>
        <w:pBdr/>
        <w:spacing w:after="240" w:line="360" w:lineRule="auto"/>
        <w:ind/>
        <w:jc w:val="center"/>
        <w:rPr/>
      </w:pPr>
      <w:r>
        <w:rPr>
          <w:rFonts w:ascii="Times New Roman" w:hAnsi="Times New Roman" w:eastAsia="Times New Roman" w:cs="Times New Roman"/>
          <w:b w:val="0"/>
          <w:bCs w:val="0"/>
          <w:sz w:val="28"/>
          <w:szCs w:val="28"/>
        </w:rPr>
        <w:t xml:space="preserve">по дисциплине «Технологии личностного роста»</w:t>
      </w:r>
      <w:r/>
    </w:p>
    <w:p>
      <w:pPr>
        <w:pBdr/>
        <w:spacing w:after="120" w:line="360" w:lineRule="auto"/>
        <w:ind/>
        <w:jc w:val="center"/>
        <w:rPr/>
      </w:pPr>
      <w:r>
        <w:rPr>
          <w:rFonts w:ascii="Times New Roman" w:hAnsi="Times New Roman" w:eastAsia="Times New Roman" w:cs="Times New Roman"/>
          <w:b w:val="0"/>
          <w:bCs w:val="0"/>
          <w:sz w:val="28"/>
          <w:szCs w:val="28"/>
        </w:rPr>
        <w:t xml:space="preserve">на тему:</w:t>
      </w:r>
      <w:r/>
    </w:p>
    <w:p>
      <w:pPr>
        <w:pBdr/>
        <w:spacing w:after="0" w:line="360" w:lineRule="auto"/>
        <w:ind/>
        <w:jc w:val="center"/>
        <w:rPr/>
      </w:pPr>
      <w:r>
        <w:rPr>
          <w:rFonts w:ascii="Times New Roman" w:hAnsi="Times New Roman" w:eastAsia="Times New Roman" w:cs="Times New Roman"/>
          <w:b/>
          <w:bCs/>
          <w:sz w:val="28"/>
          <w:szCs w:val="28"/>
        </w:rPr>
        <w:t xml:space="preserve">«Парадокс свободы выбора: помогает ли она</w:t>
      </w:r>
      <w:r/>
    </w:p>
    <w:p>
      <w:pPr>
        <w:pBdr/>
        <w:spacing w:after="480" w:line="360" w:lineRule="auto"/>
        <w:ind/>
        <w:jc w:val="center"/>
        <w:rPr/>
      </w:pPr>
      <w:r>
        <w:rPr>
          <w:rFonts w:ascii="Times New Roman" w:hAnsi="Times New Roman" w:eastAsia="Times New Roman" w:cs="Times New Roman"/>
          <w:b/>
          <w:bCs/>
          <w:sz w:val="28"/>
          <w:szCs w:val="28"/>
        </w:rPr>
        <w:t xml:space="preserve">самореализации или мешает?»</w:t>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after="0" w:line="360" w:lineRule="auto"/>
        <w:ind w:left="5100"/>
        <w:jc w:val="left"/>
        <w:rPr/>
      </w:pPr>
      <w:r>
        <w:rPr>
          <w:rFonts w:ascii="Times New Roman" w:hAnsi="Times New Roman" w:eastAsia="Times New Roman" w:cs="Times New Roman"/>
          <w:sz w:val="28"/>
          <w:szCs w:val="28"/>
        </w:rPr>
        <w:t xml:space="preserve">Выполнил:</w:t>
      </w:r>
      <w:r/>
    </w:p>
    <w:p>
      <w:pPr>
        <w:pBdr/>
        <w:spacing w:after="0" w:line="360" w:lineRule="auto"/>
        <w:ind w:left="5100"/>
        <w:jc w:val="left"/>
        <w:rPr/>
      </w:pPr>
      <w:r>
        <w:rPr>
          <w:rFonts w:ascii="Times New Roman" w:hAnsi="Times New Roman" w:eastAsia="Times New Roman" w:cs="Times New Roman"/>
          <w:sz w:val="28"/>
          <w:szCs w:val="28"/>
        </w:rPr>
        <w:t xml:space="preserve">студент группы ББМО-01-25</w:t>
      </w:r>
      <w:r/>
    </w:p>
    <w:p>
      <w:pPr>
        <w:pBdr/>
        <w:spacing w:after="0" w:line="360" w:lineRule="auto"/>
        <w:ind w:left="5100"/>
        <w:jc w:val="left"/>
        <w:rPr/>
      </w:pPr>
      <w:r>
        <w:rPr>
          <w:rFonts w:ascii="Times New Roman" w:hAnsi="Times New Roman" w:eastAsia="Times New Roman" w:cs="Times New Roman"/>
          <w:sz w:val="28"/>
          <w:szCs w:val="28"/>
        </w:rPr>
        <w:t xml:space="preserve">Мухаметшин А. Р.</w:t>
      </w:r>
      <w:r/>
    </w:p>
    <w:p>
      <w:pPr>
        <w:pBdr/>
        <w:spacing/>
        <w:ind/>
        <w:rPr/>
      </w:pPr>
      <w:r>
        <w:rPr>
          <w:rFonts w:ascii="Times New Roman" w:hAnsi="Times New Roman" w:eastAsia="Times New Roman" w:cs="Times New Roman"/>
          <w:sz w:val="28"/>
          <w:szCs w:val="28"/>
        </w:rPr>
      </w:r>
      <w:r/>
    </w:p>
    <w:p w14:paraId="5675FBD1">
      <w:pPr>
        <w:pBdr/>
        <w:spacing/>
        <w:ind/>
        <w:rPr/>
      </w:pPr>
      <w:r/>
      <w:r/>
      <w:r/>
    </w:p>
    <w:p w14:paraId="67B2317E">
      <w:pPr>
        <w:pBdr/>
        <w:spacing/>
        <w:ind/>
        <w:rPr/>
      </w:pPr>
      <w:r/>
      <w:r/>
      <w:r/>
    </w:p>
    <w:p w14:paraId="47AFBEEC">
      <w:pPr>
        <w:pBdr/>
        <w:spacing/>
        <w:ind/>
        <w:rPr/>
      </w:pPr>
      <w: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ind/>
        <w:rPr/>
      </w:pPr>
      <w:r>
        <w:rPr>
          <w:rFonts w:ascii="Times New Roman" w:hAnsi="Times New Roman" w:eastAsia="Times New Roman" w:cs="Times New Roman"/>
          <w:sz w:val="28"/>
          <w:szCs w:val="28"/>
        </w:rPr>
      </w:r>
      <w:r/>
    </w:p>
    <w:p>
      <w:pPr>
        <w:pBdr/>
        <w:spacing w:after="0" w:line="360" w:lineRule="auto"/>
        <w:ind/>
        <w:jc w:val="center"/>
        <w:rPr/>
      </w:pPr>
      <w:r>
        <w:rPr>
          <w:rFonts w:ascii="Times New Roman" w:hAnsi="Times New Roman" w:eastAsia="Times New Roman" w:cs="Times New Roman"/>
          <w:b w:val="0"/>
          <w:bCs w:val="0"/>
          <w:sz w:val="28"/>
          <w:szCs w:val="28"/>
        </w:rPr>
        <w:t xml:space="preserve">Москва</w:t>
      </w:r>
      <w:r/>
    </w:p>
    <w:p>
      <w:pPr>
        <w:pBdr/>
        <w:spacing w:after="0" w:line="360" w:lineRule="auto"/>
        <w:ind/>
        <w:jc w:val="center"/>
        <w:rPr/>
      </w:pPr>
      <w:r>
        <w:rPr>
          <w:rFonts w:ascii="Times New Roman" w:hAnsi="Times New Roman" w:eastAsia="Times New Roman" w:cs="Times New Roman"/>
          <w:b w:val="0"/>
          <w:bCs w:val="0"/>
          <w:sz w:val="28"/>
          <w:szCs w:val="28"/>
        </w:rPr>
        <w:t xml:space="preserve">2026</w:t>
      </w:r>
      <w:r/>
    </w:p>
    <w:p>
      <w:pPr>
        <w:pageBreakBefore w:val="true"/>
        <w:pBdr/>
        <w:spacing w:after="240" w:line="360" w:lineRule="auto"/>
        <w:ind/>
        <w:jc w:val="center"/>
        <w:rPr/>
      </w:pPr>
      <w:r>
        <w:rPr>
          <w:rFonts w:ascii="Times New Roman" w:hAnsi="Times New Roman" w:eastAsia="Times New Roman" w:cs="Times New Roman"/>
          <w:b/>
          <w:bCs/>
          <w:sz w:val="28"/>
          <w:szCs w:val="28"/>
        </w:rPr>
        <w:t xml:space="preserve">ПАРАДОКС СВОБОДЫ ВЫБОРА: ПОМОГАЕТ ЛИ ОНА САМОРЕАЛИЗАЦИИ ИЛИ МЕШАЕТ?</w:t>
      </w:r>
      <w:r/>
    </w:p>
    <w:p w14:paraId="291FBA40">
      <w:pPr>
        <w:pBdr/>
        <w:spacing w:after="0" w:line="360" w:lineRule="auto"/>
        <w:ind w:firstLine="709"/>
        <w:jc w:val="both"/>
        <w:rPr/>
      </w:pPr>
      <w:r>
        <w:rPr>
          <w:rFonts w:ascii="Times New Roman" w:hAnsi="Times New Roman" w:eastAsia="Times New Roman" w:cs="Times New Roman"/>
          <w:sz w:val="28"/>
          <w:szCs w:val="28"/>
        </w:rPr>
        <w:t xml:space="preserve">Если бы лет сто назад кого-нибудь спросили, что нужно человеку для счастливой жизни, в числе первых ответов наверняка прозвучало бы слово «свобода». Свобода выбирать профессию, место жительства, убеждения – то, чего у большинства людей в истории попросту не</w:t>
      </w:r>
      <w:r>
        <w:rPr>
          <w:rFonts w:ascii="Times New Roman" w:hAnsi="Times New Roman" w:eastAsia="Times New Roman" w:cs="Times New Roman"/>
          <w:sz w:val="28"/>
          <w:szCs w:val="28"/>
        </w:rPr>
        <w:t xml:space="preserve"> было. Кажется логичным, что чем больше у человека свободы выбора, тем легче ему стать собой и реализовать свой потенциал. Но современный опыт делает эту простую формулу сомнительной: выбора стало беспрецедентно много, а ощущение лёгкости и осмысленности жи</w:t>
      </w:r>
      <w:r>
        <w:rPr>
          <w:rFonts w:ascii="Times New Roman" w:hAnsi="Times New Roman" w:eastAsia="Times New Roman" w:cs="Times New Roman"/>
          <w:sz w:val="28"/>
          <w:szCs w:val="28"/>
        </w:rPr>
        <w:t xml:space="preserve">зни почему-то не выросло. В этом и состоит парадокс – то, что должно помогать самореализации, при определённых условиях начинает ей мешать.</w:t>
      </w:r>
      <w:r>
        <w:rPr>
          <w:rFonts w:ascii="Times New Roman" w:hAnsi="Times New Roman" w:eastAsia="Times New Roman" w:cs="Times New Roman"/>
          <w:sz w:val="28"/>
          <w:szCs w:val="28"/>
          <w:lang w:val="ru-RU"/>
        </w:rPr>
      </w:r>
      <w:r>
        <w:rPr>
          <w:rFonts w:ascii="Times New Roman" w:hAnsi="Times New Roman" w:eastAsia="Times New Roman" w:cs="Times New Roman"/>
          <w:sz w:val="28"/>
          <w:szCs w:val="28"/>
        </w:rPr>
      </w:r>
    </w:p>
    <w:p w14:paraId="18E1E873">
      <w:pPr>
        <w:pBdr/>
        <w:spacing w:after="0" w:line="360" w:lineRule="auto"/>
        <w:ind w:firstLine="709"/>
        <w:jc w:val="both"/>
        <w:rPr/>
      </w:pPr>
      <w:r>
        <w:rPr>
          <w:rFonts w:ascii="Times New Roman" w:hAnsi="Times New Roman" w:eastAsia="Times New Roman" w:cs="Times New Roman"/>
          <w:sz w:val="28"/>
          <w:szCs w:val="28"/>
        </w:rPr>
        <w:t xml:space="preserve">Начну с того, что свобода выбора для самореализации действительно необходима. Раскрыть свой потенциал по чужому указанию невозможно. Если за человека всё решено заранее – кем он будет, как будет жить, – то реализуется не он сам, а программа, в которую он по</w:t>
      </w:r>
      <w:r>
        <w:rPr>
          <w:rFonts w:ascii="Times New Roman" w:hAnsi="Times New Roman" w:eastAsia="Times New Roman" w:cs="Times New Roman"/>
          <w:sz w:val="28"/>
          <w:szCs w:val="28"/>
        </w:rPr>
        <w:t xml:space="preserve">ставлен. Поэтому минимальное условие самореализации – это возможность выбирать, и общество, которое такую возможность расширяет, создаёт почву для развития личности.</w:t>
      </w:r>
      <w:r>
        <w:rPr>
          <w:rFonts w:ascii="Times New Roman" w:hAnsi="Times New Roman" w:eastAsia="Times New Roman" w:cs="Times New Roman"/>
          <w:sz w:val="28"/>
          <w:szCs w:val="28"/>
        </w:rPr>
      </w:r>
    </w:p>
    <w:p w14:paraId="52D943C6">
      <w:pPr>
        <w:pBdr/>
        <w:spacing w:after="0" w:line="360" w:lineRule="auto"/>
        <w:ind w:firstLine="709"/>
        <w:jc w:val="both"/>
        <w:rPr/>
      </w:pPr>
      <w:r>
        <w:rPr>
          <w:rFonts w:ascii="Times New Roman" w:hAnsi="Times New Roman" w:eastAsia="Times New Roman" w:cs="Times New Roman"/>
          <w:sz w:val="28"/>
          <w:szCs w:val="28"/>
        </w:rPr>
        <w:t xml:space="preserve">И всё же у этой свободы есть обратная сторона. Когда вариантов становится слишком много, человек нередко не выигрывает, а проигрывает: он боится ошибиться, откладывает решение, а сделав выбор – потом сомневается, не упустил ли лучшее. Особенно хорошо это ви</w:t>
      </w:r>
      <w:r>
        <w:rPr>
          <w:rFonts w:ascii="Times New Roman" w:hAnsi="Times New Roman" w:eastAsia="Times New Roman" w:cs="Times New Roman"/>
          <w:sz w:val="28"/>
          <w:szCs w:val="28"/>
        </w:rPr>
        <w:t xml:space="preserve">дно на крупных жизненных решениях. Когда перед молодым человеком открыты, как ему говорят, «любые двери», это вдохновляет ровно до того момента, пока не нужно выбрать одну. Любой выбор означает отказ от всех остальных вариантов, а чем больше отвергнутого, т</w:t>
      </w:r>
      <w:r>
        <w:rPr>
          <w:rFonts w:ascii="Times New Roman" w:hAnsi="Times New Roman" w:eastAsia="Times New Roman" w:cs="Times New Roman"/>
          <w:sz w:val="28"/>
          <w:szCs w:val="28"/>
        </w:rPr>
        <w:t xml:space="preserve">ем тяжелее этот отказ переживается. Получается почти абсурдная вещь: человек с десятью возможностями может чувствовать себя более растерянным, чем человек с двумя.</w:t>
      </w:r>
      <w:r>
        <w:rPr>
          <w:rFonts w:ascii="Times New Roman" w:hAnsi="Times New Roman" w:eastAsia="Times New Roman" w:cs="Times New Roman"/>
          <w:sz w:val="28"/>
          <w:szCs w:val="28"/>
        </w:rPr>
      </w:r>
    </w:p>
    <w:p w14:paraId="18C44BA5">
      <w:pPr>
        <w:pBdr/>
        <w:spacing w:after="0" w:line="360" w:lineRule="auto"/>
        <w:ind w:firstLine="709"/>
        <w:jc w:val="both"/>
        <w:rPr/>
      </w:pPr>
      <w:r>
        <w:rPr>
          <w:rFonts w:ascii="Times New Roman" w:hAnsi="Times New Roman" w:eastAsia="Times New Roman" w:cs="Times New Roman"/>
          <w:sz w:val="28"/>
          <w:szCs w:val="28"/>
        </w:rPr>
        <w:t xml:space="preserve">К этому добавляется цифровая среда. Социальные сети постоянно показывают чужие выборы и их результаты, причём в отретушированном, парадном виде. Человек выбирает теперь не наедине с собой, а как будто на витрине, всё время сравнивая свой путь с чужими. Форм</w:t>
      </w:r>
      <w:r>
        <w:rPr>
          <w:rFonts w:ascii="Times New Roman" w:hAnsi="Times New Roman" w:eastAsia="Times New Roman" w:cs="Times New Roman"/>
          <w:sz w:val="28"/>
          <w:szCs w:val="28"/>
        </w:rPr>
        <w:t xml:space="preserve">ально свобода сохраняется, но фактически она оказывается под сильным давлением: трудно прислушаться к себе, когда вокруг шумит хор чужих мнений о том, как «надо». Выходит, что внешне выбор есть, а внутренней свободы для него не хватает.</w:t>
      </w:r>
      <w:r>
        <w:rPr>
          <w:rFonts w:ascii="Times New Roman" w:hAnsi="Times New Roman" w:eastAsia="Times New Roman" w:cs="Times New Roman"/>
          <w:sz w:val="28"/>
          <w:szCs w:val="28"/>
        </w:rPr>
      </w:r>
    </w:p>
    <w:p w14:paraId="3DA23AEF">
      <w:pPr>
        <w:pBdr/>
        <w:spacing w:after="0" w:line="360" w:lineRule="auto"/>
        <w:ind w:firstLine="709"/>
        <w:jc w:val="both"/>
        <w:rPr/>
      </w:pPr>
      <w:r>
        <w:rPr>
          <w:rFonts w:ascii="Times New Roman" w:hAnsi="Times New Roman" w:eastAsia="Times New Roman" w:cs="Times New Roman"/>
          <w:sz w:val="28"/>
          <w:szCs w:val="28"/>
        </w:rPr>
        <w:t xml:space="preserve">Значит ли это, что свобода выбора всё-таки мешает самореализации? Думаю, такой вывод был бы поспешным. Проблема не в свободе как таковой, а в том, что мы слишком часто понимаем её узко – как количество доступных вариантов. Но свобода – это не только то, ско</w:t>
      </w:r>
      <w:r>
        <w:rPr>
          <w:rFonts w:ascii="Times New Roman" w:hAnsi="Times New Roman" w:eastAsia="Times New Roman" w:cs="Times New Roman"/>
          <w:sz w:val="28"/>
          <w:szCs w:val="28"/>
        </w:rPr>
        <w:t xml:space="preserve">лько дверей перед тобой открыто. Это ещё и способность выбрать одну из них и закрыть за собой остальные, не оглядываясь потом всю жизнь назад. Можно сказать, что есть свобода внешняя – набор возможностей, которые даёт общество, – и свобода внутренняя, то ес</w:t>
      </w:r>
      <w:r>
        <w:rPr>
          <w:rFonts w:ascii="Times New Roman" w:hAnsi="Times New Roman" w:eastAsia="Times New Roman" w:cs="Times New Roman"/>
          <w:sz w:val="28"/>
          <w:szCs w:val="28"/>
        </w:rPr>
        <w:t xml:space="preserve">ть готовность человека этими возможностями распорядиться. Парадокс возникает именно там, где внешняя свобода выросла, а внутренняя за ней не поспела.</w:t>
      </w:r>
      <w:r>
        <w:rPr>
          <w:rFonts w:ascii="Times New Roman" w:hAnsi="Times New Roman" w:eastAsia="Times New Roman" w:cs="Times New Roman"/>
          <w:sz w:val="28"/>
          <w:szCs w:val="28"/>
        </w:rPr>
      </w:r>
    </w:p>
    <w:p w14:paraId="612D8B88">
      <w:pPr>
        <w:pBdr/>
        <w:spacing w:after="0" w:line="360" w:lineRule="auto"/>
        <w:ind w:firstLine="709"/>
        <w:jc w:val="both"/>
        <w:rPr/>
      </w:pPr>
      <w:r>
        <w:rPr>
          <w:rFonts w:ascii="Times New Roman" w:hAnsi="Times New Roman" w:eastAsia="Times New Roman" w:cs="Times New Roman"/>
          <w:sz w:val="28"/>
          <w:szCs w:val="28"/>
        </w:rPr>
        <w:t xml:space="preserve">Что же даёт эту внутреннюю свободу? Мне кажется, прежде всего – наличие собственных ценностных опор. Если человек понимает, что для него по-настоящему важно, изобилие вариантов перестаёт его парализовать: большую часть из них он просто отсекает как не относ</w:t>
      </w:r>
      <w:r>
        <w:rPr>
          <w:rFonts w:ascii="Times New Roman" w:hAnsi="Times New Roman" w:eastAsia="Times New Roman" w:cs="Times New Roman"/>
          <w:sz w:val="28"/>
          <w:szCs w:val="28"/>
        </w:rPr>
        <w:t xml:space="preserve">ящиеся к делу. Выбор из «всего на свете» действительно мучителен, но ведь никто и не выбирает из всего на свете – выбирают из того, что согласуется с тем, кто ты есть и кем хочешь быть. Ценности работают как фильтр, который превращает необозримое поле возмо</w:t>
      </w:r>
      <w:r>
        <w:rPr>
          <w:rFonts w:ascii="Times New Roman" w:hAnsi="Times New Roman" w:eastAsia="Times New Roman" w:cs="Times New Roman"/>
          <w:sz w:val="28"/>
          <w:szCs w:val="28"/>
        </w:rPr>
        <w:t xml:space="preserve">жностей в обозримое. Не случайно технологии личностного роста почти всегда начинают именно с прояснения ценностей.</w:t>
      </w:r>
      <w:r>
        <w:rPr>
          <w:rFonts w:ascii="Times New Roman" w:hAnsi="Times New Roman" w:eastAsia="Times New Roman" w:cs="Times New Roman"/>
          <w:sz w:val="28"/>
          <w:szCs w:val="28"/>
        </w:rPr>
      </w:r>
    </w:p>
    <w:p w14:paraId="6E07F5BE">
      <w:pPr>
        <w:pBdr/>
        <w:spacing w:after="0" w:line="360" w:lineRule="auto"/>
        <w:ind w:firstLine="709"/>
        <w:jc w:val="both"/>
        <w:rPr/>
      </w:pPr>
      <w:r>
        <w:rPr>
          <w:rFonts w:ascii="Times New Roman" w:hAnsi="Times New Roman" w:eastAsia="Times New Roman" w:cs="Times New Roman"/>
          <w:sz w:val="28"/>
          <w:szCs w:val="28"/>
        </w:rPr>
        <w:t xml:space="preserve">Подводя итог, я бы сформулировал свою позицию так. Свобода выбора и помогает самореализации, и мешает ей – в зависимости от того, чем она дополнена. Сама по себе возможность выбирать необходима. Но если внешняя свобода не подкреплена внутренней – ясными цен</w:t>
      </w:r>
      <w:r>
        <w:rPr>
          <w:rFonts w:ascii="Times New Roman" w:hAnsi="Times New Roman" w:eastAsia="Times New Roman" w:cs="Times New Roman"/>
          <w:sz w:val="28"/>
          <w:szCs w:val="28"/>
        </w:rPr>
        <w:t xml:space="preserve">ностями, готовностью брать на себя ответственность, умением отказываться от непринятых вариантов без вечного сожаления, – то изобилие возможностей оборачивается растерянностью и ощущением, что настоящая жизнь проходит где-то стороной. Парадокс свободы выбор</w:t>
      </w:r>
      <w:r>
        <w:rPr>
          <w:rFonts w:ascii="Times New Roman" w:hAnsi="Times New Roman" w:eastAsia="Times New Roman" w:cs="Times New Roman"/>
          <w:sz w:val="28"/>
          <w:szCs w:val="28"/>
        </w:rPr>
        <w:t xml:space="preserve">а разрешается не отказом от выбора, а работой над собой – тем самым личностным ростом, который учит человека не бояться выбора, а пользоваться им. Свобода выбора – это всего лишь возможность; станет ли она ресурсом самореализации или препятствием, в конечно</w:t>
      </w:r>
      <w:r>
        <w:rPr>
          <w:rFonts w:ascii="Times New Roman" w:hAnsi="Times New Roman" w:eastAsia="Times New Roman" w:cs="Times New Roman"/>
          <w:sz w:val="28"/>
          <w:szCs w:val="28"/>
        </w:rPr>
        <w:t xml:space="preserve">м счёте решает сам человек.</w:t>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
    </w:p>
    <w:sectPr>
      <w:footerReference w:type="default" r:id="rId9"/>
      <w:footnotePr/>
      <w:endnotePr/>
      <w:type w:val="nextPage"/>
      <w:pgSz w:h="16838" w:orient="portrait" w:w="11906"/>
      <w:pgMar w:top="1134" w:right="850" w:bottom="1134" w:left="1701" w:header="708" w:footer="708"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709" w:left="7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3"/>
    <w:uiPriority w:val="9"/>
    <w:pPr>
      <w:pBdr/>
      <w:spacing/>
      <w:ind/>
    </w:pPr>
    <w:rPr>
      <w:rFonts w:ascii="Arial" w:hAnsi="Arial" w:eastAsia="Arial" w:cs="Arial"/>
      <w:i/>
      <w:iCs/>
      <w:color w:val="0f4761" w:themeColor="accent1" w:themeShade="BF"/>
    </w:rPr>
  </w:style>
  <w:style w:type="character" w:styleId="154">
    <w:name w:val="Heading 5 Char"/>
    <w:basedOn w:val="148"/>
    <w:link w:val="734"/>
    <w:uiPriority w:val="9"/>
    <w:pPr>
      <w:pBdr/>
      <w:spacing/>
      <w:ind/>
    </w:pPr>
    <w:rPr>
      <w:rFonts w:ascii="Arial" w:hAnsi="Arial" w:eastAsia="Arial" w:cs="Arial"/>
      <w:color w:val="0f4761" w:themeColor="accent1" w:themeShade="BF"/>
    </w:rPr>
  </w:style>
  <w:style w:type="character" w:styleId="155">
    <w:name w:val="Heading 6 Char"/>
    <w:basedOn w:val="148"/>
    <w:link w:val="73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9">
    <w:name w:val="Title"/>
    <w:qFormat/>
    <w:pPr>
      <w:pBdr/>
      <w:spacing/>
      <w:ind/>
    </w:pPr>
    <w:rPr>
      <w:sz w:val="56"/>
      <w:szCs w:val="56"/>
    </w:rPr>
  </w:style>
  <w:style w:type="paragraph" w:styleId="730">
    <w:name w:val="Heading 1"/>
    <w:qFormat/>
    <w:pPr>
      <w:pBdr/>
      <w:spacing/>
      <w:ind/>
    </w:pPr>
    <w:rPr>
      <w:color w:val="2e74b5"/>
      <w:sz w:val="32"/>
      <w:szCs w:val="32"/>
    </w:rPr>
  </w:style>
  <w:style w:type="paragraph" w:styleId="731">
    <w:name w:val="Heading 2"/>
    <w:qFormat/>
    <w:pPr>
      <w:pBdr/>
      <w:spacing/>
      <w:ind/>
    </w:pPr>
    <w:rPr>
      <w:color w:val="2e74b5"/>
      <w:sz w:val="26"/>
      <w:szCs w:val="26"/>
    </w:rPr>
  </w:style>
  <w:style w:type="paragraph" w:styleId="732">
    <w:name w:val="Heading 3"/>
    <w:qFormat/>
    <w:pPr>
      <w:pBdr/>
      <w:spacing/>
      <w:ind/>
    </w:pPr>
    <w:rPr>
      <w:color w:val="1f4d78"/>
      <w:sz w:val="24"/>
      <w:szCs w:val="24"/>
    </w:rPr>
  </w:style>
  <w:style w:type="paragraph" w:styleId="733">
    <w:name w:val="Heading 4"/>
    <w:qFormat/>
    <w:pPr>
      <w:pBdr/>
      <w:spacing/>
      <w:ind/>
    </w:pPr>
    <w:rPr>
      <w:i/>
      <w:iCs/>
      <w:color w:val="2e74b5"/>
    </w:rPr>
  </w:style>
  <w:style w:type="paragraph" w:styleId="734">
    <w:name w:val="Heading 5"/>
    <w:qFormat/>
    <w:pPr>
      <w:pBdr/>
      <w:spacing/>
      <w:ind/>
    </w:pPr>
    <w:rPr>
      <w:color w:val="2e74b5"/>
    </w:rPr>
  </w:style>
  <w:style w:type="paragraph" w:styleId="735">
    <w:name w:val="Heading 6"/>
    <w:qFormat/>
    <w:pPr>
      <w:pBdr/>
      <w:spacing/>
      <w:ind/>
    </w:pPr>
    <w:rPr>
      <w:color w:val="1f4d78"/>
    </w:rPr>
  </w:style>
  <w:style w:type="paragraph" w:styleId="736">
    <w:name w:val="Strong"/>
    <w:qFormat/>
    <w:pPr>
      <w:pBdr/>
      <w:spacing/>
      <w:ind/>
    </w:pPr>
    <w:rPr>
      <w:b/>
      <w:bCs/>
    </w:rPr>
  </w:style>
  <w:style w:type="paragraph" w:styleId="737">
    <w:name w:val="List Paragraph"/>
    <w:qFormat/>
    <w:pPr>
      <w:pBdr/>
      <w:spacing/>
      <w:ind/>
    </w:pPr>
  </w:style>
  <w:style w:type="character" w:styleId="738">
    <w:name w:val="Hyperlink"/>
    <w:uiPriority w:val="99"/>
    <w:unhideWhenUsed/>
    <w:pPr>
      <w:pBdr/>
      <w:spacing/>
      <w:ind/>
    </w:pPr>
    <w:rPr>
      <w:color w:val="0563c1"/>
      <w:u w:val="single"/>
    </w:rPr>
  </w:style>
  <w:style w:type="character" w:styleId="739">
    <w:name w:val="footnote reference"/>
    <w:uiPriority w:val="99"/>
    <w:semiHidden/>
    <w:unhideWhenUsed/>
    <w:pPr>
      <w:pBdr/>
      <w:spacing/>
      <w:ind/>
    </w:pPr>
    <w:rPr>
      <w:vertAlign w:val="superscript"/>
    </w:rPr>
  </w:style>
  <w:style w:type="paragraph" w:styleId="740">
    <w:name w:val="footnote text"/>
    <w:link w:val="741"/>
    <w:uiPriority w:val="99"/>
    <w:semiHidden/>
    <w:unhideWhenUsed/>
    <w:pPr>
      <w:pBdr/>
      <w:spacing w:after="0" w:line="240" w:lineRule="auto"/>
      <w:ind/>
    </w:pPr>
    <w:rPr>
      <w:sz w:val="20"/>
      <w:szCs w:val="20"/>
    </w:rPr>
  </w:style>
  <w:style w:type="character" w:styleId="741">
    <w:name w:val="Footnote Text Char"/>
    <w:link w:val="740"/>
    <w:uiPriority w:val="99"/>
    <w:semiHidden/>
    <w:unhideWhenUsed/>
    <w:pPr>
      <w:pBdr/>
      <w:spacing/>
      <w:ind/>
    </w:pPr>
    <w:rPr>
      <w:sz w:val="20"/>
      <w:szCs w:val="20"/>
    </w:rPr>
  </w:style>
  <w:style w:type="character" w:styleId="742">
    <w:name w:val="endnote reference"/>
    <w:uiPriority w:val="99"/>
    <w:semiHidden/>
    <w:unhideWhenUsed/>
    <w:pPr>
      <w:pBdr/>
      <w:spacing/>
      <w:ind/>
    </w:pPr>
    <w:rPr>
      <w:vertAlign w:val="superscript"/>
    </w:rPr>
  </w:style>
  <w:style w:type="paragraph" w:styleId="743">
    <w:name w:val="endnote text"/>
    <w:link w:val="744"/>
    <w:uiPriority w:val="99"/>
    <w:semiHidden/>
    <w:unhideWhenUsed/>
    <w:pPr>
      <w:pBdr/>
      <w:spacing w:after="0" w:line="240" w:lineRule="auto"/>
      <w:ind/>
    </w:pPr>
    <w:rPr>
      <w:sz w:val="20"/>
      <w:szCs w:val="20"/>
    </w:rPr>
  </w:style>
  <w:style w:type="character" w:styleId="744">
    <w:name w:val="Endnote Text Char"/>
    <w:link w:val="74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2026-05-24T20:38:29Z</dcterms:created>
  <dcterms:modified xsi:type="dcterms:W3CDTF">2026-05-24T20:51:38Z</dcterms:modified>
</cp:coreProperties>
</file>