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598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0" t="0" r="9525" b="0"/>
                      <wp:docPr id="1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  <w:t xml:space="preserve">МИНОБРНАУКИ РОССИИ</w: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Российский технологический университет»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36"/>
                <w:lang w:eastAsia="ru-RU"/>
              </w:rPr>
            </w:pPr>
            <w:r/>
            <w:bookmarkStart w:id="0" w:name="_Toc19007209"/>
            <w:r/>
            <w:bookmarkStart w:id="1" w:name="_Toc22555898"/>
            <w:r/>
            <w:bookmarkStart w:id="2" w:name="_Toc26790383"/>
            <w:r/>
            <w:bookmarkStart w:id="3" w:name="_Toc34932021"/>
            <w:r/>
            <w:bookmarkStart w:id="4" w:name="_Toc34944399"/>
            <w:r/>
            <w:bookmarkStart w:id="5" w:name="_Toc36664409"/>
            <w:r/>
            <w:bookmarkStart w:id="6" w:name="_Toc37787593"/>
            <w:r/>
            <w:bookmarkStart w:id="7" w:name="_Toc98078590"/>
            <w:r/>
            <w:bookmarkStart w:id="8" w:name="_Toc159362086"/>
            <w:r/>
            <w:bookmarkStart w:id="9" w:name="_Toc159362576"/>
            <w:r/>
            <w:bookmarkStart w:id="10" w:name="_Toc160143220"/>
            <w:r/>
            <w:bookmarkStart w:id="11" w:name="_Toc161267633"/>
            <w:r/>
            <w:bookmarkStart w:id="12" w:name="_Toc161786951"/>
            <w:r/>
            <w:bookmarkStart w:id="13" w:name="_Toc163326821"/>
            <w:r/>
            <w:bookmarkStart w:id="14" w:name="_Toc164364122"/>
            <w:r>
              <w:rPr>
                <w:b/>
                <w:sz w:val="36"/>
                <w:lang w:eastAsia="ru-RU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r>
              <w:rPr>
                <w:b/>
                <w:sz w:val="36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29300" cy="174625"/>
                      <wp:effectExtent l="3175" t="0" r="25400" b="0"/>
                      <wp:docPr id="2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459.00pt;height:13.75pt;mso-wrap-distance-left:0.00pt;mso-wrap-distance-top:0.00pt;mso-wrap-distance-right:0.00pt;mso-wrap-distance-bottom:0.00pt;" coordorigin="0,0" coordsize="58293,1746">
                      <v:line id="shape 2" o:spid="_x0000_s2" style="position:absolute;left:0;text-align:left;flip:y;visibility:visible;" from="0.0pt,0.0pt" to="0.0pt,0.0pt" filled="f" strokecolor="#000000" strokeweight="3.00pt"/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</w:tbl>
    <w:p>
      <w:pPr>
        <w:pBdr/>
        <w:shd w:val="clear" w:color="auto" w:fill="ffffff"/>
        <w:spacing w:after="100" w:afterAutospacing="1" w:before="120"/>
        <w:ind/>
        <w:jc w:val="center"/>
        <w:rPr>
          <w:rFonts w:eastAsia="Times New Roman" w:cs="Times New Roman"/>
          <w:bCs/>
          <w:szCs w:val="34"/>
          <w:lang w:eastAsia="ru-RU"/>
        </w:rPr>
      </w:pPr>
      <w:r>
        <w:rPr>
          <w:rFonts w:eastAsia="Times New Roman" w:cs="Times New Roman"/>
          <w:bCs/>
          <w:szCs w:val="34"/>
          <w:lang w:eastAsia="ru-RU"/>
        </w:rPr>
        <w:t xml:space="preserve">Институт информационных технологий (ИТ)</w:t>
      </w:r>
      <w:r>
        <w:rPr>
          <w:rFonts w:eastAsia="Times New Roman" w:cs="Times New Roman"/>
          <w:bCs/>
          <w:szCs w:val="34"/>
          <w:lang w:eastAsia="ru-RU"/>
        </w:rPr>
        <w:br/>
      </w:r>
      <w:r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>
        <w:rPr>
          <w:rFonts w:eastAsia="Times New Roman" w:cs="Times New Roman"/>
          <w:bCs/>
          <w:szCs w:val="20"/>
          <w:lang w:eastAsia="ru-RU"/>
        </w:rPr>
        <w:t xml:space="preserve">(</w:t>
      </w:r>
      <w:r>
        <w:rPr>
          <w:rFonts w:eastAsia="Times New Roman" w:cs="Times New Roman"/>
          <w:bCs/>
          <w:szCs w:val="20"/>
          <w:lang w:eastAsia="ru-RU"/>
        </w:rPr>
        <w:t xml:space="preserve">ИиППО</w:t>
      </w:r>
      <w:r>
        <w:rPr>
          <w:rFonts w:eastAsia="Times New Roman" w:cs="Times New Roman"/>
          <w:bCs/>
          <w:szCs w:val="20"/>
          <w:lang w:eastAsia="ru-RU"/>
        </w:rPr>
        <w:t xml:space="preserve">)</w:t>
      </w:r>
      <w:r>
        <w:rPr>
          <w:rFonts w:eastAsia="Times New Roman" w:cs="Times New Roman"/>
          <w:bCs/>
          <w:szCs w:val="34"/>
          <w:lang w:eastAsia="ru-RU"/>
        </w:rPr>
      </w:r>
    </w:p>
    <w:tbl>
      <w:tblPr>
        <w:tblW w:w="4692" w:type="pct"/>
        <w:tblBorders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ИМ РАБОТАМ</w:t>
            </w:r>
            <w:r>
              <w:rPr>
                <w:rFonts w:eastAsia="Times New Roman" w:cs="Times New Roman"/>
                <w:b/>
                <w:szCs w:val="28"/>
                <w:lang w:val="en-US" w:eastAsia="ru-RU"/>
              </w:rPr>
            </w:r>
          </w:p>
        </w:tc>
      </w:tr>
      <w:tr>
        <w:trPr>
          <w:trHeight w:val="568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 xml:space="preserve">по дисциплине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</w:tc>
      </w:tr>
      <w:tr>
        <w:trPr>
          <w:trHeight w:val="1683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Проектирование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клиент-серверных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систем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на тему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«Информационная система Электронные визитки»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</w:p>
        </w:tc>
      </w:tr>
      <w:tr>
        <w:trPr>
          <w:trHeight w:val="2242"/>
        </w:trPr>
        <w:tc>
          <w:tcPr>
            <w:tcBorders/>
            <w:tcW w:w="322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Выполнил студент группы ИКБО-20-21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 w:before="120"/>
              <w:ind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Принял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  <w:tc>
          <w:tcPr>
            <w:tcBorders/>
            <w:tcW w:w="1771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Мухамештин А. Р.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Мельников 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А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35"/>
        <w:pBdr/>
        <w:spacing/>
        <w:ind/>
        <w:jc w:val="center"/>
        <w:rPr/>
      </w:pPr>
      <w:r/>
      <w:r/>
    </w:p>
    <w:sdt>
      <w:sdtPr>
        <w15:appearance w15:val="boundingBox"/>
        <w:id w:val="-1368515217"/>
        <w:docPartObj>
          <w:docPartGallery w:val="Table of Contents"/>
          <w:docPartUnique w:val="true"/>
        </w:docPartObj>
        <w:rPr/>
      </w:sdtPr>
      <w:sdtContent>
        <w:p>
          <w:pPr>
            <w:pBdr/>
            <w:spacing/>
            <w:ind/>
            <w:jc w:val="center"/>
            <w:rPr/>
          </w:pPr>
          <w:r>
            <w:rPr>
              <w:b/>
              <w:bCs/>
            </w:rPr>
            <w:t xml:space="preserve">Оглавление</w:t>
          </w:r>
          <w:r/>
        </w:p>
        <w:p>
          <w:pPr>
            <w:pStyle w:val="737"/>
            <w:pBdr/>
            <w:spacing/>
            <w:ind/>
            <w:rPr>
              <w:rFonts w:asciiTheme="minorHAnsi" w:hAnsiTheme="minorHAnsi" w:cstheme="minorBidi"/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tooltip="#_Toc176778333" w:anchor="_Toc176778333" w:history="1">
            <w:r>
              <w:rPr>
                <w:rStyle w:val="739"/>
                <w:sz w:val="28"/>
              </w:rPr>
              <w:t xml:space="preserve">Практическая работа №1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PAGEREF _Toc176778333 \h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3</w:t>
            </w:r>
            <w:r>
              <w:rPr>
                <w:sz w:val="28"/>
              </w:rPr>
              <w:fldChar w:fldCharType="end"/>
            </w:r>
          </w:hyperlink>
          <w:r/>
          <w:r>
            <w:rPr>
              <w:rFonts w:asciiTheme="minorHAnsi" w:hAnsiTheme="minorHAnsi" w:cstheme="minorBidi"/>
              <w:sz w:val="28"/>
            </w:rPr>
          </w:r>
        </w:p>
        <w:p>
          <w:pPr>
            <w:pStyle w:val="737"/>
            <w:pBdr/>
            <w:spacing/>
            <w:ind/>
            <w:rPr>
              <w:rFonts w:asciiTheme="minorHAnsi" w:hAnsiTheme="minorHAnsi" w:cstheme="minorBidi"/>
              <w:sz w:val="28"/>
            </w:rPr>
          </w:pPr>
          <w:r/>
          <w:hyperlink w:tooltip="#_Toc176778334" w:anchor="_Toc176778334" w:history="1">
            <w:r>
              <w:rPr>
                <w:rStyle w:val="739"/>
                <w:sz w:val="28"/>
              </w:rPr>
              <w:t xml:space="preserve">Практическая работа №2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PAGEREF _Toc176778334 \h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7</w:t>
            </w:r>
            <w:r>
              <w:rPr>
                <w:sz w:val="28"/>
              </w:rPr>
              <w:fldChar w:fldCharType="end"/>
            </w:r>
          </w:hyperlink>
          <w:r/>
          <w:r>
            <w:rPr>
              <w:rFonts w:asciiTheme="minorHAnsi" w:hAnsiTheme="minorHAnsi" w:cstheme="minorBidi"/>
              <w:sz w:val="28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259" w:lineRule="auto"/>
        <w:ind/>
        <w:jc w:val="left"/>
        <w:rPr/>
      </w:pPr>
      <w:r>
        <w:br w:type="page" w:clear="all"/>
      </w:r>
      <w:r/>
    </w:p>
    <w:p>
      <w:pPr>
        <w:pStyle w:val="724"/>
        <w:pBdr/>
        <w:spacing/>
        <w:ind/>
        <w:rPr/>
      </w:pPr>
      <w:r/>
      <w:bookmarkStart w:id="15" w:name="_Toc176775253"/>
      <w:r/>
      <w:bookmarkStart w:id="16" w:name="_Toc176778333"/>
      <w:r>
        <w:t xml:space="preserve">Практическая работа №1</w:t>
      </w:r>
      <w:bookmarkEnd w:id="15"/>
      <w:r/>
      <w:bookmarkEnd w:id="16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2 Описание и построение функциональной модели AS-IS выбранной предметной области с применением нотации IDEF0.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731"/>
        <w:pBdr/>
        <w:spacing/>
        <w:ind/>
        <w:rPr/>
      </w:pPr>
      <w:r>
        <w:t xml:space="preserve">Была спроектирована контекстная диаграмма А0 в нотации </w:t>
      </w:r>
      <w:r>
        <w:rPr>
          <w:lang w:val="en-US"/>
        </w:rPr>
        <w:t xml:space="preserve">IDEF</w:t>
      </w:r>
      <w:r>
        <w:t xml:space="preserve">0 </w:t>
      </w:r>
      <w:r/>
    </w:p>
    <w:p>
      <w:pPr>
        <w:pStyle w:val="731"/>
        <w:pBdr/>
        <w:spacing/>
        <w:ind/>
        <w:rPr/>
      </w:pPr>
      <w:r>
        <w:t xml:space="preserve">В качестве входа по управлению были выбраны:</w:t>
      </w:r>
      <w:r/>
    </w:p>
    <w:p>
      <w:pPr>
        <w:pStyle w:val="731"/>
        <w:numPr>
          <w:ilvl w:val="0"/>
          <w:numId w:val="1"/>
        </w:numPr>
        <w:pBdr/>
        <w:spacing/>
        <w:ind/>
        <w:rPr/>
      </w:pPr>
      <w:r>
        <w:t xml:space="preserve">Закон о персональных данных</w:t>
      </w:r>
      <w:r/>
    </w:p>
    <w:p>
      <w:pPr>
        <w:pStyle w:val="731"/>
        <w:numPr>
          <w:ilvl w:val="0"/>
          <w:numId w:val="1"/>
        </w:numPr>
        <w:pBdr/>
        <w:spacing/>
        <w:ind/>
        <w:rPr/>
      </w:pPr>
      <w:r>
        <w:t xml:space="preserve">Внутренние правила компании</w:t>
      </w:r>
      <w:r/>
    </w:p>
    <w:p>
      <w:pPr>
        <w:pStyle w:val="7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Шаблоны визиток</w:t>
      </w:r>
      <w:r>
        <w:rPr>
          <w:highlight w:val="none"/>
        </w:rPr>
      </w:r>
    </w:p>
    <w:p>
      <w:pPr>
        <w:pStyle w:val="731"/>
        <w:pBdr/>
        <w:spacing/>
        <w:ind/>
        <w:rPr/>
      </w:pPr>
      <w:r>
        <w:t xml:space="preserve">В качестве входящих потоков были выбраны:</w:t>
      </w:r>
      <w:r/>
    </w:p>
    <w:p>
      <w:pPr>
        <w:pStyle w:val="731"/>
        <w:numPr>
          <w:ilvl w:val="0"/>
          <w:numId w:val="2"/>
        </w:numPr>
        <w:pBdr/>
        <w:spacing/>
        <w:ind/>
        <w:rPr/>
      </w:pPr>
      <w:r>
        <w:t xml:space="preserve">Данные пользователей</w:t>
      </w:r>
      <w:r/>
    </w:p>
    <w:p>
      <w:pPr>
        <w:pStyle w:val="731"/>
        <w:numPr>
          <w:ilvl w:val="0"/>
          <w:numId w:val="2"/>
        </w:numPr>
        <w:pBdr/>
        <w:spacing/>
        <w:ind/>
        <w:rPr/>
      </w:pPr>
      <w:r>
        <w:t xml:space="preserve">Контактная информация для визитки</w:t>
      </w:r>
      <w:r/>
    </w:p>
    <w:p>
      <w:pPr>
        <w:pStyle w:val="731"/>
        <w:numPr>
          <w:ilvl w:val="0"/>
          <w:numId w:val="2"/>
        </w:numPr>
        <w:pBdr/>
        <w:spacing/>
        <w:ind/>
        <w:rPr/>
      </w:pPr>
      <w:r>
        <w:t xml:space="preserve">Запрос на поиск визитки</w:t>
      </w:r>
      <w:r/>
    </w:p>
    <w:p>
      <w:pPr>
        <w:pStyle w:val="731"/>
        <w:pBdr/>
        <w:spacing/>
        <w:ind/>
        <w:rPr/>
      </w:pPr>
      <w:r>
        <w:t xml:space="preserve">В качестве механизмов используются:</w:t>
      </w:r>
      <w:r/>
    </w:p>
    <w:p>
      <w:pPr>
        <w:pStyle w:val="731"/>
        <w:numPr>
          <w:ilvl w:val="0"/>
          <w:numId w:val="3"/>
        </w:numPr>
        <w:pBdr/>
        <w:spacing/>
        <w:ind/>
        <w:rPr/>
      </w:pPr>
      <w:r>
        <w:t xml:space="preserve">Пользователь</w:t>
      </w:r>
      <w:r/>
    </w:p>
    <w:p>
      <w:pPr>
        <w:pStyle w:val="731"/>
        <w:numPr>
          <w:ilvl w:val="0"/>
          <w:numId w:val="3"/>
        </w:numPr>
        <w:pBdr/>
        <w:spacing/>
        <w:ind/>
        <w:rPr/>
      </w:pPr>
      <w:r>
        <w:t xml:space="preserve">База данных</w:t>
      </w:r>
      <w:r/>
    </w:p>
    <w:p>
      <w:pPr>
        <w:pStyle w:val="731"/>
        <w:numPr>
          <w:ilvl w:val="0"/>
          <w:numId w:val="3"/>
        </w:numPr>
        <w:pBdr/>
        <w:spacing/>
        <w:ind/>
        <w:rPr/>
      </w:pPr>
      <w:r>
        <w:t xml:space="preserve">Сервер</w:t>
      </w:r>
      <w:r/>
    </w:p>
    <w:p>
      <w:pPr>
        <w:pStyle w:val="731"/>
        <w:pBdr/>
        <w:spacing/>
        <w:ind/>
        <w:rPr/>
      </w:pPr>
      <w:r>
        <w:t xml:space="preserve">В качестве выходов после выполнения ИС получены:</w:t>
      </w:r>
      <w:r/>
    </w:p>
    <w:p>
      <w:pPr>
        <w:pStyle w:val="731"/>
        <w:numPr>
          <w:ilvl w:val="0"/>
          <w:numId w:val="4"/>
        </w:numPr>
        <w:pBdr/>
        <w:spacing/>
        <w:ind/>
        <w:rPr/>
      </w:pPr>
      <w:r>
        <w:t xml:space="preserve">Электронная визитка</w:t>
      </w:r>
      <w:r/>
    </w:p>
    <w:p>
      <w:pPr>
        <w:pStyle w:val="73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Данные о визитках пользователей</w:t>
      </w:r>
      <w:r>
        <w:rPr>
          <w:highlight w:val="none"/>
        </w:rPr>
      </w:r>
    </w:p>
    <w:p>
      <w:pPr>
        <w:pStyle w:val="731"/>
        <w:pBdr/>
        <w:spacing/>
        <w:ind/>
        <w:rPr/>
      </w:pPr>
      <w:r>
        <w:t xml:space="preserve">Сама контекстная диаграмма процесса ИС </w:t>
      </w:r>
      <w:r>
        <w:t xml:space="preserve">Электронный журнал</w:t>
      </w:r>
      <w:r>
        <w:t xml:space="preserve"> </w:t>
      </w:r>
      <w:r>
        <w:t xml:space="preserve">школьника </w:t>
      </w:r>
      <w:r>
        <w:t xml:space="preserve">представлена на рисунке 1.</w:t>
      </w:r>
      <w:r/>
    </w:p>
    <w:p>
      <w:pPr>
        <w:pStyle w:val="731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3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3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31"/>
        <w:pBdr/>
        <w:spacing/>
        <w:ind/>
        <w:jc w:val="center"/>
        <w:rPr/>
      </w:pPr>
      <w:r>
        <w:t xml:space="preserve">Рисунок 1 – Контекстная диаграмма А0</w:t>
      </w:r>
      <w:r/>
    </w:p>
    <w:p>
      <w:pPr>
        <w:pBdr/>
        <w:spacing/>
        <w:ind w:firstLine="709"/>
        <w:rPr/>
      </w:pPr>
      <w:r>
        <w:t xml:space="preserve">Далее была произведена декомпозиция основного функционального блока А0 (рисунок 2). Были получены следующие функциональные блоки:</w:t>
      </w:r>
      <w:r/>
    </w:p>
    <w:p>
      <w:pPr>
        <w:pStyle w:val="733"/>
        <w:numPr>
          <w:ilvl w:val="0"/>
          <w:numId w:val="4"/>
        </w:numPr>
        <w:pBdr/>
        <w:spacing/>
        <w:ind w:firstLine="709" w:left="0"/>
        <w:rPr/>
      </w:pPr>
      <w:r>
        <w:t xml:space="preserve">Регистрация</w:t>
      </w:r>
      <w:r>
        <w:t xml:space="preserve"> пользователя – А1</w:t>
      </w:r>
      <w:r/>
    </w:p>
    <w:p>
      <w:pPr>
        <w:pStyle w:val="733"/>
        <w:numPr>
          <w:ilvl w:val="0"/>
          <w:numId w:val="5"/>
        </w:numPr>
        <w:pBdr/>
        <w:spacing/>
        <w:ind w:firstLine="709" w:left="0"/>
        <w:rPr/>
      </w:pPr>
      <w:r>
        <w:t xml:space="preserve">Создание визитки </w:t>
      </w:r>
      <w:r>
        <w:t xml:space="preserve">– А2</w:t>
      </w:r>
      <w:r/>
    </w:p>
    <w:p>
      <w:pPr>
        <w:pStyle w:val="733"/>
        <w:numPr>
          <w:ilvl w:val="0"/>
          <w:numId w:val="5"/>
        </w:numPr>
        <w:pBdr/>
        <w:spacing/>
        <w:ind w:firstLine="709" w:left="0"/>
        <w:rPr/>
      </w:pPr>
      <w:r>
        <w:t xml:space="preserve">Поиск и просмотр визиток других пользователей – А3</w:t>
      </w:r>
      <w:r/>
    </w:p>
    <w:p>
      <w:pPr>
        <w:pStyle w:val="733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904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23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33"/>
        <w:pBdr/>
        <w:spacing/>
        <w:ind/>
        <w:jc w:val="center"/>
        <w:rPr/>
      </w:pPr>
      <w:r>
        <w:t xml:space="preserve">Рисунок 2 – Декомпозиция функционального блока</w:t>
      </w:r>
      <w:r/>
    </w:p>
    <w:p>
      <w:pPr>
        <w:pStyle w:val="733"/>
        <w:pBdr/>
        <w:spacing/>
        <w:ind/>
        <w:rPr/>
      </w:pPr>
      <w:r>
        <w:t xml:space="preserve">Для третьего уровня декомпозиции был выбрал блок А2. </w:t>
      </w:r>
      <w:r>
        <w:t xml:space="preserve">Были получены следующие блоки:</w:t>
      </w:r>
      <w:r/>
    </w:p>
    <w:p>
      <w:pPr>
        <w:pStyle w:val="733"/>
        <w:numPr>
          <w:ilvl w:val="0"/>
          <w:numId w:val="6"/>
        </w:numPr>
        <w:pBdr/>
        <w:spacing/>
        <w:ind/>
        <w:rPr/>
      </w:pPr>
      <w:r>
        <w:t xml:space="preserve">Проверка введенных данных – А21</w:t>
      </w:r>
      <w:r/>
    </w:p>
    <w:p>
      <w:pPr>
        <w:pStyle w:val="733"/>
        <w:numPr>
          <w:ilvl w:val="0"/>
          <w:numId w:val="6"/>
        </w:numPr>
        <w:pBdr/>
        <w:spacing/>
        <w:ind/>
        <w:rPr/>
      </w:pPr>
      <w:r>
        <w:t xml:space="preserve">Генерация визитки– А22</w:t>
      </w:r>
      <w:r/>
    </w:p>
    <w:p>
      <w:pPr>
        <w:pStyle w:val="733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Сохранение визитки – А23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Сама диаграмма представлена на рисунке 3.</w:t>
      </w:r>
      <w:r/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744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11.4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jc w:val="center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Рисунок 3 – Декомпозиция блока А3</w:t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b/>
          <w:bCs/>
          <w:szCs w:val="24"/>
          <w:lang w:eastAsia="zh-CN" w:bidi="hi-IN"/>
        </w:rPr>
      </w:pPr>
      <w:r>
        <w:rPr>
          <w:rFonts w:eastAsia="Droid Sans Fallback" w:cs="Mangal"/>
          <w:b/>
          <w:bCs/>
          <w:szCs w:val="24"/>
          <w:lang w:eastAsia="zh-CN" w:bidi="hi-IN"/>
        </w:rPr>
        <w:t xml:space="preserve">Вывод:</w:t>
      </w:r>
      <w:r>
        <w:rPr>
          <w:rFonts w:eastAsia="Droid Sans Fallback" w:cs="Mangal"/>
          <w:b/>
          <w:bCs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</w:t>
      </w:r>
      <w:r>
        <w:rPr>
          <w:rFonts w:eastAsia="Droid Sans Fallback" w:cs="Mangal"/>
          <w:szCs w:val="24"/>
          <w:lang w:eastAsia="zh-CN" w:bidi="hi-IN"/>
        </w:rPr>
        <w:t xml:space="preserve">теоретические </w:t>
      </w:r>
      <w:r>
        <w:rPr>
          <w:rFonts w:eastAsia="Droid Sans Fallback" w:cs="Mangal"/>
          <w:szCs w:val="24"/>
          <w:lang w:eastAsia="zh-CN" w:bidi="hi-IN"/>
        </w:rPr>
        <w:t xml:space="preserve">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AS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IS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br w:type="page" w:clear="all"/>
      </w:r>
      <w:r>
        <w:rPr>
          <w:rFonts w:eastAsia="Droid Sans Fallback" w:cs="Mangal"/>
          <w:szCs w:val="24"/>
          <w:lang w:eastAsia="zh-CN" w:bidi="hi-IN"/>
        </w:rPr>
      </w:r>
    </w:p>
    <w:p>
      <w:pPr>
        <w:pStyle w:val="724"/>
        <w:pBdr/>
        <w:spacing/>
        <w:ind/>
        <w:rPr/>
      </w:pPr>
      <w:r/>
      <w:bookmarkStart w:id="17" w:name="_Toc176775254"/>
      <w:r/>
      <w:bookmarkStart w:id="18" w:name="_Toc176778334"/>
      <w:r>
        <w:t xml:space="preserve">Практическая работа №2</w:t>
      </w:r>
      <w:bookmarkEnd w:id="17"/>
      <w:r/>
      <w:bookmarkEnd w:id="18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733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Знакомство с понятием функциональной модели TO-BE («как будет»).</w:t>
      </w:r>
      <w:r>
        <w:rPr>
          <w:rFonts w:eastAsia="Times New Roman" w:cs="Times New Roman"/>
          <w:color w:val="000000"/>
          <w:lang w:eastAsia="ru-RU"/>
        </w:rPr>
      </w:r>
    </w:p>
    <w:p>
      <w:pPr>
        <w:pStyle w:val="733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Доработка созданной модели AS-IS с учетом выявленных недостатков в организации бизнес-процессов.</w:t>
      </w:r>
      <w:r>
        <w:rPr>
          <w:rFonts w:eastAsia="Times New Roman" w:cs="Times New Roman"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На основе анализа модели AS-IS были выявлены следующие улучшения для создания модели TO-BE:</w:t>
      </w:r>
      <w:r/>
    </w:p>
    <w:p>
      <w:pPr>
        <w:pStyle w:val="7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Добавление функции автоматического обмена визитками через QR-код.</w:t>
      </w:r>
      <w:r/>
    </w:p>
    <w:p>
      <w:pPr>
        <w:pStyle w:val="7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Синхронизации визиток с внешними сервисами (например, LinkedIn).</w:t>
      </w:r>
      <w:r/>
    </w:p>
    <w:p>
      <w:pPr>
        <w:pStyle w:val="7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Введение аналитической панели для статистики использования визиток.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left"/>
        <w:rPr/>
      </w:pPr>
      <w:r>
        <w:t xml:space="preserve">Контекстная диаграмма (A0) включает в себя следующие новшества: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sz w:val="24"/>
          <w:szCs w:val="24"/>
        </w:rPr>
      </w:pPr>
      <w:r/>
      <w:r>
        <w:t xml:space="preserve">Входы: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7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Данные о синхронизации с внешними сервисами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Механизмы:</w:t>
      </w:r>
      <w:r/>
    </w:p>
    <w:p>
      <w:pPr>
        <w:pStyle w:val="7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Дашборд аналитики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ab/>
        <w:t xml:space="preserve">Выходы:</w:t>
      </w:r>
      <w:r>
        <w:rPr>
          <w:highlight w:val="none"/>
        </w:rPr>
      </w:r>
    </w:p>
    <w:p>
      <w:pPr>
        <w:pStyle w:val="7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Отчет по использованию визиток</w:t>
      </w:r>
      <w:r>
        <w:rPr>
          <w:highlight w:val="none"/>
        </w:rPr>
      </w:r>
    </w:p>
    <w:p>
      <w:pPr>
        <w:pStyle w:val="7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Рекомендации по улучшению визитки</w:t>
      </w:r>
      <w:r>
        <w:rPr>
          <w:highlight w:val="none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Функциональный блок А2 был преобразован в «Создание и синхронизация визитки», и был добавлен функциональный блок «Аналитика использования визиток»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Так же бы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ла обновлена декомпозиция блока А2. На рисунках 4-6 показан результат произведенной работы.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7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11.4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4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–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Обновленный блок А0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1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11.4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5 – Обновленная декомпозиция блока А0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528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1.4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6 – Обновленная декомпозиция блока А2</w:t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Вывод: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TO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BE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/>
        <w:rPr/>
      </w:pPr>
      <w:r/>
      <w:r/>
    </w:p>
    <w:p>
      <w:pPr>
        <w:pStyle w:val="731"/>
        <w:pBdr/>
        <w:spacing/>
        <w:ind/>
        <w:jc w:val="center"/>
        <w:rPr/>
      </w:pPr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Droid Sans Fallback">
    <w:panose1 w:val="020B0502000000000001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43960945"/>
      <w:docPartObj>
        <w:docPartGallery w:val="Page Numbers (Bottom of Page)"/>
        <w:docPartUnique w:val="true"/>
      </w:docPartObj>
      <w:rPr/>
    </w:sdtPr>
    <w:sdtContent>
      <w:p>
        <w:pPr>
          <w:pStyle w:val="74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56297413"/>
      <w:docPartObj>
        <w:docPartGallery w:val="Page Numbers (Bottom of Page)"/>
        <w:docPartUnique w:val="true"/>
      </w:docPartObj>
      <w:rPr/>
    </w:sdtPr>
    <w:sdtContent>
      <w:p>
        <w:pPr>
          <w:pStyle w:val="742"/>
          <w:pBdr/>
          <w:spacing/>
          <w:ind/>
          <w:jc w:val="center"/>
          <w:rPr/>
        </w:pPr>
        <w:r>
          <w:t xml:space="preserve">Москва</w:t>
        </w:r>
        <w:r/>
      </w:p>
    </w:sdtContent>
  </w:sdt>
  <w:p>
    <w:pPr>
      <w:pStyle w:val="74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23"/>
    <w:next w:val="72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3"/>
    <w:next w:val="72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3"/>
    <w:next w:val="72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3"/>
    <w:next w:val="72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3"/>
    <w:next w:val="72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3"/>
    <w:next w:val="72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3"/>
    <w:next w:val="72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3"/>
    <w:next w:val="72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5"/>
    <w:link w:val="7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25"/>
    <w:link w:val="7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3"/>
    <w:next w:val="72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3"/>
    <w:next w:val="72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3"/>
    <w:next w:val="72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5"/>
    <w:link w:val="740"/>
    <w:uiPriority w:val="99"/>
    <w:pPr>
      <w:pBdr/>
      <w:spacing/>
      <w:ind/>
    </w:pPr>
  </w:style>
  <w:style w:type="character" w:styleId="178">
    <w:name w:val="Footer Char"/>
    <w:basedOn w:val="725"/>
    <w:link w:val="742"/>
    <w:uiPriority w:val="99"/>
    <w:pPr>
      <w:pBdr/>
      <w:spacing/>
      <w:ind/>
    </w:pPr>
  </w:style>
  <w:style w:type="paragraph" w:styleId="179">
    <w:name w:val="Caption"/>
    <w:basedOn w:val="723"/>
    <w:next w:val="7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723"/>
    <w:next w:val="723"/>
    <w:uiPriority w:val="99"/>
    <w:unhideWhenUsed/>
    <w:pPr>
      <w:pBdr/>
      <w:spacing w:after="0" w:afterAutospacing="0"/>
      <w:ind/>
    </w:pPr>
  </w:style>
  <w:style w:type="paragraph" w:styleId="723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24">
    <w:name w:val="Heading 1"/>
    <w:basedOn w:val="723"/>
    <w:next w:val="723"/>
    <w:link w:val="734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b/>
      <w:szCs w:val="32"/>
    </w:rPr>
  </w:style>
  <w:style w:type="character" w:styleId="725" w:default="1">
    <w:name w:val="Default Paragraph Font"/>
    <w:uiPriority w:val="1"/>
    <w:unhideWhenUsed/>
    <w:pPr>
      <w:pBdr/>
      <w:spacing/>
      <w:ind/>
    </w:p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7" w:default="1">
    <w:name w:val="No List"/>
    <w:uiPriority w:val="99"/>
    <w:semiHidden/>
    <w:unhideWhenUsed/>
    <w:pPr>
      <w:pBdr/>
      <w:spacing/>
      <w:ind/>
    </w:pPr>
  </w:style>
  <w:style w:type="paragraph" w:styleId="728">
    <w:name w:val="Title"/>
    <w:basedOn w:val="723"/>
    <w:next w:val="723"/>
    <w:link w:val="729"/>
    <w:uiPriority w:val="10"/>
    <w:qFormat/>
    <w:pPr>
      <w:pBdr/>
      <w:spacing w:after="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29" w:customStyle="1">
    <w:name w:val="Заголовок Знак"/>
    <w:basedOn w:val="725"/>
    <w:link w:val="728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730" w:customStyle="1">
    <w:name w:val="МОЙАБЗАЦСОХРАНИСЬЬЬЬЬЬЬЬЬЬ Знак"/>
    <w:basedOn w:val="725"/>
    <w:link w:val="731"/>
    <w:semiHidden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731" w:customStyle="1">
    <w:name w:val="МОЙАБЗАЦСОХРАНИСЬЬЬЬЬЬЬЬЬЬ"/>
    <w:basedOn w:val="732"/>
    <w:link w:val="730"/>
    <w:semiHidden/>
    <w:qFormat/>
    <w:pPr>
      <w:pBdr/>
      <w:spacing w:after="0"/>
      <w:ind w:firstLine="709"/>
      <w:contextualSpacing w:val="true"/>
    </w:pPr>
    <w:rPr>
      <w:rFonts w:eastAsia="Times New Roman"/>
      <w:sz w:val="28"/>
      <w:szCs w:val="28"/>
      <w:lang w:eastAsia="ru-RU"/>
    </w:rPr>
  </w:style>
  <w:style w:type="paragraph" w:styleId="732">
    <w:name w:val="Normal (Web)"/>
    <w:basedOn w:val="723"/>
    <w:uiPriority w:val="99"/>
    <w:semiHidden/>
    <w:unhideWhenUsed/>
    <w:pPr>
      <w:pBdr/>
      <w:spacing/>
      <w:ind/>
    </w:pPr>
    <w:rPr>
      <w:rFonts w:cs="Times New Roman"/>
      <w:sz w:val="24"/>
      <w:szCs w:val="24"/>
    </w:rPr>
  </w:style>
  <w:style w:type="paragraph" w:styleId="733">
    <w:name w:val="List Paragraph"/>
    <w:basedOn w:val="723"/>
    <w:uiPriority w:val="34"/>
    <w:qFormat/>
    <w:pPr>
      <w:widowControl w:val="false"/>
      <w:pBdr/>
      <w:spacing w:after="0"/>
      <w:ind w:left="720"/>
      <w:contextualSpacing w:val="true"/>
    </w:pPr>
    <w:rPr>
      <w:rFonts w:eastAsia="Droid Sans Fallback" w:cs="Mangal"/>
      <w:szCs w:val="24"/>
      <w:lang w:eastAsia="zh-CN" w:bidi="hi-IN"/>
    </w:rPr>
  </w:style>
  <w:style w:type="character" w:styleId="734" w:customStyle="1">
    <w:name w:val="Заголовок 1 Знак"/>
    <w:basedOn w:val="725"/>
    <w:link w:val="724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35">
    <w:name w:val="TOC Heading"/>
    <w:basedOn w:val="724"/>
    <w:next w:val="723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736">
    <w:name w:val="toc 2"/>
    <w:basedOn w:val="723"/>
    <w:next w:val="723"/>
    <w:uiPriority w:val="39"/>
    <w:unhideWhenUsed/>
    <w:pPr>
      <w:pBdr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37">
    <w:name w:val="toc 1"/>
    <w:basedOn w:val="723"/>
    <w:next w:val="723"/>
    <w:uiPriority w:val="39"/>
    <w:unhideWhenUsed/>
    <w:pPr>
      <w:pBdr/>
      <w:tabs>
        <w:tab w:val="right" w:leader="dot" w:pos="9345"/>
      </w:tabs>
      <w:spacing w:after="100" w:line="259" w:lineRule="auto"/>
      <w:ind/>
      <w:jc w:val="left"/>
    </w:pPr>
    <w:rPr>
      <w:rFonts w:cs="Times New Roman" w:eastAsiaTheme="minorEastAsia"/>
      <w:sz w:val="22"/>
      <w:lang w:eastAsia="ru-RU"/>
    </w:rPr>
  </w:style>
  <w:style w:type="paragraph" w:styleId="738">
    <w:name w:val="toc 3"/>
    <w:basedOn w:val="723"/>
    <w:next w:val="723"/>
    <w:uiPriority w:val="39"/>
    <w:unhideWhenUsed/>
    <w:pPr>
      <w:pBdr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739">
    <w:name w:val="Hyperlink"/>
    <w:basedOn w:val="7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40">
    <w:name w:val="Header"/>
    <w:basedOn w:val="723"/>
    <w:link w:val="74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1" w:customStyle="1">
    <w:name w:val="Верхний колонтитул Знак"/>
    <w:basedOn w:val="725"/>
    <w:link w:val="740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742">
    <w:name w:val="Footer"/>
    <w:basedOn w:val="723"/>
    <w:link w:val="74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3" w:customStyle="1">
    <w:name w:val="Нижний колонтитул Знак"/>
    <w:basedOn w:val="725"/>
    <w:link w:val="742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E954-1041-4A55-9CF6-3AE20B86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created xsi:type="dcterms:W3CDTF">2024-09-08T13:36:00Z</dcterms:created>
  <dcterms:modified xsi:type="dcterms:W3CDTF">2024-09-16T09:55:34Z</dcterms:modified>
</cp:coreProperties>
</file>